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366" w:val="clear"/>
        <w:spacing w:after="0" w:before="0"/>
        <w:ind w:left="0" w:right="0"/>
        <w:jc w:val="center"/>
      </w:pPr>
      <w:r>
        <w:rPr>
          <w:rFonts w:ascii="Arial" w:cs="Arial" w:eastAsia="Arial" w:hAnsi="Arial"/>
          <w:b/>
          <w:bCs/>
          <w:color w:val="FFFFFF"/>
          <w:sz w:val="20"/>
          <w:szCs w:val="20"/>
        </w:rPr>
        <w:t xml:space="preserve">U.S. DEPARTMENT OF HEALTH AND HUMAN SERVICES</w:t>
      </w:r>
    </w:p>
    <w:p>
      <w:pPr>
        <w:shd w:fill="1A5276" w:val="clear"/>
        <w:spacing w:after="0" w:before="0"/>
        <w:jc w:val="center"/>
      </w:pPr>
      <w:r>
        <w:rPr>
          <w:rFonts w:ascii="Arial" w:cs="Arial" w:eastAsia="Arial" w:hAnsi="Arial"/>
          <w:color w:val="FFFFFF"/>
          <w:sz w:val="18"/>
          <w:szCs w:val="18"/>
        </w:rPr>
        <w:t xml:space="preserve">Office of Refugee Resettlement  |  UAC Program Analytics</w:t>
      </w:r>
    </w:p>
    <w:p>
      <w:pPr>
        <w:spacing w:after="60" w:before="60"/>
      </w:pPr>
      <w:r>
        <w:t xml:space="preserve"/>
      </w:r>
    </w:p>
    <w:p>
      <w:pPr>
        <w:spacing w:after="60" w:before="160"/>
        <w:jc w:val="left"/>
      </w:pPr>
      <w:r>
        <w:rPr>
          <w:rFonts w:ascii="Arial" w:cs="Arial" w:eastAsia="Arial" w:hAnsi="Arial"/>
          <w:b/>
          <w:bCs/>
          <w:color w:val="003366"/>
          <w:sz w:val="40"/>
          <w:szCs w:val="40"/>
        </w:rPr>
        <w:t xml:space="preserve">EXECUTIVE SUMMARY</w:t>
      </w:r>
    </w:p>
    <w:p>
      <w:pPr>
        <w:spacing w:after="60" w:before="0"/>
        <w:jc w:val="left"/>
      </w:pPr>
      <w:r>
        <w:rPr>
          <w:rFonts w:ascii="Arial" w:cs="Arial" w:eastAsia="Arial" w:hAnsi="Arial"/>
          <w:b w:val="false"/>
          <w:bCs w:val="false"/>
          <w:color w:val="2C3E50"/>
          <w:sz w:val="28"/>
          <w:szCs w:val="28"/>
        </w:rPr>
        <w:t xml:space="preserve">Predictive Forecasting of Care Load &amp; Placement Demand</w:t>
      </w:r>
    </w:p>
    <w:p>
      <w:pPr>
        <w:spacing w:after="200" w:before="0"/>
      </w:pPr>
      <w:r>
        <w:rPr>
          <w:rFonts w:ascii="Arial" w:cs="Arial" w:eastAsia="Arial" w:hAnsi="Arial"/>
          <w:color w:val="777777"/>
          <w:sz w:val="19"/>
          <w:szCs w:val="19"/>
        </w:rPr>
        <w:t xml:space="preserve">Dataset: January 2023 – December 2025  |  1,061 Daily Observations  |  Models: Random Forest, Gradient Boosting</w:t>
      </w:r>
    </w:p>
    <w:p>
      <w:pPr>
        <w:shd w:fill="003366" w:val="clear"/>
        <w:spacing w:after="120" w:before="240"/>
        <w:ind w:left="120"/>
      </w:pPr>
      <w:r>
        <w:rPr>
          <w:rFonts w:ascii="Arial" w:cs="Arial" w:eastAsia="Arial" w:hAnsi="Arial"/>
          <w:b/>
          <w:bCs/>
          <w:color w:val="FFFFFF"/>
          <w:sz w:val="22"/>
          <w:szCs w:val="22"/>
        </w:rPr>
        <w:t xml:space="preserve">PURPOSE</w:t>
      </w:r>
    </w:p>
    <w:p>
      <w:pPr>
        <w:spacing w:after="60" w:before="60"/>
      </w:pPr>
      <w:r>
        <w:t xml:space="preserve"/>
      </w:r>
    </w:p>
    <w:p>
      <w:pPr>
        <w:spacing w:after="80" w:before="80"/>
        <w:jc w:val="both"/>
      </w:pPr>
      <w:r>
        <w:rPr>
          <w:rFonts w:ascii="Arial" w:cs="Arial" w:eastAsia="Arial" w:hAnsi="Arial"/>
          <w:sz w:val="22"/>
          <w:szCs w:val="22"/>
        </w:rPr>
        <w:t xml:space="preserve">The UAC Program operates in a high-uncertainty environment where sudden changes in border activity, policy enforcement, or humanitarian conditions can rapidly shift the number of children requiring federal care. This project introduces predictive modeling capabilities to enable HHS planners to shift from reactive to proactive resource allocation — answering the critical question: </w:t>
      </w:r>
    </w:p>
    <w:p>
      <w:pPr>
        <w:spacing w:after="60" w:before="60"/>
      </w:pPr>
      <w:r>
        <w:t xml:space="preserve"/>
      </w:r>
    </w:p>
    <w:p>
      <w:pPr>
        <w:spacing w:after="100" w:before="100"/>
        <w:jc w:val="center"/>
      </w:pPr>
      <w:r>
        <w:rPr>
          <w:rFonts w:ascii="Arial" w:cs="Arial" w:eastAsia="Arial" w:hAnsi="Arial"/>
          <w:b/>
          <w:bCs/>
          <w:i/>
          <w:iCs/>
          <w:color w:val="003366"/>
          <w:sz w:val="22"/>
          <w:szCs w:val="22"/>
        </w:rPr>
        <w:t xml:space="preserve">"How many children will be in HHS care over the next 7–30 days, and will discharge capacity be sufficient to meet demand?"</w:t>
      </w:r>
    </w:p>
    <w:p>
      <w:pPr>
        <w:spacing w:after="60" w:before="60"/>
      </w:pPr>
      <w:r>
        <w:t xml:space="preserve"/>
      </w:r>
    </w:p>
    <w:p>
      <w:pPr>
        <w:shd w:fill="003366" w:val="clear"/>
        <w:spacing w:after="120" w:before="240"/>
        <w:ind w:left="120"/>
      </w:pPr>
      <w:r>
        <w:rPr>
          <w:rFonts w:ascii="Arial" w:cs="Arial" w:eastAsia="Arial" w:hAnsi="Arial"/>
          <w:b/>
          <w:bCs/>
          <w:color w:val="FFFFFF"/>
          <w:sz w:val="22"/>
          <w:szCs w:val="22"/>
        </w:rPr>
        <w:t xml:space="preserve">KEY FINDINGS</w:t>
      </w:r>
    </w:p>
    <w:p>
      <w:pPr>
        <w:spacing w:after="60" w:before="60"/>
      </w:pPr>
      <w:r>
        <w:t xml:space="preserve"/>
      </w:r>
    </w:p>
    <w:p>
      <w:pPr>
        <w:pStyle w:val="ListParagraph"/>
        <w:numPr>
          <w:ilvl w:val="0"/>
          <w:numId w:val="2"/>
        </w:numPr>
        <w:spacing w:after="70" w:before="70"/>
      </w:pPr>
      <w:r>
        <w:rPr>
          <w:rFonts w:ascii="Arial" w:cs="Arial" w:eastAsia="Arial" w:hAnsi="Arial"/>
          <w:sz w:val="22"/>
          <w:szCs w:val="22"/>
        </w:rPr>
        <w:t xml:space="preserve">The HHS care load peaked at 11,516 children in mid-2024 and has since declined to a stable plateau near 2,450 as of December 2025 — a 79% reduction driven by expanded placement throughput and reduced intake volumes.</w:t>
      </w:r>
    </w:p>
    <w:p>
      <w:pPr>
        <w:pStyle w:val="ListParagraph"/>
        <w:numPr>
          <w:ilvl w:val="0"/>
          <w:numId w:val="2"/>
        </w:numPr>
        <w:spacing w:after="70" w:before="70"/>
      </w:pPr>
      <w:r>
        <w:rPr>
          <w:rFonts w:ascii="Arial" w:cs="Arial" w:eastAsia="Arial" w:hAnsi="Arial"/>
          <w:sz w:val="22"/>
          <w:szCs w:val="22"/>
        </w:rPr>
        <w:t xml:space="preserve">The best-performing short-horizon model (Naive Persistence) achieves a Mean Absolute Error of just 6.7 children/day, confirming high near-term predictability in stable periods.</w:t>
      </w:r>
    </w:p>
    <w:p>
      <w:pPr>
        <w:pStyle w:val="ListParagraph"/>
        <w:numPr>
          <w:ilvl w:val="0"/>
          <w:numId w:val="2"/>
        </w:numPr>
        <w:spacing w:after="70" w:before="70"/>
      </w:pPr>
      <w:r>
        <w:rPr>
          <w:rFonts w:ascii="Arial" w:cs="Arial" w:eastAsia="Arial" w:hAnsi="Arial"/>
          <w:sz w:val="22"/>
          <w:szCs w:val="22"/>
        </w:rPr>
        <w:t xml:space="preserve">Machine learning models (Random Forest, Gradient Boosting) achieve approximately 2.0% MAPE, enabling reliable 7–30 day planning forecasts with quantified uncertainty bands.</w:t>
      </w:r>
    </w:p>
    <w:p>
      <w:pPr>
        <w:pStyle w:val="ListParagraph"/>
        <w:numPr>
          <w:ilvl w:val="0"/>
          <w:numId w:val="2"/>
        </w:numPr>
        <w:spacing w:after="70" w:before="70"/>
      </w:pPr>
      <w:r>
        <w:rPr>
          <w:rFonts w:ascii="Arial" w:cs="Arial" w:eastAsia="Arial" w:hAnsi="Arial"/>
          <w:sz w:val="22"/>
          <w:szCs w:val="22"/>
        </w:rPr>
        <w:t xml:space="preserve">Lag-1 and 7-day rolling mean account for over 96% of predictive signal, confirming the strong autoregressive structure of daily care load data.</w:t>
      </w:r>
    </w:p>
    <w:p>
      <w:pPr>
        <w:pStyle w:val="ListParagraph"/>
        <w:numPr>
          <w:ilvl w:val="0"/>
          <w:numId w:val="2"/>
        </w:numPr>
        <w:spacing w:after="70" w:before="70"/>
      </w:pPr>
      <w:r>
        <w:rPr>
          <w:rFonts w:ascii="Arial" w:cs="Arial" w:eastAsia="Arial" w:hAnsi="Arial"/>
          <w:sz w:val="22"/>
          <w:szCs w:val="22"/>
        </w:rPr>
        <w:t xml:space="preserve">The discharge (sponsor placement) model achieves an MAE of 4.4 placements/day, supporting weekly casework staffing and sponsor matching schedules.</w:t>
      </w:r>
    </w:p>
    <w:p>
      <w:pPr>
        <w:spacing w:after="60" w:before="60"/>
      </w:pPr>
      <w:r>
        <w:t xml:space="preserve"/>
      </w:r>
    </w:p>
    <w:p>
      <w:pPr>
        <w:shd w:fill="003366" w:val="clear"/>
        <w:spacing w:after="120" w:before="240"/>
        <w:ind w:left="120"/>
      </w:pPr>
      <w:r>
        <w:rPr>
          <w:rFonts w:ascii="Arial" w:cs="Arial" w:eastAsia="Arial" w:hAnsi="Arial"/>
          <w:b/>
          <w:bCs/>
          <w:color w:val="FFFFFF"/>
          <w:sz w:val="22"/>
          <w:szCs w:val="22"/>
        </w:rPr>
        <w:t xml:space="preserve">30-DAY OPERATIONAL OUTLOOK (DEC 22, 2025 – JAN 20,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trPr>
        <w:tc>
          <w:tcPr>
            <w:tcW w:type="dxa" w:w="33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2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Implication</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sz w:val="20"/>
                <w:szCs w:val="20"/>
              </w:rPr>
              <w:t xml:space="preserve">Projected HHS Care Load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bCs/>
                <w:color w:val="1A5276"/>
                <w:sz w:val="20"/>
                <w:szCs w:val="20"/>
              </w:rPr>
              <w:t xml:space="preserve">2,433–2,487</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sz w:val="20"/>
                <w:szCs w:val="20"/>
              </w:rPr>
              <w:t xml:space="preserve">Stable plateau; no surge anticipated</w:t>
            </w:r>
          </w:p>
        </w:tc>
      </w:tr>
      <w:tr>
        <w:tc>
          <w:tcPr>
            <w:tcW w:type="dxa" w:w="3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r>
              <w:rPr>
                <w:rFonts w:ascii="Arial" w:cs="Arial" w:eastAsia="Arial" w:hAnsi="Arial"/>
                <w:b/>
                <w:bCs/>
                <w:sz w:val="20"/>
                <w:szCs w:val="20"/>
              </w:rPr>
              <w:t xml:space="preserve">Projected Daily Discharges</w:t>
            </w:r>
          </w:p>
        </w:tc>
        <w:tc>
          <w:tcPr>
            <w:tcW w:type="dxa" w:w="2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bCs/>
                <w:color w:val="1A5276"/>
                <w:sz w:val="20"/>
                <w:szCs w:val="20"/>
              </w:rPr>
              <w:t xml:space="preserve">14–18/day</w:t>
            </w:r>
          </w:p>
        </w:tc>
        <w:tc>
          <w:tcPr>
            <w:tcW w:type="dxa" w:w="4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r>
              <w:rPr>
                <w:rFonts w:ascii="Arial" w:cs="Arial" w:eastAsia="Arial" w:hAnsi="Arial"/>
                <w:sz w:val="20"/>
                <w:szCs w:val="20"/>
              </w:rPr>
              <w:t xml:space="preserve">Adequate throughput for current load</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sz w:val="20"/>
                <w:szCs w:val="20"/>
              </w:rPr>
              <w:t xml:space="preserve">Net Intake Pressure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bCs/>
                <w:color w:val="1A5276"/>
                <w:sz w:val="20"/>
                <w:szCs w:val="20"/>
              </w:rPr>
              <w:t xml:space="preserve">Negative</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sz w:val="20"/>
                <w:szCs w:val="20"/>
              </w:rPr>
              <w:t xml:space="preserve">Discharges outpacing transfers; load declining</w:t>
            </w:r>
          </w:p>
        </w:tc>
      </w:tr>
      <w:tr>
        <w:tc>
          <w:tcPr>
            <w:tcW w:type="dxa" w:w="3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r>
              <w:rPr>
                <w:rFonts w:ascii="Arial" w:cs="Arial" w:eastAsia="Arial" w:hAnsi="Arial"/>
                <w:b/>
                <w:bCs/>
                <w:sz w:val="20"/>
                <w:szCs w:val="20"/>
              </w:rPr>
              <w:t xml:space="preserve">Surge Probability (30d)</w:t>
            </w:r>
          </w:p>
        </w:tc>
        <w:tc>
          <w:tcPr>
            <w:tcW w:type="dxa" w:w="2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bCs/>
                <w:color w:val="1A5276"/>
                <w:sz w:val="20"/>
                <w:szCs w:val="20"/>
              </w:rPr>
              <w:t xml:space="preserve">~0%</w:t>
            </w:r>
          </w:p>
        </w:tc>
        <w:tc>
          <w:tcPr>
            <w:tcW w:type="dxa" w:w="4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r>
              <w:rPr>
                <w:rFonts w:ascii="Arial" w:cs="Arial" w:eastAsia="Arial" w:hAnsi="Arial"/>
                <w:sz w:val="20"/>
                <w:szCs w:val="20"/>
              </w:rPr>
              <w:t xml:space="preserve">Well below historical peak thresholds</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sz w:val="20"/>
                <w:szCs w:val="20"/>
              </w:rPr>
              <w:t xml:space="preserve">Forecast Accuracy (MAPE)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bCs/>
                <w:color w:val="1A5276"/>
                <w:sz w:val="20"/>
                <w:szCs w:val="20"/>
              </w:rPr>
              <w:t xml:space="preserve">2.0%</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sz w:val="20"/>
                <w:szCs w:val="20"/>
              </w:rPr>
              <w:t xml:space="preserve">~50 children absolute error at current load</w:t>
            </w:r>
          </w:p>
        </w:tc>
      </w:tr>
    </w:tbl>
    <w:p>
      <w:pPr>
        <w:spacing w:after="60" w:before="60"/>
      </w:pPr>
      <w:r>
        <w:t xml:space="preserve"/>
      </w:r>
    </w:p>
    <w:p>
      <w:pPr>
        <w:shd w:fill="003366" w:val="clear"/>
        <w:spacing w:after="120" w:before="240"/>
        <w:ind w:left="120"/>
      </w:pPr>
      <w:r>
        <w:rPr>
          <w:rFonts w:ascii="Arial" w:cs="Arial" w:eastAsia="Arial" w:hAnsi="Arial"/>
          <w:b/>
          <w:bCs/>
          <w:color w:val="FFFFFF"/>
          <w:sz w:val="22"/>
          <w:szCs w:val="22"/>
        </w:rPr>
        <w:t xml:space="preserve">MODEL PERFORMANCE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BBBBBB" w:sz="1"/>
              <w:left w:val="single" w:color="BBBBBB" w:sz="1"/>
              <w:bottom w:val="single" w:color="BBBBBB" w:sz="1"/>
              <w:right w:val="single" w:color="BBBBBB" w:sz="1"/>
            </w:tcBorders>
            <w:shd w:fill="00336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Model</w:t>
            </w:r>
          </w:p>
        </w:tc>
        <w:tc>
          <w:tcPr>
            <w:tcW w:type="dxa" w:w="1640"/>
            <w:tcBorders>
              <w:top w:val="single" w:color="BBBBBB" w:sz="1"/>
              <w:left w:val="single" w:color="BBBBBB" w:sz="1"/>
              <w:bottom w:val="single" w:color="BBBBBB" w:sz="1"/>
              <w:right w:val="single" w:color="BBBBBB" w:sz="1"/>
            </w:tcBorders>
            <w:shd w:fill="00336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MAE</w:t>
            </w:r>
          </w:p>
        </w:tc>
        <w:tc>
          <w:tcPr>
            <w:tcW w:type="dxa" w:w="1640"/>
            <w:tcBorders>
              <w:top w:val="single" w:color="BBBBBB" w:sz="1"/>
              <w:left w:val="single" w:color="BBBBBB" w:sz="1"/>
              <w:bottom w:val="single" w:color="BBBBBB" w:sz="1"/>
              <w:right w:val="single" w:color="BBBBBB" w:sz="1"/>
            </w:tcBorders>
            <w:shd w:fill="00336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RMSE</w:t>
            </w:r>
          </w:p>
        </w:tc>
        <w:tc>
          <w:tcPr>
            <w:tcW w:type="dxa" w:w="1640"/>
            <w:tcBorders>
              <w:top w:val="single" w:color="BBBBBB" w:sz="1"/>
              <w:left w:val="single" w:color="BBBBBB" w:sz="1"/>
              <w:bottom w:val="single" w:color="BBBBBB" w:sz="1"/>
              <w:right w:val="single" w:color="BBBBBB" w:sz="1"/>
            </w:tcBorders>
            <w:shd w:fill="00336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MAPE</w:t>
            </w:r>
          </w:p>
        </w:tc>
        <w:tc>
          <w:tcPr>
            <w:tcW w:type="dxa" w:w="1640"/>
            <w:tcBorders>
              <w:top w:val="single" w:color="BBBBBB" w:sz="1"/>
              <w:left w:val="single" w:color="BBBBBB" w:sz="1"/>
              <w:bottom w:val="single" w:color="BBBBBB" w:sz="1"/>
              <w:right w:val="single" w:color="BBBBBB" w:sz="1"/>
            </w:tcBorders>
            <w:shd w:fill="00336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Best Use</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bCs/>
                <w:sz w:val="19"/>
                <w:szCs w:val="19"/>
              </w:rPr>
              <w:t xml:space="preserve">Naive Persistence</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6.7</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8.3</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0.30%</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Daily next-step forecast</w:t>
            </w:r>
          </w:p>
        </w:tc>
      </w:tr>
      <w:tr>
        <w:tc>
          <w:tcPr>
            <w:tcW w:type="dxa" w:w="280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left"/>
            </w:pPr>
            <w:r>
              <w:rPr>
                <w:rFonts w:ascii="Arial" w:cs="Arial" w:eastAsia="Arial" w:hAnsi="Arial"/>
                <w:b/>
                <w:bCs/>
                <w:sz w:val="19"/>
                <w:szCs w:val="19"/>
              </w:rPr>
              <w:t xml:space="preserve">Moving Average (7d)</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16.2</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20.2</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0.73%</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Smoothed trend view</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bCs/>
                <w:sz w:val="19"/>
                <w:szCs w:val="19"/>
              </w:rPr>
              <w:t xml:space="preserve">Random Forest</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40.1</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62.1</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1.90%</w:t>
            </w:r>
          </w:p>
        </w:tc>
        <w:tc>
          <w:tcPr>
            <w:tcW w:type="dxa" w:w="164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Multi-step, surge detection</w:t>
            </w:r>
          </w:p>
        </w:tc>
      </w:tr>
      <w:tr>
        <w:tc>
          <w:tcPr>
            <w:tcW w:type="dxa" w:w="280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left"/>
            </w:pPr>
            <w:r>
              <w:rPr>
                <w:rFonts w:ascii="Arial" w:cs="Arial" w:eastAsia="Arial" w:hAnsi="Arial"/>
                <w:b/>
                <w:bCs/>
                <w:sz w:val="19"/>
                <w:szCs w:val="19"/>
              </w:rPr>
              <w:t xml:space="preserve">Gradient Boosting</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42.3</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63.6</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2.00%</w:t>
            </w:r>
          </w:p>
        </w:tc>
        <w:tc>
          <w:tcPr>
            <w:tcW w:type="dxa" w:w="164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30-day planning horizon</w:t>
            </w:r>
          </w:p>
        </w:tc>
      </w:tr>
    </w:tbl>
    <w:p>
      <w:pPr>
        <w:spacing w:after="60" w:before="60"/>
      </w:pPr>
      <w:r>
        <w:t xml:space="preserve"/>
      </w:r>
    </w:p>
    <w:p>
      <w:pPr>
        <w:shd w:fill="003366" w:val="clear"/>
        <w:spacing w:after="120" w:before="240"/>
        <w:ind w:left="120"/>
      </w:pPr>
      <w:r>
        <w:rPr>
          <w:rFonts w:ascii="Arial" w:cs="Arial" w:eastAsia="Arial" w:hAnsi="Arial"/>
          <w:b/>
          <w:bCs/>
          <w:color w:val="FFFFFF"/>
          <w:sz w:val="22"/>
          <w:szCs w:val="22"/>
        </w:rPr>
        <w:t xml:space="preserve">PRIORITY RECOMMENDATIONS FOR HHS LEADERSHIP</w:t>
      </w:r>
    </w:p>
    <w:p>
      <w:pPr>
        <w:spacing w:after="60" w:before="60"/>
      </w:pPr>
      <w:r>
        <w:t xml:space="preserve"/>
      </w:r>
    </w:p>
    <w:p>
      <w:pPr>
        <w:spacing w:after="80" w:before="120"/>
      </w:pPr>
      <w:r>
        <w:rPr>
          <w:rFonts w:ascii="Arial" w:cs="Arial" w:eastAsia="Arial" w:hAnsi="Arial"/>
          <w:b/>
          <w:bCs/>
          <w:color w:val="003366"/>
          <w:sz w:val="23"/>
          <w:szCs w:val="23"/>
        </w:rPr>
        <w:t xml:space="preserve">Immediate Actions (0–30 Days)</w:t>
      </w:r>
    </w:p>
    <w:p>
      <w:pPr>
        <w:pStyle w:val="ListParagraph"/>
        <w:numPr>
          <w:ilvl w:val="0"/>
          <w:numId w:val="2"/>
        </w:numPr>
        <w:spacing w:after="70" w:before="70"/>
      </w:pPr>
      <w:r>
        <w:rPr>
          <w:rFonts w:ascii="Arial" w:cs="Arial" w:eastAsia="Arial" w:hAnsi="Arial"/>
          <w:sz w:val="22"/>
          <w:szCs w:val="22"/>
        </w:rPr>
        <w:t xml:space="preserve">Deploy the Streamlit forecasting dashboard for daily operational briefings — care load forecasts, discharge demand, and confidence intervals are updated automatically from fresh data.</w:t>
      </w:r>
    </w:p>
    <w:p>
      <w:pPr>
        <w:pStyle w:val="ListParagraph"/>
        <w:numPr>
          <w:ilvl w:val="0"/>
          <w:numId w:val="2"/>
        </w:numPr>
        <w:spacing w:after="70" w:before="70"/>
      </w:pPr>
      <w:r>
        <w:rPr>
          <w:rFonts w:ascii="Arial" w:cs="Arial" w:eastAsia="Arial" w:hAnsi="Arial"/>
          <w:sz w:val="22"/>
          <w:szCs w:val="22"/>
        </w:rPr>
        <w:t xml:space="preserve">Set a surge alert threshold at 9,800 children (85% of historical peak) with automated notifications to ORR regional coordinators.</w:t>
      </w:r>
    </w:p>
    <w:p>
      <w:pPr>
        <w:pStyle w:val="ListParagraph"/>
        <w:numPr>
          <w:ilvl w:val="0"/>
          <w:numId w:val="2"/>
        </w:numPr>
        <w:spacing w:after="70" w:before="70"/>
      </w:pPr>
      <w:r>
        <w:rPr>
          <w:rFonts w:ascii="Arial" w:cs="Arial" w:eastAsia="Arial" w:hAnsi="Arial"/>
          <w:sz w:val="22"/>
          <w:szCs w:val="22"/>
        </w:rPr>
        <w:t xml:space="preserve">Use net daily pressure (Transfers In minus Discharges Out) as the primary 7–14 day early warning indicator, monitored via the dashboard's KPI panel.</w:t>
      </w:r>
    </w:p>
    <w:p>
      <w:pPr>
        <w:spacing w:after="60" w:before="60"/>
      </w:pPr>
      <w:r>
        <w:t xml:space="preserve"/>
      </w:r>
    </w:p>
    <w:p>
      <w:pPr>
        <w:spacing w:after="80" w:before="120"/>
      </w:pPr>
      <w:r>
        <w:rPr>
          <w:rFonts w:ascii="Arial" w:cs="Arial" w:eastAsia="Arial" w:hAnsi="Arial"/>
          <w:b/>
          <w:bCs/>
          <w:color w:val="003366"/>
          <w:sz w:val="23"/>
          <w:szCs w:val="23"/>
        </w:rPr>
        <w:t xml:space="preserve">Medium-Term Actions (30–90 Days)</w:t>
      </w:r>
    </w:p>
    <w:p>
      <w:pPr>
        <w:pStyle w:val="ListParagraph"/>
        <w:numPr>
          <w:ilvl w:val="0"/>
          <w:numId w:val="2"/>
        </w:numPr>
        <w:spacing w:after="70" w:before="70"/>
      </w:pPr>
      <w:r>
        <w:rPr>
          <w:rFonts w:ascii="Arial" w:cs="Arial" w:eastAsia="Arial" w:hAnsi="Arial"/>
          <w:sz w:val="22"/>
          <w:szCs w:val="22"/>
        </w:rPr>
        <w:t xml:space="preserve">Establish a monthly model retraining cadence and rolling MAE monitoring to detect model drift as care load dynamics evolve.</w:t>
      </w:r>
    </w:p>
    <w:p>
      <w:pPr>
        <w:pStyle w:val="ListParagraph"/>
        <w:numPr>
          <w:ilvl w:val="0"/>
          <w:numId w:val="2"/>
        </w:numPr>
        <w:spacing w:after="70" w:before="70"/>
      </w:pPr>
      <w:r>
        <w:rPr>
          <w:rFonts w:ascii="Arial" w:cs="Arial" w:eastAsia="Arial" w:hAnsi="Arial"/>
          <w:sz w:val="22"/>
          <w:szCs w:val="22"/>
        </w:rPr>
        <w:t xml:space="preserve">Add SARIMA seasonal decomposition models to formally capture annual and monthly cycles as the dataset grows beyond 3 years.</w:t>
      </w:r>
    </w:p>
    <w:p>
      <w:pPr>
        <w:pStyle w:val="ListParagraph"/>
        <w:numPr>
          <w:ilvl w:val="0"/>
          <w:numId w:val="2"/>
        </w:numPr>
        <w:spacing w:after="70" w:before="70"/>
      </w:pPr>
      <w:r>
        <w:rPr>
          <w:rFonts w:ascii="Arial" w:cs="Arial" w:eastAsia="Arial" w:hAnsi="Arial"/>
          <w:sz w:val="22"/>
          <w:szCs w:val="22"/>
        </w:rPr>
        <w:t xml:space="preserve">Integrate regional shelter capacity data to translate national forecasts into facility-level utilization projections.</w:t>
      </w:r>
    </w:p>
    <w:p>
      <w:pPr>
        <w:spacing w:after="60" w:before="60"/>
      </w:pPr>
      <w:r>
        <w:t xml:space="preserve"/>
      </w:r>
    </w:p>
    <w:p>
      <w:pPr>
        <w:shd w:fill="003366" w:val="clear"/>
        <w:spacing w:after="120" w:before="240"/>
        <w:ind w:left="120"/>
      </w:pPr>
      <w:r>
        <w:rPr>
          <w:rFonts w:ascii="Arial" w:cs="Arial" w:eastAsia="Arial" w:hAnsi="Arial"/>
          <w:b/>
          <w:bCs/>
          <w:color w:val="FFFFFF"/>
          <w:sz w:val="22"/>
          <w:szCs w:val="22"/>
        </w:rPr>
        <w:t xml:space="preserve">CONCLUSION</w:t>
      </w:r>
    </w:p>
    <w:p>
      <w:pPr>
        <w:spacing w:after="60" w:before="60"/>
      </w:pPr>
      <w:r>
        <w:t xml:space="preserve"/>
      </w:r>
    </w:p>
    <w:p>
      <w:pPr>
        <w:spacing w:after="80" w:before="80"/>
        <w:jc w:val="both"/>
      </w:pPr>
      <w:r>
        <w:rPr>
          <w:rFonts w:ascii="Arial" w:cs="Arial" w:eastAsia="Arial" w:hAnsi="Arial"/>
          <w:sz w:val="22"/>
          <w:szCs w:val="22"/>
        </w:rPr>
        <w:t xml:space="preserve">This project delivers a complete, production-ready predictive intelligence system for the UAC Program — including an interactive Streamlit dashboard, rigorous multi-model evaluation, and quantified forecast uncertainty. With a care load that has declined 79% from its 2024 peak and a stable near-term outlook, the immediate operational risk is manageable. The forecasting infrastructure now in place will be most critically valuable when the next surge cycle begins, providing HHS planners with 7–14 days of advance warning to scale shelters, staff, and casework resources before demand arrives.</w:t>
      </w:r>
    </w:p>
    <w:p>
      <w:pPr>
        <w:spacing w:after="60" w:before="60"/>
      </w:pPr>
      <w:r>
        <w:t xml:space="preserve"/>
      </w:r>
    </w:p>
    <w:p>
      <w:pPr>
        <w:spacing w:after="0" w:before="200"/>
      </w:pPr>
      <w:r>
        <w:rPr>
          <w:rFonts w:ascii="Arial" w:cs="Arial" w:eastAsia="Arial" w:hAnsi="Arial"/>
          <w:i/>
          <w:iCs/>
          <w:color w:val="777777"/>
          <w:sz w:val="20"/>
          <w:szCs w:val="20"/>
        </w:rPr>
        <w:t xml:space="preserve">For questions regarding methodology, model updates, or dashboard access, contact the ORR Analytics Team.</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pPr>
    <w:r>
      <w:rPr>
        <w:rFonts w:ascii="Arial" w:cs="Arial" w:eastAsia="Arial" w:hAnsi="Arial"/>
        <w:color w:val="666666"/>
        <w:sz w:val="17"/>
        <w:szCs w:val="17"/>
      </w:rPr>
      <w:t xml:space="preserve">EXECUTIVE SUMMARY  |  UAC Predictive Care Load &amp; Placement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2026-06-11T07:49:10.147Z</dcterms:created>
  <dcterms:modified xsi:type="dcterms:W3CDTF">2026-06-11T07:49:10.147Z</dcterms:modified>
</cp:coreProperties>
</file>

<file path=docProps/custom.xml><?xml version="1.0" encoding="utf-8"?>
<Properties xmlns="http://schemas.openxmlformats.org/officeDocument/2006/custom-properties" xmlns:vt="http://schemas.openxmlformats.org/officeDocument/2006/docPropsVTypes"/>
</file>