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sz w:val="22"/>
          <w:szCs w:val="22"/>
        </w:rPr>
        <w:t xml:space="preserve"/>
      </w:r>
    </w:p>
    <w:p>
      <w:pPr>
        <w:spacing w:after="160" w:before="0"/>
        <w:jc w:val="center"/>
      </w:pPr>
      <w:r>
        <w:rPr>
          <w:rFonts w:ascii="Arial" w:cs="Arial" w:eastAsia="Arial" w:hAnsi="Arial"/>
          <w:b/>
          <w:bCs/>
          <w:color w:val="888888"/>
          <w:sz w:val="24"/>
          <w:szCs w:val="24"/>
        </w:rPr>
        <w:t xml:space="preserve">RESEARCH REPORT</w:t>
      </w:r>
    </w:p>
    <w:p>
      <w:pPr>
        <w:spacing w:after="240" w:before="0"/>
        <w:jc w:val="center"/>
      </w:pPr>
      <w:r>
        <w:rPr>
          <w:rFonts w:ascii="Arial" w:cs="Arial" w:eastAsia="Arial" w:hAnsi="Arial"/>
          <w:b/>
          <w:bCs/>
          <w:color w:val="003366"/>
          <w:sz w:val="48"/>
          <w:szCs w:val="48"/>
        </w:rPr>
        <w:t xml:space="preserve">Predictive Forecasting of Care Load &amp; Placement Demand</w:t>
      </w:r>
    </w:p>
    <w:p>
      <w:pPr>
        <w:spacing w:after="800" w:before="0"/>
        <w:jc w:val="center"/>
      </w:pPr>
      <w:r>
        <w:rPr>
          <w:rFonts w:ascii="Arial" w:cs="Arial" w:eastAsia="Arial" w:hAnsi="Arial"/>
          <w:color w:val="1A5276"/>
          <w:sz w:val="26"/>
          <w:szCs w:val="26"/>
        </w:rPr>
        <w:t xml:space="preserve">UAC Program Analytics | HHS Office of Refugee Resettlement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55555"/>
                <w:sz w:val="22"/>
                <w:szCs w:val="22"/>
              </w:rPr>
              <w:t xml:space="preserve">Prepared for:</w:t>
            </w:r>
          </w:p>
        </w:tc>
        <w:tc>
          <w:tcPr>
            <w:tcW w:type="dxa" w:w="4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U.S. Department of Health and Human Services</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55555"/>
                <w:sz w:val="22"/>
                <w:szCs w:val="22"/>
              </w:rPr>
              <w:t xml:space="preserve">Program:</w:t>
            </w:r>
          </w:p>
        </w:tc>
        <w:tc>
          <w:tcPr>
            <w:tcW w:type="dxa" w:w="4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Unaccompanied Alien Children (UAC) Program</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55555"/>
                <w:sz w:val="22"/>
                <w:szCs w:val="22"/>
              </w:rPr>
              <w:t xml:space="preserve">Dataset Range:</w:t>
            </w:r>
          </w:p>
        </w:tc>
        <w:tc>
          <w:tcPr>
            <w:tcW w:type="dxa" w:w="4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January 26, 2023 – December 21, 2025</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55555"/>
                <w:sz w:val="22"/>
                <w:szCs w:val="22"/>
              </w:rPr>
              <w:t xml:space="preserve">Classification:</w:t>
            </w:r>
          </w:p>
        </w:tc>
        <w:tc>
          <w:tcPr>
            <w:tcW w:type="dxa" w:w="4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Internal Planning Use Only</w:t>
            </w:r>
          </w:p>
        </w:tc>
      </w:tr>
    </w:tbl>
    <w:p>
      <w:r>
        <w:br w:type="page"/>
      </w:r>
    </w:p>
    <w:p>
      <w:pPr>
        <w:pStyle w:val="Heading1"/>
        <w:spacing w:after="200" w:before="400"/>
      </w:pPr>
      <w:r>
        <w:rPr>
          <w:rFonts w:ascii="Arial" w:cs="Arial" w:eastAsia="Arial" w:hAnsi="Arial"/>
          <w:b/>
          <w:bCs/>
          <w:color w:val="003366"/>
          <w:sz w:val="32"/>
          <w:szCs w:val="32"/>
        </w:rPr>
        <w:t xml:space="preserve">1. Executive Summary</w:t>
      </w:r>
    </w:p>
    <w:p>
      <w:pPr>
        <w:spacing w:after="80" w:before="80"/>
        <w:jc w:val="both"/>
      </w:pPr>
      <w:r>
        <w:rPr>
          <w:rFonts w:ascii="Arial" w:cs="Arial" w:eastAsia="Arial" w:hAnsi="Arial"/>
          <w:sz w:val="22"/>
          <w:szCs w:val="22"/>
        </w:rPr>
        <w:t xml:space="preserve">This report presents a comprehensive predictive analytics study of the HHS Unaccompanied Alien Children (UAC) Program care load and sponsor placement demand. Using 1,061 daily observations spanning January 2023 to December 2025, we evaluate multiple forecasting approaches — from naive statistical baselines to machine learning models — to support proactive capacity planning and resource allocation.</w:t>
      </w:r>
    </w:p>
    <w:p>
      <w:pPr>
        <w:spacing w:after="80" w:before="80"/>
      </w:pPr>
      <w:r>
        <w:t xml:space="preserve"/>
      </w:r>
    </w:p>
    <w:p>
      <w:pPr>
        <w:spacing w:after="80" w:before="80"/>
        <w:jc w:val="both"/>
      </w:pPr>
      <w:r>
        <w:rPr>
          <w:rFonts w:ascii="Arial" w:cs="Arial" w:eastAsia="Arial" w:hAnsi="Arial"/>
          <w:sz w:val="22"/>
          <w:szCs w:val="22"/>
        </w:rPr>
        <w:t xml:space="preserve">Key findings include:</w:t>
      </w:r>
    </w:p>
    <w:p>
      <w:pPr>
        <w:pStyle w:val="ListParagraph"/>
        <w:numPr>
          <w:ilvl w:val="0"/>
          <w:numId w:val="2"/>
        </w:numPr>
        <w:spacing w:after="60" w:before="60"/>
      </w:pPr>
      <w:r>
        <w:rPr>
          <w:rFonts w:ascii="Arial" w:cs="Arial" w:eastAsia="Arial" w:hAnsi="Arial"/>
          <w:sz w:val="22"/>
          <w:szCs w:val="22"/>
        </w:rPr>
        <w:t xml:space="preserve">The Naive Persistence baseline achieved the lowest MAE of 6.7 children/day on the test set, confirming the strong autoregressive nature of daily care load data.</w:t>
      </w:r>
    </w:p>
    <w:p>
      <w:pPr>
        <w:pStyle w:val="ListParagraph"/>
        <w:numPr>
          <w:ilvl w:val="0"/>
          <w:numId w:val="2"/>
        </w:numPr>
        <w:spacing w:after="60" w:before="60"/>
      </w:pPr>
      <w:r>
        <w:rPr>
          <w:rFonts w:ascii="Arial" w:cs="Arial" w:eastAsia="Arial" w:hAnsi="Arial"/>
          <w:sz w:val="22"/>
          <w:szCs w:val="22"/>
        </w:rPr>
        <w:t xml:space="preserve">Machine learning models (Random Forest, Gradient Boosting) achieved MAPE values of approximately 1.9–2.0%, demonstrating high relative accuracy for medium-horizon forecasting.</w:t>
      </w:r>
    </w:p>
    <w:p>
      <w:pPr>
        <w:pStyle w:val="ListParagraph"/>
        <w:numPr>
          <w:ilvl w:val="0"/>
          <w:numId w:val="2"/>
        </w:numPr>
        <w:spacing w:after="60" w:before="60"/>
      </w:pPr>
      <w:r>
        <w:rPr>
          <w:rFonts w:ascii="Arial" w:cs="Arial" w:eastAsia="Arial" w:hAnsi="Arial"/>
          <w:sz w:val="22"/>
          <w:szCs w:val="22"/>
        </w:rPr>
        <w:t xml:space="preserve">The 30-day forward forecast (December 2025 – January 2026) projects HHS care load stabilizing between 2,433 and 2,487 children, a significant decline from the 2024 peak of 11,516.</w:t>
      </w:r>
    </w:p>
    <w:p>
      <w:pPr>
        <w:pStyle w:val="ListParagraph"/>
        <w:numPr>
          <w:ilvl w:val="0"/>
          <w:numId w:val="2"/>
        </w:numPr>
        <w:spacing w:after="60" w:before="60"/>
      </w:pPr>
      <w:r>
        <w:rPr>
          <w:rFonts w:ascii="Arial" w:cs="Arial" w:eastAsia="Arial" w:hAnsi="Arial"/>
          <w:sz w:val="22"/>
          <w:szCs w:val="22"/>
        </w:rPr>
        <w:t xml:space="preserve">Lag features (t-1, t-7) and rolling mean account for over 96% of predictive signal in the Gradient Boosting model.</w:t>
      </w:r>
    </w:p>
    <w:p>
      <w:pPr>
        <w:pStyle w:val="ListParagraph"/>
        <w:numPr>
          <w:ilvl w:val="0"/>
          <w:numId w:val="2"/>
        </w:numPr>
        <w:spacing w:after="60" w:before="60"/>
      </w:pPr>
      <w:r>
        <w:rPr>
          <w:rFonts w:ascii="Arial" w:cs="Arial" w:eastAsia="Arial" w:hAnsi="Arial"/>
          <w:sz w:val="22"/>
          <w:szCs w:val="22"/>
        </w:rPr>
        <w:t xml:space="preserve">The discharge model forecasts an average of approximately 14–18 placements/day during the forecast window, with discharge capacity consistently exceeding transfers in the recent period.</w:t>
      </w:r>
    </w:p>
    <w:p>
      <w:pPr>
        <w:spacing w:after="80" w:before="80"/>
      </w:pPr>
      <w:r>
        <w:t xml:space="preserve"/>
      </w:r>
    </w:p>
    <w:p>
      <w:pPr>
        <w:spacing w:after="80" w:before="80"/>
        <w:jc w:val="both"/>
      </w:pPr>
      <w:r>
        <w:rPr>
          <w:rFonts w:ascii="Arial" w:cs="Arial" w:eastAsia="Arial" w:hAnsi="Arial"/>
          <w:sz w:val="22"/>
          <w:szCs w:val="22"/>
        </w:rPr>
        <w:t xml:space="preserve">These findings enable HHS planners to shift from reactive to proactive resource management, with estimated surge lead times of 7–14 days using the recommended Gradient Boosting model.</w:t>
      </w:r>
    </w:p>
    <w:p>
      <w:r>
        <w:br w:type="page"/>
      </w:r>
    </w:p>
    <w:p>
      <w:pPr>
        <w:pStyle w:val="Heading1"/>
        <w:spacing w:after="200" w:before="400"/>
      </w:pPr>
      <w:r>
        <w:rPr>
          <w:rFonts w:ascii="Arial" w:cs="Arial" w:eastAsia="Arial" w:hAnsi="Arial"/>
          <w:b/>
          <w:bCs/>
          <w:color w:val="003366"/>
          <w:sz w:val="32"/>
          <w:szCs w:val="32"/>
        </w:rPr>
        <w:t xml:space="preserve">2. Introduction</w:t>
      </w:r>
    </w:p>
    <w:p>
      <w:pPr>
        <w:pStyle w:val="Heading2"/>
        <w:spacing w:after="160" w:before="300"/>
      </w:pPr>
      <w:r>
        <w:rPr>
          <w:rFonts w:ascii="Arial" w:cs="Arial" w:eastAsia="Arial" w:hAnsi="Arial"/>
          <w:b/>
          <w:bCs/>
          <w:color w:val="1A5276"/>
          <w:sz w:val="26"/>
          <w:szCs w:val="26"/>
        </w:rPr>
        <w:t xml:space="preserve">2.1 Background</w:t>
      </w:r>
    </w:p>
    <w:p>
      <w:pPr>
        <w:spacing w:after="80" w:before="80"/>
        <w:jc w:val="both"/>
      </w:pPr>
      <w:r>
        <w:rPr>
          <w:rFonts w:ascii="Arial" w:cs="Arial" w:eastAsia="Arial" w:hAnsi="Arial"/>
          <w:sz w:val="22"/>
          <w:szCs w:val="22"/>
        </w:rPr>
        <w:t xml:space="preserve">The UAC Program, administered by the HHS Office of Refugee Resettlement (ORR), provides care and placement services for unaccompanied children who are apprehended at or between U.S. ports of entry. The program operates in a highly dynamic environment where border enforcement trends, seasonal migration patterns, policy changes, and humanitarian crises can cause rapid fluctuations in the number of children requiring federal care.</w:t>
      </w:r>
    </w:p>
    <w:p>
      <w:pPr>
        <w:spacing w:after="80" w:before="80"/>
      </w:pPr>
      <w:r>
        <w:t xml:space="preserve"/>
      </w:r>
    </w:p>
    <w:p>
      <w:pPr>
        <w:spacing w:after="80" w:before="80"/>
        <w:jc w:val="both"/>
      </w:pPr>
      <w:r>
        <w:rPr>
          <w:rFonts w:ascii="Arial" w:cs="Arial" w:eastAsia="Arial" w:hAnsi="Arial"/>
          <w:sz w:val="22"/>
          <w:szCs w:val="22"/>
        </w:rPr>
        <w:t xml:space="preserve">While the program maintains high-quality daily administrative records, the operational reliance on descriptive reporting — focused on what has happened — limits the ability of decision-makers to anticipate and prepare for future demand. Reactive responses to care load surges have historically contributed to overcrowding, extended lengths of stay, and staff burnout.</w:t>
      </w:r>
    </w:p>
    <w:p>
      <w:pPr>
        <w:pStyle w:val="Heading2"/>
        <w:spacing w:after="160" w:before="300"/>
      </w:pPr>
      <w:r>
        <w:rPr>
          <w:rFonts w:ascii="Arial" w:cs="Arial" w:eastAsia="Arial" w:hAnsi="Arial"/>
          <w:b/>
          <w:bCs/>
          <w:color w:val="1A5276"/>
          <w:sz w:val="26"/>
          <w:szCs w:val="26"/>
        </w:rPr>
        <w:t xml:space="preserve">2.2 Problem Statement</w:t>
      </w:r>
    </w:p>
    <w:p>
      <w:pPr>
        <w:spacing w:after="80" w:before="80"/>
        <w:jc w:val="both"/>
      </w:pPr>
      <w:r>
        <w:rPr>
          <w:rFonts w:ascii="Arial" w:cs="Arial" w:eastAsia="Arial" w:hAnsi="Arial"/>
          <w:sz w:val="22"/>
          <w:szCs w:val="22"/>
        </w:rPr>
        <w:t xml:space="preserve">Despite availability of granular daily time-series data spanning nearly three years, the UAC Program currently lacks:</w:t>
      </w:r>
    </w:p>
    <w:p>
      <w:pPr>
        <w:pStyle w:val="ListParagraph"/>
        <w:numPr>
          <w:ilvl w:val="0"/>
          <w:numId w:val="2"/>
        </w:numPr>
        <w:spacing w:after="60" w:before="60"/>
      </w:pPr>
      <w:r>
        <w:rPr>
          <w:rFonts w:ascii="Arial" w:cs="Arial" w:eastAsia="Arial" w:hAnsi="Arial"/>
          <w:sz w:val="22"/>
          <w:szCs w:val="22"/>
        </w:rPr>
        <w:t xml:space="preserve">Short-term forecasts of children in HHS care (7–30 day horizon)</w:t>
      </w:r>
    </w:p>
    <w:p>
      <w:pPr>
        <w:pStyle w:val="ListParagraph"/>
        <w:numPr>
          <w:ilvl w:val="0"/>
          <w:numId w:val="2"/>
        </w:numPr>
        <w:spacing w:after="60" w:before="60"/>
      </w:pPr>
      <w:r>
        <w:rPr>
          <w:rFonts w:ascii="Arial" w:cs="Arial" w:eastAsia="Arial" w:hAnsi="Arial"/>
          <w:sz w:val="22"/>
          <w:szCs w:val="22"/>
        </w:rPr>
        <w:t xml:space="preserve">Predictive estimates of discharge (sponsor placement) demand</w:t>
      </w:r>
    </w:p>
    <w:p>
      <w:pPr>
        <w:pStyle w:val="ListParagraph"/>
        <w:numPr>
          <w:ilvl w:val="0"/>
          <w:numId w:val="2"/>
        </w:numPr>
        <w:spacing w:after="60" w:before="60"/>
      </w:pPr>
      <w:r>
        <w:rPr>
          <w:rFonts w:ascii="Arial" w:cs="Arial" w:eastAsia="Arial" w:hAnsi="Arial"/>
          <w:sz w:val="22"/>
          <w:szCs w:val="22"/>
        </w:rPr>
        <w:t xml:space="preserve">Quantified early-warning indicators for upcoming capacity stress</w:t>
      </w:r>
    </w:p>
    <w:p>
      <w:pPr>
        <w:pStyle w:val="Heading2"/>
        <w:spacing w:after="160" w:before="300"/>
      </w:pPr>
      <w:r>
        <w:rPr>
          <w:rFonts w:ascii="Arial" w:cs="Arial" w:eastAsia="Arial" w:hAnsi="Arial"/>
          <w:b/>
          <w:bCs/>
          <w:color w:val="1A5276"/>
          <w:sz w:val="26"/>
          <w:szCs w:val="26"/>
        </w:rPr>
        <w:t xml:space="preserve">2.3 Project Objectives</w:t>
      </w:r>
    </w:p>
    <w:p>
      <w:pPr>
        <w:spacing w:after="80" w:before="80"/>
        <w:jc w:val="both"/>
      </w:pPr>
      <w:r>
        <w:rPr>
          <w:rFonts w:ascii="Arial" w:cs="Arial" w:eastAsia="Arial" w:hAnsi="Arial"/>
          <w:sz w:val="22"/>
          <w:szCs w:val="22"/>
        </w:rPr>
        <w:t xml:space="preserve">This study addresses these gaps through four primary objectives:</w:t>
      </w:r>
    </w:p>
    <w:p>
      <w:pPr>
        <w:pStyle w:val="ListParagraph"/>
        <w:numPr>
          <w:ilvl w:val="0"/>
          <w:numId w:val="2"/>
        </w:numPr>
        <w:spacing w:after="60" w:before="60"/>
      </w:pPr>
      <w:r>
        <w:rPr>
          <w:rFonts w:ascii="Arial" w:cs="Arial" w:eastAsia="Arial" w:hAnsi="Arial"/>
          <w:sz w:val="22"/>
          <w:szCs w:val="22"/>
        </w:rPr>
        <w:t xml:space="preserve">Develop accurate forecasting models for HHS care load using time-series and machine learning approaches</w:t>
      </w:r>
    </w:p>
    <w:p>
      <w:pPr>
        <w:pStyle w:val="ListParagraph"/>
        <w:numPr>
          <w:ilvl w:val="0"/>
          <w:numId w:val="2"/>
        </w:numPr>
        <w:spacing w:after="60" w:before="60"/>
      </w:pPr>
      <w:r>
        <w:rPr>
          <w:rFonts w:ascii="Arial" w:cs="Arial" w:eastAsia="Arial" w:hAnsi="Arial"/>
          <w:sz w:val="22"/>
          <w:szCs w:val="22"/>
        </w:rPr>
        <w:t xml:space="preserve">Estimate future intake-discharge imbalance as a capacity risk signal</w:t>
      </w:r>
    </w:p>
    <w:p>
      <w:pPr>
        <w:pStyle w:val="ListParagraph"/>
        <w:numPr>
          <w:ilvl w:val="0"/>
          <w:numId w:val="2"/>
        </w:numPr>
        <w:spacing w:after="60" w:before="60"/>
      </w:pPr>
      <w:r>
        <w:rPr>
          <w:rFonts w:ascii="Arial" w:cs="Arial" w:eastAsia="Arial" w:hAnsi="Arial"/>
          <w:sz w:val="22"/>
          <w:szCs w:val="22"/>
        </w:rPr>
        <w:t xml:space="preserve">Predict short-term discharge demand to support staffing and caseworker planning</w:t>
      </w:r>
    </w:p>
    <w:p>
      <w:pPr>
        <w:pStyle w:val="ListParagraph"/>
        <w:numPr>
          <w:ilvl w:val="0"/>
          <w:numId w:val="2"/>
        </w:numPr>
        <w:spacing w:after="60" w:before="60"/>
      </w:pPr>
      <w:r>
        <w:rPr>
          <w:rFonts w:ascii="Arial" w:cs="Arial" w:eastAsia="Arial" w:hAnsi="Arial"/>
          <w:sz w:val="22"/>
          <w:szCs w:val="22"/>
        </w:rPr>
        <w:t xml:space="preserve">Deliver a Streamlit-based interactive dashboard for operational decision support</w:t>
      </w:r>
    </w:p>
    <w:p>
      <w:r>
        <w:br w:type="page"/>
      </w:r>
    </w:p>
    <w:p>
      <w:pPr>
        <w:pStyle w:val="Heading1"/>
        <w:spacing w:after="200" w:before="400"/>
      </w:pPr>
      <w:r>
        <w:rPr>
          <w:rFonts w:ascii="Arial" w:cs="Arial" w:eastAsia="Arial" w:hAnsi="Arial"/>
          <w:b/>
          <w:bCs/>
          <w:color w:val="003366"/>
          <w:sz w:val="32"/>
          <w:szCs w:val="32"/>
        </w:rPr>
        <w:t xml:space="preserve">3. Dataset Description</w:t>
      </w:r>
    </w:p>
    <w:p>
      <w:pPr>
        <w:pStyle w:val="Heading2"/>
        <w:spacing w:after="160" w:before="300"/>
      </w:pPr>
      <w:r>
        <w:rPr>
          <w:rFonts w:ascii="Arial" w:cs="Arial" w:eastAsia="Arial" w:hAnsi="Arial"/>
          <w:b/>
          <w:bCs/>
          <w:color w:val="1A5276"/>
          <w:sz w:val="26"/>
          <w:szCs w:val="26"/>
        </w:rPr>
        <w:t xml:space="preserve">3.1 Source &amp; Coverage</w:t>
      </w:r>
    </w:p>
    <w:p>
      <w:pPr>
        <w:spacing w:after="80" w:before="80"/>
        <w:jc w:val="both"/>
      </w:pPr>
      <w:r>
        <w:rPr>
          <w:rFonts w:ascii="Arial" w:cs="Arial" w:eastAsia="Arial" w:hAnsi="Arial"/>
          <w:sz w:val="22"/>
          <w:szCs w:val="22"/>
        </w:rPr>
        <w:t xml:space="preserve">The dataset is sourced from HHS administrative records and contains daily counts across six program metrics. After removing blank rows, the working dataset consists of 720 reporting-day observations spanning January 26, 2023 to December 21, 2025.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 / Variable</w:t>
            </w:r>
          </w:p>
        </w:tc>
        <w:tc>
          <w:tcPr>
            <w:tcW w:type="dxa" w:w="586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Date</w:t>
            </w:r>
          </w:p>
        </w:tc>
        <w:tc>
          <w:tcPr>
            <w:tcW w:type="dxa" w:w="58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Reporting date (business days only; weekends/holidays absent)</w:t>
            </w:r>
          </w:p>
        </w:tc>
      </w:tr>
      <w:tr>
        <w:tc>
          <w:tcPr>
            <w:tcW w:type="dxa" w:w="350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bCs/>
                <w:sz w:val="20"/>
                <w:szCs w:val="20"/>
              </w:rPr>
              <w:t xml:space="preserve">Children apprehended (CBP custody)</w:t>
            </w:r>
          </w:p>
        </w:tc>
        <w:tc>
          <w:tcPr>
            <w:tcW w:type="dxa" w:w="586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Daily count of children taken into CBP custody</w:t>
            </w:r>
          </w:p>
        </w:tc>
      </w:tr>
      <w:tr>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Children in CBP custody</w:t>
            </w:r>
          </w:p>
        </w:tc>
        <w:tc>
          <w:tcPr>
            <w:tcW w:type="dxa" w:w="58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Active daily care load under CBP</w:t>
            </w:r>
          </w:p>
        </w:tc>
      </w:tr>
      <w:tr>
        <w:tc>
          <w:tcPr>
            <w:tcW w:type="dxa" w:w="350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bCs/>
                <w:sz w:val="20"/>
                <w:szCs w:val="20"/>
              </w:rPr>
              <w:t xml:space="preserve">Children transferred out of CBP</w:t>
            </w:r>
          </w:p>
        </w:tc>
        <w:tc>
          <w:tcPr>
            <w:tcW w:type="dxa" w:w="586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Flow of children transferred into the HHS system</w:t>
            </w:r>
          </w:p>
        </w:tc>
      </w:tr>
      <w:tr>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Children in HHS Care</w:t>
            </w:r>
          </w:p>
        </w:tc>
        <w:tc>
          <w:tcPr>
            <w:tcW w:type="dxa" w:w="58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Primary target variable: active HHS care load</w:t>
            </w:r>
          </w:p>
        </w:tc>
      </w:tr>
      <w:tr>
        <w:tc>
          <w:tcPr>
            <w:tcW w:type="dxa" w:w="350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bCs/>
                <w:sz w:val="20"/>
                <w:szCs w:val="20"/>
              </w:rPr>
              <w:t xml:space="preserve">Children discharged from HHS Care</w:t>
            </w:r>
          </w:p>
        </w:tc>
        <w:tc>
          <w:tcPr>
            <w:tcW w:type="dxa" w:w="586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Successful sponsor placements (daily count)</w:t>
            </w:r>
          </w:p>
        </w:tc>
      </w:tr>
    </w:tbl>
    <w:p>
      <w:pPr>
        <w:pStyle w:val="Heading2"/>
        <w:spacing w:after="160" w:before="300"/>
      </w:pPr>
      <w:r>
        <w:rPr>
          <w:rFonts w:ascii="Arial" w:cs="Arial" w:eastAsia="Arial" w:hAnsi="Arial"/>
          <w:b/>
          <w:bCs/>
          <w:color w:val="1A5276"/>
          <w:sz w:val="26"/>
          <w:szCs w:val="26"/>
        </w:rPr>
        <w:t xml:space="preserve">3.2 Summary Statistics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312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156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w:t>
            </w:r>
          </w:p>
        </w:tc>
        <w:tc>
          <w:tcPr>
            <w:tcW w:type="dxa" w:w="156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Min</w:t>
            </w:r>
          </w:p>
        </w:tc>
        <w:tc>
          <w:tcPr>
            <w:tcW w:type="dxa" w:w="156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w:t>
            </w:r>
          </w:p>
        </w:tc>
        <w:tc>
          <w:tcPr>
            <w:tcW w:type="dxa" w:w="156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Std Dev</w:t>
            </w:r>
          </w:p>
        </w:tc>
      </w:tr>
      <w:tr>
        <w:tc>
          <w:tcPr>
            <w:tcW w:type="dxa" w:w="31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CBP Apprehended</w:t>
            </w:r>
          </w:p>
        </w:tc>
        <w:tc>
          <w:tcPr>
            <w:tcW w:type="dxa" w:w="1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93.5</w:t>
            </w:r>
          </w:p>
        </w:tc>
        <w:tc>
          <w:tcPr>
            <w:tcW w:type="dxa" w:w="1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0</w:t>
            </w:r>
          </w:p>
        </w:tc>
        <w:tc>
          <w:tcPr>
            <w:tcW w:type="dxa" w:w="1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333</w:t>
            </w:r>
          </w:p>
        </w:tc>
        <w:tc>
          <w:tcPr>
            <w:tcW w:type="dxa" w:w="1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72.6</w:t>
            </w:r>
          </w:p>
        </w:tc>
      </w:tr>
      <w:tr>
        <w:tc>
          <w:tcPr>
            <w:tcW w:type="dxa" w:w="312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bCs/>
                <w:sz w:val="20"/>
                <w:szCs w:val="20"/>
              </w:rPr>
              <w:t xml:space="preserve">CBP Custody</w:t>
            </w:r>
          </w:p>
        </w:tc>
        <w:tc>
          <w:tcPr>
            <w:tcW w:type="dxa" w:w="156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375.1</w:t>
            </w:r>
          </w:p>
        </w:tc>
        <w:tc>
          <w:tcPr>
            <w:tcW w:type="dxa" w:w="156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0</w:t>
            </w:r>
          </w:p>
        </w:tc>
        <w:tc>
          <w:tcPr>
            <w:tcW w:type="dxa" w:w="156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1,327</w:t>
            </w:r>
          </w:p>
        </w:tc>
        <w:tc>
          <w:tcPr>
            <w:tcW w:type="dxa" w:w="156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277.1</w:t>
            </w:r>
          </w:p>
        </w:tc>
      </w:tr>
      <w:tr>
        <w:tc>
          <w:tcPr>
            <w:tcW w:type="dxa" w:w="31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HHS Transfers In</w:t>
            </w:r>
          </w:p>
        </w:tc>
        <w:tc>
          <w:tcPr>
            <w:tcW w:type="dxa" w:w="1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129.1</w:t>
            </w:r>
          </w:p>
        </w:tc>
        <w:tc>
          <w:tcPr>
            <w:tcW w:type="dxa" w:w="1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0</w:t>
            </w:r>
          </w:p>
        </w:tc>
        <w:tc>
          <w:tcPr>
            <w:tcW w:type="dxa" w:w="1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512</w:t>
            </w:r>
          </w:p>
        </w:tc>
        <w:tc>
          <w:tcPr>
            <w:tcW w:type="dxa" w:w="1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112.3</w:t>
            </w:r>
          </w:p>
        </w:tc>
      </w:tr>
      <w:tr>
        <w:tc>
          <w:tcPr>
            <w:tcW w:type="dxa" w:w="312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bCs/>
                <w:sz w:val="20"/>
                <w:szCs w:val="20"/>
              </w:rPr>
              <w:t xml:space="preserve">Children in HHS Care (Target)</w:t>
            </w:r>
          </w:p>
        </w:tc>
        <w:tc>
          <w:tcPr>
            <w:tcW w:type="dxa" w:w="156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6,051</w:t>
            </w:r>
          </w:p>
        </w:tc>
        <w:tc>
          <w:tcPr>
            <w:tcW w:type="dxa" w:w="156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1,972</w:t>
            </w:r>
          </w:p>
        </w:tc>
        <w:tc>
          <w:tcPr>
            <w:tcW w:type="dxa" w:w="156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11,516</w:t>
            </w:r>
          </w:p>
        </w:tc>
        <w:tc>
          <w:tcPr>
            <w:tcW w:type="dxa" w:w="156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2,833</w:t>
            </w:r>
          </w:p>
        </w:tc>
      </w:tr>
      <w:tr>
        <w:tc>
          <w:tcPr>
            <w:tcW w:type="dxa" w:w="31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HHS Discharged</w:t>
            </w:r>
          </w:p>
        </w:tc>
        <w:tc>
          <w:tcPr>
            <w:tcW w:type="dxa" w:w="1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173.4</w:t>
            </w:r>
          </w:p>
        </w:tc>
        <w:tc>
          <w:tcPr>
            <w:tcW w:type="dxa" w:w="1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0</w:t>
            </w:r>
          </w:p>
        </w:tc>
        <w:tc>
          <w:tcPr>
            <w:tcW w:type="dxa" w:w="1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505</w:t>
            </w:r>
          </w:p>
        </w:tc>
        <w:tc>
          <w:tcPr>
            <w:tcW w:type="dxa" w:w="1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125.7</w:t>
            </w:r>
          </w:p>
        </w:tc>
      </w:tr>
    </w:tbl>
    <w:p>
      <w:pPr>
        <w:spacing w:after="80" w:before="80"/>
      </w:pPr>
      <w:r>
        <w:t xml:space="preserve"/>
      </w:r>
    </w:p>
    <w:p>
      <w:pPr>
        <w:pStyle w:val="Heading2"/>
        <w:spacing w:after="160" w:before="300"/>
      </w:pPr>
      <w:r>
        <w:rPr>
          <w:rFonts w:ascii="Arial" w:cs="Arial" w:eastAsia="Arial" w:hAnsi="Arial"/>
          <w:b/>
          <w:bCs/>
          <w:color w:val="1A5276"/>
          <w:sz w:val="26"/>
          <w:szCs w:val="26"/>
        </w:rPr>
        <w:t xml:space="preserve">3.3 Data Quality &amp; Preprocessing</w:t>
      </w:r>
    </w:p>
    <w:p>
      <w:pPr>
        <w:spacing w:after="80" w:before="80"/>
        <w:jc w:val="both"/>
      </w:pPr>
      <w:r>
        <w:rPr>
          <w:rFonts w:ascii="Arial" w:cs="Arial" w:eastAsia="Arial" w:hAnsi="Arial"/>
          <w:sz w:val="22"/>
          <w:szCs w:val="22"/>
        </w:rPr>
        <w:t xml:space="preserve">The raw dataset contains 1,170 rows, of which 450 are empty rows representing missing reporting days (weekends, federal holidays, and non-reporting periods). After removing these rows, 720 valid records remained. For modeling purposes, the time series was reindexed to a continuous daily frequency (1,061 days total), with missing intermediate days filled via time-based linear interpolation to ensure consistent temporal structure required by lag-based feature engineering.</w:t>
      </w:r>
    </w:p>
    <w:p>
      <w:r>
        <w:br w:type="page"/>
      </w:r>
    </w:p>
    <w:p>
      <w:pPr>
        <w:pStyle w:val="Heading1"/>
        <w:spacing w:after="200" w:before="400"/>
      </w:pPr>
      <w:r>
        <w:rPr>
          <w:rFonts w:ascii="Arial" w:cs="Arial" w:eastAsia="Arial" w:hAnsi="Arial"/>
          <w:b/>
          <w:bCs/>
          <w:color w:val="003366"/>
          <w:sz w:val="32"/>
          <w:szCs w:val="32"/>
        </w:rPr>
        <w:t xml:space="preserve">4. Exploratory Data Analysis</w:t>
      </w:r>
    </w:p>
    <w:p>
      <w:pPr>
        <w:pStyle w:val="Heading2"/>
        <w:spacing w:after="160" w:before="300"/>
      </w:pPr>
      <w:r>
        <w:rPr>
          <w:rFonts w:ascii="Arial" w:cs="Arial" w:eastAsia="Arial" w:hAnsi="Arial"/>
          <w:b/>
          <w:bCs/>
          <w:color w:val="1A5276"/>
          <w:sz w:val="26"/>
          <w:szCs w:val="26"/>
        </w:rPr>
        <w:t xml:space="preserve">4.1 Care Load Trend (2023–2025)</w:t>
      </w:r>
    </w:p>
    <w:p>
      <w:pPr>
        <w:spacing w:after="80" w:before="80"/>
        <w:jc w:val="both"/>
      </w:pPr>
      <w:r>
        <w:rPr>
          <w:rFonts w:ascii="Arial" w:cs="Arial" w:eastAsia="Arial" w:hAnsi="Arial"/>
          <w:sz w:val="22"/>
          <w:szCs w:val="22"/>
        </w:rPr>
        <w:t xml:space="preserve">The HHS care load followed a pronounced multi-phase trajectory over the study period:</w:t>
      </w:r>
    </w:p>
    <w:p>
      <w:pPr>
        <w:pStyle w:val="ListParagraph"/>
        <w:numPr>
          <w:ilvl w:val="0"/>
          <w:numId w:val="2"/>
        </w:numPr>
        <w:spacing w:after="60" w:before="60"/>
      </w:pPr>
      <w:r>
        <w:rPr>
          <w:rFonts w:ascii="Arial" w:cs="Arial" w:eastAsia="Arial" w:hAnsi="Arial"/>
          <w:sz w:val="22"/>
          <w:szCs w:val="22"/>
        </w:rPr>
        <w:t xml:space="preserve">Phase 1 (Jan–May 2023): Gradual ramp-up from approximately 2,000 to 5,000 children as the fiscal year intake cycle began.</w:t>
      </w:r>
    </w:p>
    <w:p>
      <w:pPr>
        <w:pStyle w:val="ListParagraph"/>
        <w:numPr>
          <w:ilvl w:val="0"/>
          <w:numId w:val="2"/>
        </w:numPr>
        <w:spacing w:after="60" w:before="60"/>
      </w:pPr>
      <w:r>
        <w:rPr>
          <w:rFonts w:ascii="Arial" w:cs="Arial" w:eastAsia="Arial" w:hAnsi="Arial"/>
          <w:sz w:val="22"/>
          <w:szCs w:val="22"/>
        </w:rPr>
        <w:t xml:space="preserve">Phase 2 (Jun 2023–Apr 2024): Sustained surge, reaching a peak of 11,516 children in mid-2024. This period corresponded with elevated border activity and constrained discharge throughput.</w:t>
      </w:r>
    </w:p>
    <w:p>
      <w:pPr>
        <w:pStyle w:val="ListParagraph"/>
        <w:numPr>
          <w:ilvl w:val="0"/>
          <w:numId w:val="2"/>
        </w:numPr>
        <w:spacing w:after="60" w:before="60"/>
      </w:pPr>
      <w:r>
        <w:rPr>
          <w:rFonts w:ascii="Arial" w:cs="Arial" w:eastAsia="Arial" w:hAnsi="Arial"/>
          <w:sz w:val="22"/>
          <w:szCs w:val="22"/>
        </w:rPr>
        <w:t xml:space="preserve">Phase 3 (May–Dec 2024): Significant and sustained decline driven by expanded shelter capacity, accelerated case management, and improved sponsor placement throughput. The care load fell from over 11,000 to approximately 2,500.</w:t>
      </w:r>
    </w:p>
    <w:p>
      <w:pPr>
        <w:pStyle w:val="ListParagraph"/>
        <w:numPr>
          <w:ilvl w:val="0"/>
          <w:numId w:val="2"/>
        </w:numPr>
        <w:spacing w:after="60" w:before="60"/>
      </w:pPr>
      <w:r>
        <w:rPr>
          <w:rFonts w:ascii="Arial" w:cs="Arial" w:eastAsia="Arial" w:hAnsi="Arial"/>
          <w:sz w:val="22"/>
          <w:szCs w:val="22"/>
        </w:rPr>
        <w:t xml:space="preserve">Phase 4 (Jan–Dec 2025): Stabilization in the 2,400–3,500 range, reflecting reduced border encounters and maintained placement efficiency.</w:t>
      </w:r>
    </w:p>
    <w:p>
      <w:pPr>
        <w:pStyle w:val="Heading2"/>
        <w:spacing w:after="160" w:before="300"/>
      </w:pPr>
      <w:r>
        <w:rPr>
          <w:rFonts w:ascii="Arial" w:cs="Arial" w:eastAsia="Arial" w:hAnsi="Arial"/>
          <w:b/>
          <w:bCs/>
          <w:color w:val="1A5276"/>
          <w:sz w:val="26"/>
          <w:szCs w:val="26"/>
        </w:rPr>
        <w:t xml:space="preserve">4.2 Discharge Patterns</w:t>
      </w:r>
    </w:p>
    <w:p>
      <w:pPr>
        <w:spacing w:after="80" w:before="80"/>
        <w:jc w:val="both"/>
      </w:pPr>
      <w:r>
        <w:rPr>
          <w:rFonts w:ascii="Arial" w:cs="Arial" w:eastAsia="Arial" w:hAnsi="Arial"/>
          <w:sz w:val="22"/>
          <w:szCs w:val="22"/>
        </w:rPr>
        <w:t xml:space="preserve">Average daily discharges over the full study period were 173 children/day, with strong positive correlation (r &gt; 0.85) with care load levels. Discharge volumes exhibited a clear seasonal weekly pattern, with substantially higher activity on weekdays versus weekends. The highest discharge volumes occurred during the surge peak (2023–2024), when active casework resources were scaled accordingly.</w:t>
      </w:r>
    </w:p>
    <w:p>
      <w:pPr>
        <w:pStyle w:val="Heading2"/>
        <w:spacing w:after="160" w:before="300"/>
      </w:pPr>
      <w:r>
        <w:rPr>
          <w:rFonts w:ascii="Arial" w:cs="Arial" w:eastAsia="Arial" w:hAnsi="Arial"/>
          <w:b/>
          <w:bCs/>
          <w:color w:val="1A5276"/>
          <w:sz w:val="26"/>
          <w:szCs w:val="26"/>
        </w:rPr>
        <w:t xml:space="preserve">4.3 Intake-Discharge Balance</w:t>
      </w:r>
    </w:p>
    <w:p>
      <w:pPr>
        <w:spacing w:after="80" w:before="80"/>
        <w:jc w:val="both"/>
      </w:pPr>
      <w:r>
        <w:rPr>
          <w:rFonts w:ascii="Arial" w:cs="Arial" w:eastAsia="Arial" w:hAnsi="Arial"/>
          <w:sz w:val="22"/>
          <w:szCs w:val="22"/>
        </w:rPr>
        <w:t xml:space="preserve">Net pressure (HHS Transfers minus Daily Discharges) is a key leading indicator of care load direction. Periods of sustained positive net pressure (intake &gt; discharges) preceded care load increases by 7–14 days, while sustained negative net pressure preceded declines. This relationship forms the basis for the net_pressure feature used in predictive models.</w:t>
      </w:r>
    </w:p>
    <w:p>
      <w:pPr>
        <w:pStyle w:val="Heading2"/>
        <w:spacing w:after="160" w:before="300"/>
      </w:pPr>
      <w:r>
        <w:rPr>
          <w:rFonts w:ascii="Arial" w:cs="Arial" w:eastAsia="Arial" w:hAnsi="Arial"/>
          <w:b/>
          <w:bCs/>
          <w:color w:val="1A5276"/>
          <w:sz w:val="26"/>
          <w:szCs w:val="26"/>
        </w:rPr>
        <w:t xml:space="preserve">4.4 Correlation Analysis</w:t>
      </w:r>
    </w:p>
    <w:p>
      <w:pPr>
        <w:spacing w:after="80" w:before="80"/>
        <w:jc w:val="both"/>
      </w:pPr>
      <w:r>
        <w:rPr>
          <w:rFonts w:ascii="Arial" w:cs="Arial" w:eastAsia="Arial" w:hAnsi="Arial"/>
          <w:sz w:val="22"/>
          <w:szCs w:val="22"/>
        </w:rPr>
        <w:t xml:space="preserve">Correlation analysis across the five numeric variables reveals:</w:t>
      </w:r>
    </w:p>
    <w:p>
      <w:pPr>
        <w:pStyle w:val="ListParagraph"/>
        <w:numPr>
          <w:ilvl w:val="0"/>
          <w:numId w:val="2"/>
        </w:numPr>
        <w:spacing w:after="60" w:before="60"/>
      </w:pPr>
      <w:r>
        <w:rPr>
          <w:rFonts w:ascii="Arial" w:cs="Arial" w:eastAsia="Arial" w:hAnsi="Arial"/>
          <w:sz w:val="22"/>
          <w:szCs w:val="22"/>
        </w:rPr>
        <w:t xml:space="preserve">Strong positive correlation between CBP Apprehended and HHS Transfers (r = 0.82), reflecting the upstream-downstream pipeline relationship.</w:t>
      </w:r>
    </w:p>
    <w:p>
      <w:pPr>
        <w:pStyle w:val="ListParagraph"/>
        <w:numPr>
          <w:ilvl w:val="0"/>
          <w:numId w:val="2"/>
        </w:numPr>
        <w:spacing w:after="60" w:before="60"/>
      </w:pPr>
      <w:r>
        <w:rPr>
          <w:rFonts w:ascii="Arial" w:cs="Arial" w:eastAsia="Arial" w:hAnsi="Arial"/>
          <w:sz w:val="22"/>
          <w:szCs w:val="22"/>
        </w:rPr>
        <w:t xml:space="preserve">Strong positive correlation between HHS Transfers and HHS Care load (r = 0.78), with a typical 3–7 day lag.</w:t>
      </w:r>
    </w:p>
    <w:p>
      <w:pPr>
        <w:pStyle w:val="ListParagraph"/>
        <w:numPr>
          <w:ilvl w:val="0"/>
          <w:numId w:val="2"/>
        </w:numPr>
        <w:spacing w:after="60" w:before="60"/>
      </w:pPr>
      <w:r>
        <w:rPr>
          <w:rFonts w:ascii="Arial" w:cs="Arial" w:eastAsia="Arial" w:hAnsi="Arial"/>
          <w:sz w:val="22"/>
          <w:szCs w:val="22"/>
        </w:rPr>
        <w:t xml:space="preserve">Moderate positive correlation between HHS Care and HHS Discharged (r = 0.71), reflecting resource scaling with load.</w:t>
      </w:r>
    </w:p>
    <w:p>
      <w:r>
        <w:br w:type="page"/>
      </w:r>
    </w:p>
    <w:p>
      <w:pPr>
        <w:pStyle w:val="Heading1"/>
        <w:spacing w:after="200" w:before="400"/>
      </w:pPr>
      <w:r>
        <w:rPr>
          <w:rFonts w:ascii="Arial" w:cs="Arial" w:eastAsia="Arial" w:hAnsi="Arial"/>
          <w:b/>
          <w:bCs/>
          <w:color w:val="003366"/>
          <w:sz w:val="32"/>
          <w:szCs w:val="32"/>
        </w:rPr>
        <w:t xml:space="preserve">5. Analytical Methodology</w:t>
      </w:r>
    </w:p>
    <w:p>
      <w:pPr>
        <w:pStyle w:val="Heading2"/>
        <w:spacing w:after="160" w:before="300"/>
      </w:pPr>
      <w:r>
        <w:rPr>
          <w:rFonts w:ascii="Arial" w:cs="Arial" w:eastAsia="Arial" w:hAnsi="Arial"/>
          <w:b/>
          <w:bCs/>
          <w:color w:val="1A5276"/>
          <w:sz w:val="26"/>
          <w:szCs w:val="26"/>
        </w:rPr>
        <w:t xml:space="preserve">5.1 Time-Series Preparation</w:t>
      </w:r>
    </w:p>
    <w:p>
      <w:pPr>
        <w:spacing w:after="80" w:before="80"/>
        <w:jc w:val="both"/>
      </w:pPr>
      <w:r>
        <w:rPr>
          <w:rFonts w:ascii="Arial" w:cs="Arial" w:eastAsia="Arial" w:hAnsi="Arial"/>
          <w:sz w:val="22"/>
          <w:szCs w:val="22"/>
        </w:rPr>
        <w:t xml:space="preserve">The Date column was converted to a pandas DatetimeIndex and the series was reindexed to a continuous daily frequency spanning the full observation window. Missing intermediate days (355 calendar days) were filled via time-based linear interpolation. This ensures feature engineering operations (rolling windows, lag computations) behave correctly without introducing artificial gaps.</w:t>
      </w:r>
    </w:p>
    <w:p>
      <w:pPr>
        <w:pStyle w:val="Heading2"/>
        <w:spacing w:after="160" w:before="300"/>
      </w:pPr>
      <w:r>
        <w:rPr>
          <w:rFonts w:ascii="Arial" w:cs="Arial" w:eastAsia="Arial" w:hAnsi="Arial"/>
          <w:b/>
          <w:bCs/>
          <w:color w:val="1A5276"/>
          <w:sz w:val="26"/>
          <w:szCs w:val="26"/>
        </w:rPr>
        <w:t xml:space="preserve">5.2 Feature Engineering</w:t>
      </w:r>
    </w:p>
    <w:p>
      <w:pPr>
        <w:spacing w:after="80" w:before="80"/>
        <w:jc w:val="both"/>
      </w:pPr>
      <w:r>
        <w:rPr>
          <w:rFonts w:ascii="Arial" w:cs="Arial" w:eastAsia="Arial" w:hAnsi="Arial"/>
          <w:sz w:val="22"/>
          <w:szCs w:val="22"/>
        </w:rPr>
        <w:t xml:space="preserve">Twelve predictive features were engineered from the raw 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24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436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lag_1, lag_7, lag_14</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Lag Features</w:t>
            </w:r>
          </w:p>
        </w:tc>
        <w:tc>
          <w:tcPr>
            <w:tcW w:type="dxa" w:w="4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HHS Care load t-1, t-7, t-14 days prior</w:t>
            </w:r>
          </w:p>
        </w:tc>
      </w:tr>
      <w:tr>
        <w:tc>
          <w:tcPr>
            <w:tcW w:type="dxa" w:w="260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bCs/>
                <w:sz w:val="20"/>
                <w:szCs w:val="20"/>
              </w:rPr>
              <w:t xml:space="preserve">roll7_mean, roll14_mean</w:t>
            </w:r>
          </w:p>
        </w:tc>
        <w:tc>
          <w:tcPr>
            <w:tcW w:type="dxa" w:w="240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Rolling Statistics</w:t>
            </w:r>
          </w:p>
        </w:tc>
        <w:tc>
          <w:tcPr>
            <w:tcW w:type="dxa" w:w="436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7-day and 14-day rolling mean of HHS Care</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roll7_std</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Rolling Statistics</w:t>
            </w:r>
          </w:p>
        </w:tc>
        <w:tc>
          <w:tcPr>
            <w:tcW w:type="dxa" w:w="4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7-day rolling standard deviation (volatility)</w:t>
            </w:r>
          </w:p>
        </w:tc>
      </w:tr>
      <w:tr>
        <w:tc>
          <w:tcPr>
            <w:tcW w:type="dxa" w:w="260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bCs/>
                <w:sz w:val="20"/>
                <w:szCs w:val="20"/>
              </w:rPr>
              <w:t xml:space="preserve">net_pressure</w:t>
            </w:r>
          </w:p>
        </w:tc>
        <w:tc>
          <w:tcPr>
            <w:tcW w:type="dxa" w:w="240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Flow Signal</w:t>
            </w:r>
          </w:p>
        </w:tc>
        <w:tc>
          <w:tcPr>
            <w:tcW w:type="dxa" w:w="436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HHS Transfers minus Daily Discharges</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net_pressure_lag1</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Flow Signal</w:t>
            </w:r>
          </w:p>
        </w:tc>
        <w:tc>
          <w:tcPr>
            <w:tcW w:type="dxa" w:w="4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net_pressure lagged by one day</w:t>
            </w:r>
          </w:p>
        </w:tc>
      </w:tr>
      <w:tr>
        <w:tc>
          <w:tcPr>
            <w:tcW w:type="dxa" w:w="260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bCs/>
                <w:sz w:val="20"/>
                <w:szCs w:val="20"/>
              </w:rPr>
              <w:t xml:space="preserve">dow, month</w:t>
            </w:r>
          </w:p>
        </w:tc>
        <w:tc>
          <w:tcPr>
            <w:tcW w:type="dxa" w:w="240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Calendar Effects</w:t>
            </w:r>
          </w:p>
        </w:tc>
        <w:tc>
          <w:tcPr>
            <w:tcW w:type="dxa" w:w="436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Day-of-week and calendar month (integer encoded)</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CBP_Apprehended</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Upstream Signal</w:t>
            </w:r>
          </w:p>
        </w:tc>
        <w:tc>
          <w:tcPr>
            <w:tcW w:type="dxa" w:w="4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Daily CBP apprehension count (leading indicator)</w:t>
            </w:r>
          </w:p>
        </w:tc>
      </w:tr>
      <w:tr>
        <w:tc>
          <w:tcPr>
            <w:tcW w:type="dxa" w:w="260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bCs/>
                <w:sz w:val="20"/>
                <w:szCs w:val="20"/>
              </w:rPr>
              <w:t xml:space="preserve">HHS_Transfers</w:t>
            </w:r>
          </w:p>
        </w:tc>
        <w:tc>
          <w:tcPr>
            <w:tcW w:type="dxa" w:w="240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Flow Input</w:t>
            </w:r>
          </w:p>
        </w:tc>
        <w:tc>
          <w:tcPr>
            <w:tcW w:type="dxa" w:w="436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Daily CBP-to-HHS transfer count</w:t>
            </w:r>
          </w:p>
        </w:tc>
      </w:tr>
    </w:tbl>
    <w:p>
      <w:pPr>
        <w:spacing w:after="80" w:before="80"/>
      </w:pPr>
      <w:r>
        <w:t xml:space="preserve"/>
      </w:r>
    </w:p>
    <w:p>
      <w:pPr>
        <w:pStyle w:val="Heading2"/>
        <w:spacing w:after="160" w:before="300"/>
      </w:pPr>
      <w:r>
        <w:rPr>
          <w:rFonts w:ascii="Arial" w:cs="Arial" w:eastAsia="Arial" w:hAnsi="Arial"/>
          <w:b/>
          <w:bCs/>
          <w:color w:val="1A5276"/>
          <w:sz w:val="26"/>
          <w:szCs w:val="26"/>
        </w:rPr>
        <w:t xml:space="preserve">5.3 Train–Test Strategy</w:t>
      </w:r>
    </w:p>
    <w:p>
      <w:pPr>
        <w:spacing w:after="80" w:before="80"/>
        <w:jc w:val="both"/>
      </w:pPr>
      <w:r>
        <w:rPr>
          <w:rFonts w:ascii="Arial" w:cs="Arial" w:eastAsia="Arial" w:hAnsi="Arial"/>
          <w:sz w:val="22"/>
          <w:szCs w:val="22"/>
        </w:rPr>
        <w:t xml:space="preserve">A strict time-based 80/20 split was applied, with no random sampling or shuffling to preserve temporal integrity. The training set spans approximately January 2023 to mid-2025, and the test set covers the final 20% of the timeline. Walk-forward validation was used for multi-step forecasting evaluation. Model performance was assessed across short (1–7 day) and medium (8–30 day) forecast horizons.</w:t>
      </w:r>
    </w:p>
    <w:p>
      <w:pPr>
        <w:pStyle w:val="Heading2"/>
        <w:spacing w:after="160" w:before="300"/>
      </w:pPr>
      <w:r>
        <w:rPr>
          <w:rFonts w:ascii="Arial" w:cs="Arial" w:eastAsia="Arial" w:hAnsi="Arial"/>
          <w:b/>
          <w:bCs/>
          <w:color w:val="1A5276"/>
          <w:sz w:val="26"/>
          <w:szCs w:val="26"/>
        </w:rPr>
        <w:t xml:space="preserve">5.4 Forecasting Models</w:t>
      </w:r>
    </w:p>
    <w:p>
      <w:pPr>
        <w:spacing w:after="80" w:before="80"/>
        <w:jc w:val="both"/>
      </w:pPr>
      <w:r>
        <w:rPr>
          <w:rFonts w:ascii="Arial" w:cs="Arial" w:eastAsia="Arial" w:hAnsi="Arial"/>
          <w:sz w:val="22"/>
          <w:szCs w:val="22"/>
        </w:rPr>
        <w:t xml:space="preserve">Four models were trained and evaluated:</w:t>
      </w:r>
    </w:p>
    <w:p>
      <w:pPr>
        <w:pStyle w:val="ListParagraph"/>
        <w:numPr>
          <w:ilvl w:val="0"/>
          <w:numId w:val="2"/>
        </w:numPr>
        <w:spacing w:after="60" w:before="60"/>
      </w:pPr>
      <w:r>
        <w:rPr>
          <w:rFonts w:ascii="Arial" w:cs="Arial" w:eastAsia="Arial" w:hAnsi="Arial"/>
          <w:sz w:val="22"/>
          <w:szCs w:val="22"/>
        </w:rPr>
        <w:t xml:space="preserve">Naive Persistence: Predicts the next value as the most recent observed value. Serves as the primary baseline.</w:t>
      </w:r>
    </w:p>
    <w:p>
      <w:pPr>
        <w:pStyle w:val="ListParagraph"/>
        <w:numPr>
          <w:ilvl w:val="0"/>
          <w:numId w:val="2"/>
        </w:numPr>
        <w:spacing w:after="60" w:before="60"/>
      </w:pPr>
      <w:r>
        <w:rPr>
          <w:rFonts w:ascii="Arial" w:cs="Arial" w:eastAsia="Arial" w:hAnsi="Arial"/>
          <w:sz w:val="22"/>
          <w:szCs w:val="22"/>
        </w:rPr>
        <w:t xml:space="preserve">Moving Average (7-day): Forecasts using the trailing 7-day mean. Tests whether smoothed trends improve on naive baselines.</w:t>
      </w:r>
    </w:p>
    <w:p>
      <w:pPr>
        <w:pStyle w:val="ListParagraph"/>
        <w:numPr>
          <w:ilvl w:val="0"/>
          <w:numId w:val="2"/>
        </w:numPr>
        <w:spacing w:after="60" w:before="60"/>
      </w:pPr>
      <w:r>
        <w:rPr>
          <w:rFonts w:ascii="Arial" w:cs="Arial" w:eastAsia="Arial" w:hAnsi="Arial"/>
          <w:sz w:val="22"/>
          <w:szCs w:val="22"/>
        </w:rPr>
        <w:t xml:space="preserve">Random Forest Regressor: Ensemble of 200 decision trees with max depth 10. Captures non-linear feature interactions.</w:t>
      </w:r>
    </w:p>
    <w:p>
      <w:pPr>
        <w:pStyle w:val="ListParagraph"/>
        <w:numPr>
          <w:ilvl w:val="0"/>
          <w:numId w:val="2"/>
        </w:numPr>
        <w:spacing w:after="60" w:before="60"/>
      </w:pPr>
      <w:r>
        <w:rPr>
          <w:rFonts w:ascii="Arial" w:cs="Arial" w:eastAsia="Arial" w:hAnsi="Arial"/>
          <w:sz w:val="22"/>
          <w:szCs w:val="22"/>
        </w:rPr>
        <w:t xml:space="preserve">Gradient Boosting Regressor: Sequential ensemble of 200 trees (depth 4, learning rate 0.05). Optimized for bias-variance balance in time-series contexts.</w:t>
      </w:r>
    </w:p>
    <w:p>
      <w:r>
        <w:br w:type="page"/>
      </w:r>
    </w:p>
    <w:p>
      <w:pPr>
        <w:pStyle w:val="Heading1"/>
        <w:spacing w:after="200" w:before="400"/>
      </w:pPr>
      <w:r>
        <w:rPr>
          <w:rFonts w:ascii="Arial" w:cs="Arial" w:eastAsia="Arial" w:hAnsi="Arial"/>
          <w:b/>
          <w:bCs/>
          <w:color w:val="003366"/>
          <w:sz w:val="32"/>
          <w:szCs w:val="32"/>
        </w:rPr>
        <w:t xml:space="preserve">6. Model Results &amp; Evaluation</w:t>
      </w:r>
    </w:p>
    <w:p>
      <w:pPr>
        <w:pStyle w:val="Heading2"/>
        <w:spacing w:after="160" w:before="300"/>
      </w:pPr>
      <w:r>
        <w:rPr>
          <w:rFonts w:ascii="Arial" w:cs="Arial" w:eastAsia="Arial" w:hAnsi="Arial"/>
          <w:b/>
          <w:bCs/>
          <w:color w:val="1A5276"/>
          <w:sz w:val="26"/>
          <w:szCs w:val="26"/>
        </w:rPr>
        <w:t xml:space="preserve">6.1 Model Performance Comparison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rPr>
          <w:tblHeader/>
        </w:trPr>
        <w:tc>
          <w:tcPr>
            <w:tcW w:type="dxa" w:w="30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59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w:t>
            </w:r>
          </w:p>
        </w:tc>
        <w:tc>
          <w:tcPr>
            <w:tcW w:type="dxa" w:w="159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RMSE</w:t>
            </w:r>
          </w:p>
        </w:tc>
        <w:tc>
          <w:tcPr>
            <w:tcW w:type="dxa" w:w="159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MAPE (%)</w:t>
            </w:r>
          </w:p>
        </w:tc>
        <w:tc>
          <w:tcPr>
            <w:tcW w:type="dxa" w:w="159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Naive Persistence</w:t>
            </w:r>
          </w:p>
        </w:tc>
        <w:tc>
          <w:tcPr>
            <w:tcW w:type="dxa" w:w="159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6.7</w:t>
            </w:r>
          </w:p>
        </w:tc>
        <w:tc>
          <w:tcPr>
            <w:tcW w:type="dxa" w:w="159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8.3</w:t>
            </w:r>
          </w:p>
        </w:tc>
        <w:tc>
          <w:tcPr>
            <w:tcW w:type="dxa" w:w="159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0.30%</w:t>
            </w:r>
          </w:p>
        </w:tc>
        <w:tc>
          <w:tcPr>
            <w:tcW w:type="dxa" w:w="159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bCs/>
                <w:sz w:val="20"/>
                <w:szCs w:val="20"/>
              </w:rPr>
              <w:t xml:space="preserve">1 (Best)</w:t>
            </w:r>
          </w:p>
        </w:tc>
      </w:tr>
      <w:tr>
        <w:tc>
          <w:tcPr>
            <w:tcW w:type="dxa" w:w="300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bCs/>
                <w:sz w:val="20"/>
                <w:szCs w:val="20"/>
              </w:rPr>
              <w:t xml:space="preserve">Moving Average (7-day)</w:t>
            </w:r>
          </w:p>
        </w:tc>
        <w:tc>
          <w:tcPr>
            <w:tcW w:type="dxa" w:w="159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16.2</w:t>
            </w:r>
          </w:p>
        </w:tc>
        <w:tc>
          <w:tcPr>
            <w:tcW w:type="dxa" w:w="159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20.2</w:t>
            </w:r>
          </w:p>
        </w:tc>
        <w:tc>
          <w:tcPr>
            <w:tcW w:type="dxa" w:w="159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0.73%</w:t>
            </w:r>
          </w:p>
        </w:tc>
        <w:tc>
          <w:tcPr>
            <w:tcW w:type="dxa" w:w="159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2</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Random Forest</w:t>
            </w:r>
          </w:p>
        </w:tc>
        <w:tc>
          <w:tcPr>
            <w:tcW w:type="dxa" w:w="159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40.1</w:t>
            </w:r>
          </w:p>
        </w:tc>
        <w:tc>
          <w:tcPr>
            <w:tcW w:type="dxa" w:w="159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62.1</w:t>
            </w:r>
          </w:p>
        </w:tc>
        <w:tc>
          <w:tcPr>
            <w:tcW w:type="dxa" w:w="159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1.90%</w:t>
            </w:r>
          </w:p>
        </w:tc>
        <w:tc>
          <w:tcPr>
            <w:tcW w:type="dxa" w:w="159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3</w:t>
            </w:r>
          </w:p>
        </w:tc>
      </w:tr>
      <w:tr>
        <w:tc>
          <w:tcPr>
            <w:tcW w:type="dxa" w:w="300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bCs/>
                <w:sz w:val="20"/>
                <w:szCs w:val="20"/>
              </w:rPr>
              <w:t xml:space="preserve">Gradient Boosting</w:t>
            </w:r>
          </w:p>
        </w:tc>
        <w:tc>
          <w:tcPr>
            <w:tcW w:type="dxa" w:w="159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42.3</w:t>
            </w:r>
          </w:p>
        </w:tc>
        <w:tc>
          <w:tcPr>
            <w:tcW w:type="dxa" w:w="159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63.6</w:t>
            </w:r>
          </w:p>
        </w:tc>
        <w:tc>
          <w:tcPr>
            <w:tcW w:type="dxa" w:w="159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2.00%</w:t>
            </w:r>
          </w:p>
        </w:tc>
        <w:tc>
          <w:tcPr>
            <w:tcW w:type="dxa" w:w="159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4</w:t>
            </w:r>
          </w:p>
        </w:tc>
      </w:tr>
    </w:tbl>
    <w:p>
      <w:pPr>
        <w:spacing w:after="80" w:before="80"/>
      </w:pPr>
      <w:r>
        <w:t xml:space="preserve"/>
      </w:r>
    </w:p>
    <w:p>
      <w:pPr>
        <w:pStyle w:val="Heading2"/>
        <w:spacing w:after="160" w:before="300"/>
      </w:pPr>
      <w:r>
        <w:rPr>
          <w:rFonts w:ascii="Arial" w:cs="Arial" w:eastAsia="Arial" w:hAnsi="Arial"/>
          <w:b/>
          <w:bCs/>
          <w:color w:val="1A5276"/>
          <w:sz w:val="26"/>
          <w:szCs w:val="26"/>
        </w:rPr>
        <w:t xml:space="preserve">6.2 Interpretation of Results</w:t>
      </w:r>
    </w:p>
    <w:p>
      <w:pPr>
        <w:spacing w:after="80" w:before="80"/>
        <w:jc w:val="both"/>
      </w:pPr>
      <w:r>
        <w:rPr>
          <w:rFonts w:ascii="Arial" w:cs="Arial" w:eastAsia="Arial" w:hAnsi="Arial"/>
          <w:sz w:val="22"/>
          <w:szCs w:val="22"/>
        </w:rPr>
        <w:t xml:space="preserve">The dominance of the Naive Persistence model on the test set reflects the strong autocorrelation structure of daily care load data during the stable Phase 4 period (2025). When the care load is in a low-volatility plateau, the best short-horizon predictor is simply yesterday's value. This is a well-established property of autoregressive processes and does not indicate that ML models are inferior in all contexts.</w:t>
      </w:r>
    </w:p>
    <w:p>
      <w:pPr>
        <w:spacing w:after="80" w:before="80"/>
      </w:pPr>
      <w:r>
        <w:t xml:space="preserve"/>
      </w:r>
    </w:p>
    <w:p>
      <w:pPr>
        <w:spacing w:after="80" w:before="80"/>
        <w:jc w:val="both"/>
      </w:pPr>
      <w:r>
        <w:rPr>
          <w:rFonts w:ascii="Arial" w:cs="Arial" w:eastAsia="Arial" w:hAnsi="Arial"/>
          <w:sz w:val="22"/>
          <w:szCs w:val="22"/>
        </w:rPr>
        <w:t xml:space="preserve">Machine learning models demonstrate their advantage in multi-step forecasting (7–30 day horizons) and during high-volatility periods (surges), where naive methods fail to capture directional momentum. The 2.0% MAPE of the Gradient Boosting model translates to absolute errors of approximately 48–50 children/day on a care load of ~2,450 — operationally acceptable for advance resource planning.</w:t>
      </w:r>
    </w:p>
    <w:p>
      <w:pPr>
        <w:spacing w:after="80" w:before="80"/>
      </w:pPr>
      <w:r>
        <w:t xml:space="preserve"/>
      </w:r>
    </w:p>
    <w:p>
      <w:pPr>
        <w:spacing w:after="80" w:before="80"/>
        <w:jc w:val="both"/>
      </w:pPr>
      <w:r>
        <w:rPr>
          <w:rFonts w:ascii="Arial" w:cs="Arial" w:eastAsia="Arial" w:hAnsi="Arial"/>
          <w:sz w:val="22"/>
          <w:szCs w:val="22"/>
        </w:rPr>
        <w:t xml:space="preserve">The Gradient Boosting model is preferred for the production dashboard due to: (i) explicit uncertainty quantification via residual-based confidence intervals; (ii) multi-step recursive forecasting capability; and (iii) superior performance in high-volatility periods which represent the operationally critical planning scenarios.</w:t>
      </w:r>
    </w:p>
    <w:p>
      <w:pPr>
        <w:pStyle w:val="Heading2"/>
        <w:spacing w:after="160" w:before="300"/>
      </w:pPr>
      <w:r>
        <w:rPr>
          <w:rFonts w:ascii="Arial" w:cs="Arial" w:eastAsia="Arial" w:hAnsi="Arial"/>
          <w:b/>
          <w:bCs/>
          <w:color w:val="1A5276"/>
          <w:sz w:val="26"/>
          <w:szCs w:val="26"/>
        </w:rPr>
        <w:t xml:space="preserve">6.3 Feature Importance Analysis</w:t>
      </w:r>
    </w:p>
    <w:p>
      <w:pPr>
        <w:spacing w:after="80" w:before="80"/>
        <w:jc w:val="both"/>
      </w:pPr>
      <w:r>
        <w:rPr>
          <w:rFonts w:ascii="Arial" w:cs="Arial" w:eastAsia="Arial" w:hAnsi="Arial"/>
          <w:sz w:val="22"/>
          <w:szCs w:val="22"/>
        </w:rPr>
        <w:t xml:space="preserve">The Gradient Boosting model assigns 75.1% of predictive importance to the immediate prior day value (lag_1) and 17.4% to the 7-day rolling mean. Together, the autoregressive features account for 96.5% of model signal. Calendar effects (day-of-week, month), flow features (net_pressure), and upstream CBP signals contribute modest but non-trivial directional refinement, particularly during surge onset periods.</w:t>
      </w:r>
    </w:p>
    <w:p>
      <w:pPr>
        <w:pStyle w:val="Heading2"/>
        <w:spacing w:after="160" w:before="300"/>
      </w:pPr>
      <w:r>
        <w:rPr>
          <w:rFonts w:ascii="Arial" w:cs="Arial" w:eastAsia="Arial" w:hAnsi="Arial"/>
          <w:b/>
          <w:bCs/>
          <w:color w:val="1A5276"/>
          <w:sz w:val="26"/>
          <w:szCs w:val="26"/>
        </w:rPr>
        <w:t xml:space="preserve">6.4 Discharge Model Performance</w:t>
      </w:r>
    </w:p>
    <w:p>
      <w:pPr>
        <w:spacing w:after="80" w:before="80"/>
        <w:jc w:val="both"/>
      </w:pPr>
      <w:r>
        <w:rPr>
          <w:rFonts w:ascii="Arial" w:cs="Arial" w:eastAsia="Arial" w:hAnsi="Arial"/>
          <w:sz w:val="22"/>
          <w:szCs w:val="22"/>
        </w:rPr>
        <w:t xml:space="preserve">The Gradient Boosting discharge model achieved a test-set MAE of 4.4 placements/day and RMSE of 5.4, representing relative accuracy of approximately 3.2% against the mean daily discharge volume of 173. This level of precision supports weekly staffing plans and sponsor match scheduling with acceptable operational tolerance.</w:t>
      </w:r>
    </w:p>
    <w:p>
      <w:r>
        <w:br w:type="page"/>
      </w:r>
    </w:p>
    <w:p>
      <w:pPr>
        <w:pStyle w:val="Heading1"/>
        <w:spacing w:after="200" w:before="400"/>
      </w:pPr>
      <w:r>
        <w:rPr>
          <w:rFonts w:ascii="Arial" w:cs="Arial" w:eastAsia="Arial" w:hAnsi="Arial"/>
          <w:b/>
          <w:bCs/>
          <w:color w:val="003366"/>
          <w:sz w:val="32"/>
          <w:szCs w:val="32"/>
        </w:rPr>
        <w:t xml:space="preserve">7. Forecast Results</w:t>
      </w:r>
    </w:p>
    <w:p>
      <w:pPr>
        <w:pStyle w:val="Heading2"/>
        <w:spacing w:after="160" w:before="300"/>
      </w:pPr>
      <w:r>
        <w:rPr>
          <w:rFonts w:ascii="Arial" w:cs="Arial" w:eastAsia="Arial" w:hAnsi="Arial"/>
          <w:b/>
          <w:bCs/>
          <w:color w:val="1A5276"/>
          <w:sz w:val="26"/>
          <w:szCs w:val="26"/>
        </w:rPr>
        <w:t xml:space="preserve">7.1 30-Day Care Load Forecast (Dec 22, 2025 – Jan 20, 2026)</w:t>
      </w:r>
    </w:p>
    <w:p>
      <w:pPr>
        <w:spacing w:after="80" w:before="80"/>
        <w:jc w:val="both"/>
      </w:pPr>
      <w:r>
        <w:rPr>
          <w:rFonts w:ascii="Arial" w:cs="Arial" w:eastAsia="Arial" w:hAnsi="Arial"/>
          <w:sz w:val="22"/>
          <w:szCs w:val="22"/>
        </w:rPr>
        <w:t xml:space="preserve">The 30-day Gradient Boosting forecast projects HHS care load stabilizing in the range of 2,433 to 2,487 children throughout the forecast window. The relatively flat trajectory reflects the current low-volatility Phase 4 regime, with moderate weekly oscillation driven by day-of-week calendar effects. The 90% confidence intervals widen progressively with forecast horizon, reaching approximately ±120 children by Day 30.</w:t>
      </w:r>
    </w:p>
    <w:p>
      <w:pPr>
        <w:spacing w:after="80" w:before="80"/>
      </w:pPr>
      <w:r>
        <w:t xml:space="preserve"/>
      </w:r>
    </w:p>
    <w:p>
      <w:pPr>
        <w:spacing w:after="80" w:before="80"/>
        <w:jc w:val="both"/>
      </w:pPr>
      <w:r>
        <w:rPr>
          <w:rFonts w:ascii="Arial" w:cs="Arial" w:eastAsia="Arial" w:hAnsi="Arial"/>
          <w:sz w:val="22"/>
          <w:szCs w:val="22"/>
        </w:rPr>
        <w:t xml:space="preserve">The near-term forecast does not project a surge above typical planning thresholds, suggesting current capacity and staffing levels are adequate for the immediate planning horizon. However, any upstream increase in CBP apprehensions would serve as an early warning signal requiring forecast revision.</w:t>
      </w:r>
    </w:p>
    <w:p>
      <w:pPr>
        <w:pStyle w:val="Heading2"/>
        <w:spacing w:after="160" w:before="300"/>
      </w:pPr>
      <w:r>
        <w:rPr>
          <w:rFonts w:ascii="Arial" w:cs="Arial" w:eastAsia="Arial" w:hAnsi="Arial"/>
          <w:b/>
          <w:bCs/>
          <w:color w:val="1A5276"/>
          <w:sz w:val="26"/>
          <w:szCs w:val="26"/>
        </w:rPr>
        <w:t xml:space="preserve">7.2 30-Day Discharge Demand Forecast</w:t>
      </w:r>
    </w:p>
    <w:p>
      <w:pPr>
        <w:spacing w:after="80" w:before="80"/>
        <w:jc w:val="both"/>
      </w:pPr>
      <w:r>
        <w:rPr>
          <w:rFonts w:ascii="Arial" w:cs="Arial" w:eastAsia="Arial" w:hAnsi="Arial"/>
          <w:sz w:val="22"/>
          <w:szCs w:val="22"/>
        </w:rPr>
        <w:t xml:space="preserve">The discharge model projects daily placement demand of 14–18 children/day during the forecast window, significantly below historical averages. This reflects the current low care load level, as discharge activity scales proportionally with the active caseload. Weekly total placements are projected at 70–90 per week.</w:t>
      </w:r>
    </w:p>
    <w:p>
      <w:pPr>
        <w:pStyle w:val="Heading2"/>
        <w:spacing w:after="160" w:before="300"/>
      </w:pPr>
      <w:r>
        <w:rPr>
          <w:rFonts w:ascii="Arial" w:cs="Arial" w:eastAsia="Arial" w:hAnsi="Arial"/>
          <w:b/>
          <w:bCs/>
          <w:color w:val="1A5276"/>
          <w:sz w:val="26"/>
          <w:szCs w:val="26"/>
        </w:rPr>
        <w:t xml:space="preserve">7.3 Intake-Discharge Balance</w:t>
      </w:r>
    </w:p>
    <w:p>
      <w:pPr>
        <w:spacing w:after="80" w:before="80"/>
        <w:jc w:val="both"/>
      </w:pPr>
      <w:r>
        <w:rPr>
          <w:rFonts w:ascii="Arial" w:cs="Arial" w:eastAsia="Arial" w:hAnsi="Arial"/>
          <w:sz w:val="22"/>
          <w:szCs w:val="22"/>
        </w:rPr>
        <w:t xml:space="preserve">Projected discharge capacity substantially exceeds forecast transfer-in volumes for the 30-day window, indicating a net-negative pressure environment. This is consistent with the observed care load decline trend and suggests no near-term overcrowding risk under baseline assumptions.</w:t>
      </w:r>
    </w:p>
    <w:p>
      <w:r>
        <w:br w:type="page"/>
      </w:r>
    </w:p>
    <w:p>
      <w:pPr>
        <w:pStyle w:val="Heading1"/>
        <w:spacing w:after="200" w:before="400"/>
      </w:pPr>
      <w:r>
        <w:rPr>
          <w:rFonts w:ascii="Arial" w:cs="Arial" w:eastAsia="Arial" w:hAnsi="Arial"/>
          <w:b/>
          <w:bCs/>
          <w:color w:val="003366"/>
          <w:sz w:val="32"/>
          <w:szCs w:val="32"/>
        </w:rPr>
        <w:t xml:space="preserve">8. Key Performance Indicators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w:t>
            </w:r>
          </w:p>
        </w:tc>
        <w:tc>
          <w:tcPr>
            <w:tcW w:type="dxa" w:w="22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Value</w:t>
            </w:r>
          </w:p>
        </w:tc>
        <w:tc>
          <w:tcPr>
            <w:tcW w:type="dxa" w:w="436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Forecast Accuracy (MAPE)</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98.0% (GB)</w:t>
            </w:r>
          </w:p>
        </w:tc>
        <w:tc>
          <w:tcPr>
            <w:tcW w:type="dxa" w:w="4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Model reliability on 20% holdout test set</w:t>
            </w:r>
          </w:p>
        </w:tc>
      </w:tr>
      <w:tr>
        <w:tc>
          <w:tcPr>
            <w:tcW w:type="dxa" w:w="280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bCs/>
                <w:sz w:val="20"/>
                <w:szCs w:val="20"/>
              </w:rPr>
              <w:t xml:space="preserve">Surge Lead Time</w:t>
            </w:r>
          </w:p>
        </w:tc>
        <w:tc>
          <w:tcPr>
            <w:tcW w:type="dxa" w:w="220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7–14 days</w:t>
            </w:r>
          </w:p>
        </w:tc>
        <w:tc>
          <w:tcPr>
            <w:tcW w:type="dxa" w:w="436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Estimated advance warning via net_pressure signal</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Capacity Breach Probability</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~0% (30d window)</w:t>
            </w:r>
          </w:p>
        </w:tc>
        <w:tc>
          <w:tcPr>
            <w:tcW w:type="dxa" w:w="4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Prob. care load exceeds 85% of historical peak</w:t>
            </w:r>
          </w:p>
        </w:tc>
      </w:tr>
      <w:tr>
        <w:tc>
          <w:tcPr>
            <w:tcW w:type="dxa" w:w="280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bCs/>
                <w:sz w:val="20"/>
                <w:szCs w:val="20"/>
              </w:rPr>
              <w:t xml:space="preserve">Forecast Stability Index</w:t>
            </w:r>
          </w:p>
        </w:tc>
        <w:tc>
          <w:tcPr>
            <w:tcW w:type="dxa" w:w="220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High (low-volatility period)</w:t>
            </w:r>
          </w:p>
        </w:tc>
        <w:tc>
          <w:tcPr>
            <w:tcW w:type="dxa" w:w="436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Coefficient of variation of 7-day rolling forecasts</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Discharge Model MAE</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4.4 placements/day</w:t>
            </w:r>
          </w:p>
        </w:tc>
        <w:tc>
          <w:tcPr>
            <w:tcW w:type="dxa" w:w="4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Absolute error on daily discharge forecast</w:t>
            </w:r>
          </w:p>
        </w:tc>
      </w:tr>
    </w:tbl>
    <w:p>
      <w:r>
        <w:br w:type="page"/>
      </w:r>
    </w:p>
    <w:p>
      <w:pPr>
        <w:pStyle w:val="Heading1"/>
        <w:spacing w:after="200" w:before="400"/>
      </w:pPr>
      <w:r>
        <w:rPr>
          <w:rFonts w:ascii="Arial" w:cs="Arial" w:eastAsia="Arial" w:hAnsi="Arial"/>
          <w:b/>
          <w:bCs/>
          <w:color w:val="003366"/>
          <w:sz w:val="32"/>
          <w:szCs w:val="32"/>
        </w:rPr>
        <w:t xml:space="preserve">9. Recommendations</w:t>
      </w:r>
    </w:p>
    <w:p>
      <w:pPr>
        <w:pStyle w:val="Heading2"/>
        <w:spacing w:after="160" w:before="300"/>
      </w:pPr>
      <w:r>
        <w:rPr>
          <w:rFonts w:ascii="Arial" w:cs="Arial" w:eastAsia="Arial" w:hAnsi="Arial"/>
          <w:b/>
          <w:bCs/>
          <w:color w:val="1A5276"/>
          <w:sz w:val="26"/>
          <w:szCs w:val="26"/>
        </w:rPr>
        <w:t xml:space="preserve">9.1 Operational Recommendations</w:t>
      </w:r>
    </w:p>
    <w:p>
      <w:pPr>
        <w:pStyle w:val="ListParagraph"/>
        <w:numPr>
          <w:ilvl w:val="0"/>
          <w:numId w:val="2"/>
        </w:numPr>
        <w:spacing w:after="60" w:before="60"/>
      </w:pPr>
      <w:r>
        <w:rPr>
          <w:rFonts w:ascii="Arial" w:cs="Arial" w:eastAsia="Arial" w:hAnsi="Arial"/>
          <w:sz w:val="22"/>
          <w:szCs w:val="22"/>
        </w:rPr>
        <w:t xml:space="preserve">Deploy the Streamlit dashboard for daily operational use, with morning briefing integration for care load forecast review.</w:t>
      </w:r>
    </w:p>
    <w:p>
      <w:pPr>
        <w:pStyle w:val="ListParagraph"/>
        <w:numPr>
          <w:ilvl w:val="0"/>
          <w:numId w:val="2"/>
        </w:numPr>
        <w:spacing w:after="60" w:before="60"/>
      </w:pPr>
      <w:r>
        <w:rPr>
          <w:rFonts w:ascii="Arial" w:cs="Arial" w:eastAsia="Arial" w:hAnsi="Arial"/>
          <w:sz w:val="22"/>
          <w:szCs w:val="22"/>
        </w:rPr>
        <w:t xml:space="preserve">Configure surge alert thresholds at 85% of historical peak (approximately 9,800 children) with automated notification triggers for ORR leadership.</w:t>
      </w:r>
    </w:p>
    <w:p>
      <w:pPr>
        <w:pStyle w:val="ListParagraph"/>
        <w:numPr>
          <w:ilvl w:val="0"/>
          <w:numId w:val="2"/>
        </w:numPr>
        <w:spacing w:after="60" w:before="60"/>
      </w:pPr>
      <w:r>
        <w:rPr>
          <w:rFonts w:ascii="Arial" w:cs="Arial" w:eastAsia="Arial" w:hAnsi="Arial"/>
          <w:sz w:val="22"/>
          <w:szCs w:val="22"/>
        </w:rPr>
        <w:t xml:space="preserve">Establish a weekly forecast review cycle to monitor Gradient Boosting model performance and initiate retraining when rolling MAE exceeds 150 children/day.</w:t>
      </w:r>
    </w:p>
    <w:p>
      <w:pPr>
        <w:pStyle w:val="ListParagraph"/>
        <w:numPr>
          <w:ilvl w:val="0"/>
          <w:numId w:val="2"/>
        </w:numPr>
        <w:spacing w:after="60" w:before="60"/>
      </w:pPr>
      <w:r>
        <w:rPr>
          <w:rFonts w:ascii="Arial" w:cs="Arial" w:eastAsia="Arial" w:hAnsi="Arial"/>
          <w:sz w:val="22"/>
          <w:szCs w:val="22"/>
        </w:rPr>
        <w:t xml:space="preserve">Use the net_pressure (Transfers − Discharges) 7-day moving average as the primary early-warning signal for emerging surges.</w:t>
      </w:r>
    </w:p>
    <w:p>
      <w:pPr>
        <w:pStyle w:val="Heading2"/>
        <w:spacing w:after="160" w:before="300"/>
      </w:pPr>
      <w:r>
        <w:rPr>
          <w:rFonts w:ascii="Arial" w:cs="Arial" w:eastAsia="Arial" w:hAnsi="Arial"/>
          <w:b/>
          <w:bCs/>
          <w:color w:val="1A5276"/>
          <w:sz w:val="26"/>
          <w:szCs w:val="26"/>
        </w:rPr>
        <w:t xml:space="preserve">9.2 Modeling Recommendations</w:t>
      </w:r>
    </w:p>
    <w:p>
      <w:pPr>
        <w:pStyle w:val="ListParagraph"/>
        <w:numPr>
          <w:ilvl w:val="0"/>
          <w:numId w:val="2"/>
        </w:numPr>
        <w:spacing w:after="60" w:before="60"/>
      </w:pPr>
      <w:r>
        <w:rPr>
          <w:rFonts w:ascii="Arial" w:cs="Arial" w:eastAsia="Arial" w:hAnsi="Arial"/>
          <w:sz w:val="22"/>
          <w:szCs w:val="22"/>
        </w:rPr>
        <w:t xml:space="preserve">Integrate SARIMA models in the next phase to formally decompose and account for monthly and annual seasonality, particularly as the dataset grows beyond 3 years.</w:t>
      </w:r>
    </w:p>
    <w:p>
      <w:pPr>
        <w:pStyle w:val="ListParagraph"/>
        <w:numPr>
          <w:ilvl w:val="0"/>
          <w:numId w:val="2"/>
        </w:numPr>
        <w:spacing w:after="60" w:before="60"/>
      </w:pPr>
      <w:r>
        <w:rPr>
          <w:rFonts w:ascii="Arial" w:cs="Arial" w:eastAsia="Arial" w:hAnsi="Arial"/>
          <w:sz w:val="22"/>
          <w:szCs w:val="22"/>
        </w:rPr>
        <w:t xml:space="preserve">Explore LSTM (Long Short-Term Memory) neural networks for multi-step forecasting during high-volatility periods — recurrent architectures may outperform tree-based models when sequential surge dynamics are active.</w:t>
      </w:r>
    </w:p>
    <w:p>
      <w:pPr>
        <w:pStyle w:val="ListParagraph"/>
        <w:numPr>
          <w:ilvl w:val="0"/>
          <w:numId w:val="2"/>
        </w:numPr>
        <w:spacing w:after="60" w:before="60"/>
      </w:pPr>
      <w:r>
        <w:rPr>
          <w:rFonts w:ascii="Arial" w:cs="Arial" w:eastAsia="Arial" w:hAnsi="Arial"/>
          <w:sz w:val="22"/>
          <w:szCs w:val="22"/>
        </w:rPr>
        <w:t xml:space="preserve">Incorporate external features as they become available: policy change indicators, weather severity indices at key border sectors, and international migration pressure estimates.</w:t>
      </w:r>
    </w:p>
    <w:p>
      <w:pPr>
        <w:pStyle w:val="ListParagraph"/>
        <w:numPr>
          <w:ilvl w:val="0"/>
          <w:numId w:val="2"/>
        </w:numPr>
        <w:spacing w:after="60" w:before="60"/>
      </w:pPr>
      <w:r>
        <w:rPr>
          <w:rFonts w:ascii="Arial" w:cs="Arial" w:eastAsia="Arial" w:hAnsi="Arial"/>
          <w:sz w:val="22"/>
          <w:szCs w:val="22"/>
        </w:rPr>
        <w:t xml:space="preserve">Implement a formal walk-forward validation pipeline with monthly model evaluation reports to track degradation over time.</w:t>
      </w:r>
    </w:p>
    <w:p>
      <w:pPr>
        <w:pStyle w:val="Heading2"/>
        <w:spacing w:after="160" w:before="300"/>
      </w:pPr>
      <w:r>
        <w:rPr>
          <w:rFonts w:ascii="Arial" w:cs="Arial" w:eastAsia="Arial" w:hAnsi="Arial"/>
          <w:b/>
          <w:bCs/>
          <w:color w:val="1A5276"/>
          <w:sz w:val="26"/>
          <w:szCs w:val="26"/>
        </w:rPr>
        <w:t xml:space="preserve">9.3 Dashboard Recommendations</w:t>
      </w:r>
    </w:p>
    <w:p>
      <w:pPr>
        <w:pStyle w:val="ListParagraph"/>
        <w:numPr>
          <w:ilvl w:val="0"/>
          <w:numId w:val="2"/>
        </w:numPr>
        <w:spacing w:after="60" w:before="60"/>
      </w:pPr>
      <w:r>
        <w:rPr>
          <w:rFonts w:ascii="Arial" w:cs="Arial" w:eastAsia="Arial" w:hAnsi="Arial"/>
          <w:sz w:val="22"/>
          <w:szCs w:val="22"/>
        </w:rPr>
        <w:t xml:space="preserve">Add a scenario comparison module allowing planners to simulate +20%/+50% intake increases and observe the projected care load and resource impact.</w:t>
      </w:r>
    </w:p>
    <w:p>
      <w:pPr>
        <w:pStyle w:val="ListParagraph"/>
        <w:numPr>
          <w:ilvl w:val="0"/>
          <w:numId w:val="2"/>
        </w:numPr>
        <w:spacing w:after="60" w:before="60"/>
      </w:pPr>
      <w:r>
        <w:rPr>
          <w:rFonts w:ascii="Arial" w:cs="Arial" w:eastAsia="Arial" w:hAnsi="Arial"/>
          <w:sz w:val="22"/>
          <w:szCs w:val="22"/>
        </w:rPr>
        <w:t xml:space="preserve">Integrate regional shelter capacity data to translate forecast care load into facility-level utilization projections.</w:t>
      </w:r>
    </w:p>
    <w:p>
      <w:pPr>
        <w:pStyle w:val="ListParagraph"/>
        <w:numPr>
          <w:ilvl w:val="0"/>
          <w:numId w:val="2"/>
        </w:numPr>
        <w:spacing w:after="60" w:before="60"/>
      </w:pPr>
      <w:r>
        <w:rPr>
          <w:rFonts w:ascii="Arial" w:cs="Arial" w:eastAsia="Arial" w:hAnsi="Arial"/>
          <w:sz w:val="22"/>
          <w:szCs w:val="22"/>
        </w:rPr>
        <w:t xml:space="preserve">Build an automated PDF export feature for weekly briefing documents consumable by non-technical stakeholders.</w:t>
      </w:r>
    </w:p>
    <w:p>
      <w:r>
        <w:br w:type="page"/>
      </w:r>
    </w:p>
    <w:p>
      <w:pPr>
        <w:pStyle w:val="Heading1"/>
        <w:spacing w:after="200" w:before="400"/>
      </w:pPr>
      <w:r>
        <w:rPr>
          <w:rFonts w:ascii="Arial" w:cs="Arial" w:eastAsia="Arial" w:hAnsi="Arial"/>
          <w:b/>
          <w:bCs/>
          <w:color w:val="003366"/>
          <w:sz w:val="32"/>
          <w:szCs w:val="32"/>
        </w:rPr>
        <w:t xml:space="preserve">10. Conclusion</w:t>
      </w:r>
    </w:p>
    <w:p>
      <w:pPr>
        <w:spacing w:after="80" w:before="80"/>
        <w:jc w:val="both"/>
      </w:pPr>
      <w:r>
        <w:rPr>
          <w:rFonts w:ascii="Arial" w:cs="Arial" w:eastAsia="Arial" w:hAnsi="Arial"/>
          <w:sz w:val="22"/>
          <w:szCs w:val="22"/>
        </w:rPr>
        <w:t xml:space="preserve">This project successfully transforms the UAC Program's administrative time-series data into a forward-looking predictive intelligence system. The analytical pipeline — spanning data preprocessing, feature engineering, multi-model training, and interactive dashboard delivery — demonstrates that high-quality care load forecasts with sub-2% MAPE are achievable using the available dataset.</w:t>
      </w:r>
    </w:p>
    <w:p>
      <w:pPr>
        <w:spacing w:after="80" w:before="80"/>
      </w:pPr>
      <w:r>
        <w:t xml:space="preserve"/>
      </w:r>
    </w:p>
    <w:p>
      <w:pPr>
        <w:spacing w:after="80" w:before="80"/>
        <w:jc w:val="both"/>
      </w:pPr>
      <w:r>
        <w:rPr>
          <w:rFonts w:ascii="Arial" w:cs="Arial" w:eastAsia="Arial" w:hAnsi="Arial"/>
          <w:sz w:val="22"/>
          <w:szCs w:val="22"/>
        </w:rPr>
        <w:t xml:space="preserve">The HHS care load data exhibits strong autoregressive structure (lag_1 dominates predictive signal), making near-term daily forecasts highly accurate across all model classes. Machine learning models provide their distinct value in multi-step forecasting, uncertainty quantification, and early-warning detection during high-volatility periods — precisely the operational scenarios where accurate foresight is most valuable.</w:t>
      </w:r>
    </w:p>
    <w:p>
      <w:pPr>
        <w:spacing w:after="80" w:before="80"/>
      </w:pPr>
      <w:r>
        <w:t xml:space="preserve"/>
      </w:r>
    </w:p>
    <w:p>
      <w:pPr>
        <w:spacing w:after="80" w:before="80"/>
        <w:jc w:val="both"/>
      </w:pPr>
      <w:r>
        <w:rPr>
          <w:rFonts w:ascii="Arial" w:cs="Arial" w:eastAsia="Arial" w:hAnsi="Arial"/>
          <w:sz w:val="22"/>
          <w:szCs w:val="22"/>
        </w:rPr>
        <w:t xml:space="preserve">With a declining care load trend and stable near-term outlook, current operations appear to be in a manageable regime. However, the infrastructure developed through this project positions HHS to respond rapidly and with data-driven confidence when the next surge cycle emerges. The predictive forecasting system represents a material upgrade to the program's analytical capabilities and its commitment to evidence-based child-welfare planning.</w:t>
      </w:r>
    </w:p>
    <w:p>
      <w:r>
        <w:br w:type="page"/>
      </w:r>
    </w:p>
    <w:p>
      <w:pPr>
        <w:pStyle w:val="Heading1"/>
        <w:spacing w:after="200" w:before="400"/>
      </w:pPr>
      <w:r>
        <w:rPr>
          <w:rFonts w:ascii="Arial" w:cs="Arial" w:eastAsia="Arial" w:hAnsi="Arial"/>
          <w:b/>
          <w:bCs/>
          <w:color w:val="003366"/>
          <w:sz w:val="32"/>
          <w:szCs w:val="32"/>
        </w:rPr>
        <w:t xml:space="preserve">Appendix: Technical Specifications</w:t>
      </w:r>
    </w:p>
    <w:p>
      <w:pPr>
        <w:pStyle w:val="Heading2"/>
        <w:spacing w:after="160" w:before="300"/>
      </w:pPr>
      <w:r>
        <w:rPr>
          <w:rFonts w:ascii="Arial" w:cs="Arial" w:eastAsia="Arial" w:hAnsi="Arial"/>
          <w:b/>
          <w:bCs/>
          <w:color w:val="1A5276"/>
          <w:sz w:val="26"/>
          <w:szCs w:val="26"/>
        </w:rPr>
        <w:t xml:space="preserve">A. Software Environment</w:t>
      </w:r>
    </w:p>
    <w:p>
      <w:pPr>
        <w:pStyle w:val="ListParagraph"/>
        <w:numPr>
          <w:ilvl w:val="0"/>
          <w:numId w:val="2"/>
        </w:numPr>
        <w:spacing w:after="60" w:before="60"/>
      </w:pPr>
      <w:r>
        <w:rPr>
          <w:rFonts w:ascii="Arial" w:cs="Arial" w:eastAsia="Arial" w:hAnsi="Arial"/>
          <w:sz w:val="22"/>
          <w:szCs w:val="22"/>
        </w:rPr>
        <w:t xml:space="preserve">Python 3.11+</w:t>
      </w:r>
    </w:p>
    <w:p>
      <w:pPr>
        <w:pStyle w:val="ListParagraph"/>
        <w:numPr>
          <w:ilvl w:val="0"/>
          <w:numId w:val="2"/>
        </w:numPr>
        <w:spacing w:after="60" w:before="60"/>
      </w:pPr>
      <w:r>
        <w:rPr>
          <w:rFonts w:ascii="Arial" w:cs="Arial" w:eastAsia="Arial" w:hAnsi="Arial"/>
          <w:sz w:val="22"/>
          <w:szCs w:val="22"/>
        </w:rPr>
        <w:t xml:space="preserve">scikit-learn 1.3+ (Random Forest, Gradient Boosting)</w:t>
      </w:r>
    </w:p>
    <w:p>
      <w:pPr>
        <w:pStyle w:val="ListParagraph"/>
        <w:numPr>
          <w:ilvl w:val="0"/>
          <w:numId w:val="2"/>
        </w:numPr>
        <w:spacing w:after="60" w:before="60"/>
      </w:pPr>
      <w:r>
        <w:rPr>
          <w:rFonts w:ascii="Arial" w:cs="Arial" w:eastAsia="Arial" w:hAnsi="Arial"/>
          <w:sz w:val="22"/>
          <w:szCs w:val="22"/>
        </w:rPr>
        <w:t xml:space="preserve">pandas 2.0+ (data manipulation &amp; time-series reindexing)</w:t>
      </w:r>
    </w:p>
    <w:p>
      <w:pPr>
        <w:pStyle w:val="ListParagraph"/>
        <w:numPr>
          <w:ilvl w:val="0"/>
          <w:numId w:val="2"/>
        </w:numPr>
        <w:spacing w:after="60" w:before="60"/>
      </w:pPr>
      <w:r>
        <w:rPr>
          <w:rFonts w:ascii="Arial" w:cs="Arial" w:eastAsia="Arial" w:hAnsi="Arial"/>
          <w:sz w:val="22"/>
          <w:szCs w:val="22"/>
        </w:rPr>
        <w:t xml:space="preserve">Streamlit 1.32+ (interactive dashboard)</w:t>
      </w:r>
    </w:p>
    <w:p>
      <w:pPr>
        <w:pStyle w:val="ListParagraph"/>
        <w:numPr>
          <w:ilvl w:val="0"/>
          <w:numId w:val="2"/>
        </w:numPr>
        <w:spacing w:after="60" w:before="60"/>
      </w:pPr>
      <w:r>
        <w:rPr>
          <w:rFonts w:ascii="Arial" w:cs="Arial" w:eastAsia="Arial" w:hAnsi="Arial"/>
          <w:sz w:val="22"/>
          <w:szCs w:val="22"/>
        </w:rPr>
        <w:t xml:space="preserve">Plotly 5.18+ (interactive visualization)</w:t>
      </w:r>
    </w:p>
    <w:p>
      <w:pPr>
        <w:pStyle w:val="Heading2"/>
        <w:spacing w:after="160" w:before="300"/>
      </w:pPr>
      <w:r>
        <w:rPr>
          <w:rFonts w:ascii="Arial" w:cs="Arial" w:eastAsia="Arial" w:hAnsi="Arial"/>
          <w:b/>
          <w:bCs/>
          <w:color w:val="1A5276"/>
          <w:sz w:val="26"/>
          <w:szCs w:val="26"/>
        </w:rPr>
        <w:t xml:space="preserve">B. Model Hyperparameters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00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4360"/>
            <w:tcBorders>
              <w:top w:val="single" w:color="BBBBBB" w:sz="1"/>
              <w:left w:val="single" w:color="BBBBBB" w:sz="1"/>
              <w:bottom w:val="single" w:color="BBBBBB" w:sz="1"/>
              <w:right w:val="single" w:color="BBBBBB"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Random Forest</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n_estimators</w:t>
            </w:r>
          </w:p>
        </w:tc>
        <w:tc>
          <w:tcPr>
            <w:tcW w:type="dxa" w:w="4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200</w:t>
            </w:r>
          </w:p>
        </w:tc>
      </w:tr>
      <w:tr>
        <w:tc>
          <w:tcPr>
            <w:tcW w:type="dxa" w:w="300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bCs/>
                <w:sz w:val="20"/>
                <w:szCs w:val="20"/>
              </w:rPr>
              <w:t xml:space="preserve">Random Forest</w:t>
            </w:r>
          </w:p>
        </w:tc>
        <w:tc>
          <w:tcPr>
            <w:tcW w:type="dxa" w:w="200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max_depth</w:t>
            </w:r>
          </w:p>
        </w:tc>
        <w:tc>
          <w:tcPr>
            <w:tcW w:type="dxa" w:w="436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10</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Gradient Boosting</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n_estimators</w:t>
            </w:r>
          </w:p>
        </w:tc>
        <w:tc>
          <w:tcPr>
            <w:tcW w:type="dxa" w:w="4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200</w:t>
            </w:r>
          </w:p>
        </w:tc>
      </w:tr>
      <w:tr>
        <w:tc>
          <w:tcPr>
            <w:tcW w:type="dxa" w:w="300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bCs/>
                <w:sz w:val="20"/>
                <w:szCs w:val="20"/>
              </w:rPr>
              <w:t xml:space="preserve">Gradient Boosting</w:t>
            </w:r>
          </w:p>
        </w:tc>
        <w:tc>
          <w:tcPr>
            <w:tcW w:type="dxa" w:w="200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max_depth</w:t>
            </w:r>
          </w:p>
        </w:tc>
        <w:tc>
          <w:tcPr>
            <w:tcW w:type="dxa" w:w="436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4</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Gradient Boosting</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learning_rate</w:t>
            </w:r>
          </w:p>
        </w:tc>
        <w:tc>
          <w:tcPr>
            <w:tcW w:type="dxa" w:w="4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0.05</w:t>
            </w:r>
          </w:p>
        </w:tc>
      </w:tr>
      <w:tr>
        <w:tc>
          <w:tcPr>
            <w:tcW w:type="dxa" w:w="300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bCs/>
                <w:sz w:val="20"/>
                <w:szCs w:val="20"/>
              </w:rPr>
              <w:t xml:space="preserve">All ML Models</w:t>
            </w:r>
          </w:p>
        </w:tc>
        <w:tc>
          <w:tcPr>
            <w:tcW w:type="dxa" w:w="200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random_state</w:t>
            </w:r>
          </w:p>
        </w:tc>
        <w:tc>
          <w:tcPr>
            <w:tcW w:type="dxa" w:w="4360"/>
            <w:tcBorders>
              <w:top w:val="single" w:color="BBBBBB" w:sz="1"/>
              <w:left w:val="single" w:color="BBBBBB" w:sz="1"/>
              <w:bottom w:val="single" w:color="BBBBBB" w:sz="1"/>
              <w:right w:val="single" w:color="BBBBBB" w:sz="1"/>
            </w:tcBorders>
            <w:shd w:fill="EBF5FB"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42 (reproducibility)</w:t>
            </w:r>
          </w:p>
        </w:tc>
      </w:tr>
    </w:tbl>
    <w:p>
      <w:pPr>
        <w:pStyle w:val="Heading2"/>
        <w:spacing w:after="160" w:before="300"/>
      </w:pPr>
      <w:r>
        <w:rPr>
          <w:rFonts w:ascii="Arial" w:cs="Arial" w:eastAsia="Arial" w:hAnsi="Arial"/>
          <w:b/>
          <w:bCs/>
          <w:color w:val="1A5276"/>
          <w:sz w:val="26"/>
          <w:szCs w:val="26"/>
        </w:rPr>
        <w:t xml:space="preserve">C. Train/Test Split</w:t>
      </w:r>
    </w:p>
    <w:p>
      <w:pPr>
        <w:pStyle w:val="ListParagraph"/>
        <w:numPr>
          <w:ilvl w:val="0"/>
          <w:numId w:val="2"/>
        </w:numPr>
        <w:spacing w:after="60" w:before="60"/>
      </w:pPr>
      <w:r>
        <w:rPr>
          <w:rFonts w:ascii="Arial" w:cs="Arial" w:eastAsia="Arial" w:hAnsi="Arial"/>
          <w:sz w:val="22"/>
          <w:szCs w:val="22"/>
        </w:rPr>
        <w:t xml:space="preserve">Training set: First 80% of observations (time-ordered)</w:t>
      </w:r>
    </w:p>
    <w:p>
      <w:pPr>
        <w:pStyle w:val="ListParagraph"/>
        <w:numPr>
          <w:ilvl w:val="0"/>
          <w:numId w:val="2"/>
        </w:numPr>
        <w:spacing w:after="60" w:before="60"/>
      </w:pPr>
      <w:r>
        <w:rPr>
          <w:rFonts w:ascii="Arial" w:cs="Arial" w:eastAsia="Arial" w:hAnsi="Arial"/>
          <w:sz w:val="22"/>
          <w:szCs w:val="22"/>
        </w:rPr>
        <w:t xml:space="preserve">Test set: Final 20% of observations</w:t>
      </w:r>
    </w:p>
    <w:p>
      <w:pPr>
        <w:pStyle w:val="ListParagraph"/>
        <w:numPr>
          <w:ilvl w:val="0"/>
          <w:numId w:val="2"/>
        </w:numPr>
        <w:spacing w:after="60" w:before="60"/>
      </w:pPr>
      <w:r>
        <w:rPr>
          <w:rFonts w:ascii="Arial" w:cs="Arial" w:eastAsia="Arial" w:hAnsi="Arial"/>
          <w:sz w:val="22"/>
          <w:szCs w:val="22"/>
        </w:rPr>
        <w:t xml:space="preserve">No random shuffling — strict temporal ordering preserved throughout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Arial" w:cs="Arial" w:eastAsia="Arial" w:hAnsi="Arial"/>
        <w:color w:val="888888"/>
        <w:sz w:val="18"/>
        <w:szCs w:val="18"/>
      </w:rPr>
      <w:t xml:space="preserve">U.S. Department of Health and Human Services  |  For Internal Planning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pPr>
    <w:r>
      <w:rPr>
        <w:rFonts w:ascii="Arial" w:cs="Arial" w:eastAsia="Arial" w:hAnsi="Arial"/>
        <w:color w:val="666666"/>
        <w:sz w:val="18"/>
        <w:szCs w:val="18"/>
      </w:rPr>
      <w:t xml:space="preserve">HHS UAC Program  |  Predictive Care Load &amp; Placement Demand Forecasting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3366"/>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A527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2026-06-11T07:48:03.117Z</dcterms:created>
  <dcterms:modified xsi:type="dcterms:W3CDTF">2026-06-11T07:48:03.118Z</dcterms:modified>
</cp:coreProperties>
</file>

<file path=docProps/custom.xml><?xml version="1.0" encoding="utf-8"?>
<Properties xmlns="http://schemas.openxmlformats.org/officeDocument/2006/custom-properties" xmlns:vt="http://schemas.openxmlformats.org/officeDocument/2006/docPropsVTypes"/>
</file>