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Phase 2 Readiness &amp; Decisions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Advisor Meeting Prep — Adrian Molofsky — March 31, 2026</w:t>
      </w:r>
    </w:p>
    <w:p>
      <w:pPr>
        <w:pStyle w:val="Heading1"/>
      </w:pPr>
      <w:r>
        <w:t xml:space="preserve">Current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(behavioral metrics)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</w:t>
      </w:r>
      <w:r>
        <w:rPr>
          <w:rFonts w:ascii="Arial" w:cs="Arial" w:eastAsia="Arial" w:hAnsi="Arial"/>
          <w:sz w:val="22"/>
          <w:szCs w:val="22"/>
        </w:rPr>
        <w:t xml:space="preserve">. Ran 8 models across 4 datasets, 10 repetition levels (1–100), 6 behavioral metrics per step. All logged to W&amp;B. Key finding: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behavioral degradation is rare and model-specific</w:t>
      </w:r>
      <w:r>
        <w:rPr>
          <w:rFonts w:ascii="Arial" w:cs="Arial" w:eastAsia="Arial" w:hAnsi="Arial"/>
          <w:sz w:val="22"/>
          <w:szCs w:val="22"/>
        </w:rPr>
        <w:t xml:space="preserve"> — only Llama-3.1-8B on TRAM arithmetic shows clear accuracy collapse (25.8% → 12.6% by rep 5). Most models are stable through 100 repetitions.</w:t>
      </w:r>
    </w:p>
    <w:p>
      <w:pPr>
        <w:pStyle w:val="Heading1"/>
      </w:pPr>
      <w:r>
        <w:t xml:space="preserve">Decisions Made (for discussion)</w:t>
      </w:r>
    </w:p>
    <w:p>
      <w:pPr>
        <w:pStyle w:val="Heading2"/>
      </w:pPr>
      <w:r>
        <w:t xml:space="preserve">1. Final Model Set (4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SAE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Llama-3.1-8B-Instruct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Degradation case (strongest signal)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Goodfire, andyrdt, Llama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Cross-family comparison, warm-up effect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(activation probes)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Qwen3-30B-A3B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30B/3B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 architecture, stable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(activation probes)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DeepSeek-R1-Distill-Qwen-7B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Reasoning-distilled, think vs no-think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AIRI-Institute SAE-Reasoning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Dropped: gemma-2-2b (at chance), Qwen2.5-3B (redundant), pythia-70m &amp; gpt2 (controls only, at chance). Kept in Phase 1 tables as baselines.</w:t>
      </w:r>
    </w:p>
    <w:p>
      <w:pPr>
        <w:pStyle w:val="Heading2"/>
      </w:pPr>
      <w:r>
        <w:t xml:space="preserve">2. Revised Dataset Lineup (all temporal)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Low-stakes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TRAM ordering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29,452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temporal sequencing: which event came first?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Medium-stakes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TRAM arithmetic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15,584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computation: time/date math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High-stakes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MedQA temporal curated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 temporal planning decisions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Dropped: AG News (not temporal), MBPP (not temporal, scoring issues with 0% accuracy). All three tiers are now temporal reasoning at increasing difficulty.</w:t>
      </w:r>
    </w:p>
    <w:p>
      <w:pPr>
        <w:pStyle w:val="Heading2"/>
      </w:pPr>
      <w:r>
        <w:t xml:space="preserve">3. Paper Narrative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"We investigate whether LLMs exhibit predictable internal degradation during sustained repetitive temporal reasoning sequences, and whether activation probes and SAEs can detect degradation signals before they manifest behaviorally."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Breadth: </w:t>
      </w:r>
      <w:r>
        <w:rPr>
          <w:rFonts w:ascii="Arial" w:cs="Arial" w:eastAsia="Arial" w:hAnsi="Arial"/>
          <w:sz w:val="22"/>
          <w:szCs w:val="22"/>
        </w:rPr>
        <w:t xml:space="preserve">Activation probes across all 4 models for behavioral vs. internal degradation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Depth: </w:t>
      </w:r>
      <w:r>
        <w:rPr>
          <w:rFonts w:ascii="Arial" w:cs="Arial" w:eastAsia="Arial" w:hAnsi="Arial"/>
          <w:sz w:val="22"/>
          <w:szCs w:val="22"/>
        </w:rPr>
        <w:t xml:space="preserve">SAE feature analysis on Llama-8B (degradation case) and DeepSeek-R1 (reasoning case)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contribution: </w:t>
      </w:r>
      <w:r>
        <w:rPr>
          <w:rFonts w:ascii="Arial" w:cs="Arial" w:eastAsia="Arial" w:hAnsi="Arial"/>
          <w:sz w:val="22"/>
          <w:szCs w:val="22"/>
        </w:rPr>
        <w:t xml:space="preserve">Precursor gap — probes detect representational drift before behavioral outputs degrade (or even when they never degrade)</w:t>
      </w:r>
    </w:p>
    <w:p>
      <w:pPr>
        <w:pStyle w:val="Heading1"/>
      </w:pPr>
      <w:r>
        <w:t xml:space="preserve">Phase 1 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TRAM acc (rep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TRAM acc (rep 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MedQA acc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Llama-3.1-8B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13.2%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DEGRADES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29.6%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WARMS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Qwen3-30B-A3B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DeepSeek-R1 (no think)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CoT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Llama format compliance on TRAM also collapses: 98.4% → 33.2% by rep 8. Response length balloons from 3 to 48 tokens. Entropy drops (model gets more confident as it gets worse).</w:t>
      </w:r>
    </w:p>
    <w:p>
      <w:r>
        <w:br w:type="page"/>
      </w:r>
    </w:p>
    <w:p>
      <w:pPr>
        <w:pStyle w:val="Heading1"/>
      </w:pPr>
      <w:r>
        <w:t xml:space="preserve">Phase 2 Plan (activation analysis)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completion: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April 12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activations on benchmark datasets </w:t>
      </w:r>
      <w:r>
        <w:rPr>
          <w:rFonts w:ascii="Arial" w:cs="Arial" w:eastAsia="Arial" w:hAnsi="Arial"/>
          <w:sz w:val="22"/>
          <w:szCs w:val="22"/>
        </w:rPr>
        <w:t xml:space="preserve">(TRAM ordering, TRAM arithmetic, MedQA) for all 4 models at each repetition level. Current activation runs used synthetic prompts — need to align with the datasets where we measured behavioral degradation.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 two new probe types: </w:t>
      </w:r>
      <w:r>
        <w:rPr>
          <w:rFonts w:ascii="Arial" w:cs="Arial" w:eastAsia="Arial" w:hAnsi="Arial"/>
          <w:sz w:val="22"/>
          <w:szCs w:val="22"/>
        </w:rPr>
        <w:t xml:space="preserve">(a) step-number probe (predict repetition position), (b) degradation-threshold probe (binary: has performance dropped &gt;5% from baseline). Both logistic regression on residual stream activations at each layer.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Precursor gap analysis: </w:t>
      </w:r>
      <w:r>
        <w:rPr>
          <w:rFonts w:ascii="Arial" w:cs="Arial" w:eastAsia="Arial" w:hAnsi="Arial"/>
          <w:sz w:val="22"/>
          <w:szCs w:val="22"/>
        </w:rPr>
        <w:t xml:space="preserve">At what rep does the degradation probe predict "degraded" vs. when does behavioral accuracy actually drop? For Llama-TRAM: behavioral onset at rep 3–5, looking for probe signal at rep 1–3.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Layer-wise analysis: </w:t>
      </w:r>
      <w:r>
        <w:rPr>
          <w:rFonts w:ascii="Arial" w:cs="Arial" w:eastAsia="Arial" w:hAnsi="Arial"/>
          <w:sz w:val="22"/>
          <w:szCs w:val="22"/>
        </w:rPr>
        <w:t xml:space="preserve">Which layers carry the degradation signal earliest? Run probes at all extracted layers per model.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SAE deep dive (Llama + DeepSeek): </w:t>
      </w:r>
      <w:r>
        <w:rPr>
          <w:rFonts w:ascii="Arial" w:cs="Arial" w:eastAsia="Arial" w:hAnsi="Arial"/>
          <w:sz w:val="22"/>
          <w:szCs w:val="22"/>
        </w:rPr>
        <w:t xml:space="preserve">Identify specific SAE latents that track degradation. Compare with Goodfire’s reasoning features for DeepSeek.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DeepSeek thinking-enabled comparison: </w:t>
      </w:r>
      <w:r>
        <w:rPr>
          <w:rFonts w:ascii="Arial" w:cs="Arial" w:eastAsia="Arial" w:hAnsi="Arial"/>
          <w:sz w:val="22"/>
          <w:szCs w:val="22"/>
        </w:rPr>
        <w:t xml:space="preserve">Re-run DeepSeek with CoT enabled to test whether reasoning chains protect against degradation.</w:t>
      </w:r>
    </w:p>
    <w:p>
      <w:pPr>
        <w:pStyle w:val="Heading1"/>
      </w:pPr>
      <w:r>
        <w:t xml:space="preserve">Timeline to NeurIPS (May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30 – Apr 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Phase 1 behavioral on TRAM ordering (new low-stakes). Extract activations on benchmarks for 4 models.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THIS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6 – 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probes, precursor gap analysis, layer-wise results. SAE feature analysis on Llama + DeepSeek.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13 – 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Phase 3: one cross-domain probe transfer experiment. Figures and tables for paper.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 – 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paper draft. Introduction, methods, results, discussion.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28 – May 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Revision, co-author review, polishing, submission.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Questions for Advisor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 framing: </w:t>
      </w:r>
      <w:r>
        <w:rPr>
          <w:rFonts w:ascii="Arial" w:cs="Arial" w:eastAsia="Arial" w:hAnsi="Arial"/>
          <w:sz w:val="22"/>
          <w:szCs w:val="22"/>
        </w:rPr>
        <w:t xml:space="preserve">Should we lead with "temporal reasoning degradation" specifically, or "patience degradation under repetitive tasks" more broadly? The temporal framing is cleaner with all-temporal datasets, but the actual degradation mechanism may not be temporal-specific.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MedQA sample size: </w:t>
      </w:r>
      <w:r>
        <w:rPr>
          <w:rFonts w:ascii="Arial" w:cs="Arial" w:eastAsia="Arial" w:hAnsi="Arial"/>
          <w:sz w:val="22"/>
          <w:szCs w:val="22"/>
        </w:rPr>
        <w:t xml:space="preserve">128 examples after triple-filtering. Should we relax the filter to ~452 for more statistical power, or is 128 defensible given the rigorous curation?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 results framing: </w:t>
      </w:r>
      <w:r>
        <w:rPr>
          <w:rFonts w:ascii="Arial" w:cs="Arial" w:eastAsia="Arial" w:hAnsi="Arial"/>
          <w:sz w:val="22"/>
          <w:szCs w:val="22"/>
        </w:rPr>
        <w:t xml:space="preserve">3 of 4 models show no behavioral degradation. Is the precursor gap story strong enough if it rests primarily on Llama’s degradation + hidden drift in stable models?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scope: </w:t>
      </w:r>
      <w:r>
        <w:rPr>
          <w:rFonts w:ascii="Arial" w:cs="Arial" w:eastAsia="Arial" w:hAnsi="Arial"/>
          <w:sz w:val="22"/>
          <w:szCs w:val="22"/>
        </w:rPr>
        <w:t xml:space="preserve">Given the timeline, should we cut Phase 3 (cross-domain) entirely and focus on a stronger Phase 2, or is one transfer experiment needed for the paper?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(interventions): </w:t>
      </w:r>
      <w:r>
        <w:rPr>
          <w:rFonts w:ascii="Arial" w:cs="Arial" w:eastAsia="Arial" w:hAnsi="Arial"/>
          <w:sz w:val="22"/>
          <w:szCs w:val="22"/>
        </w:rPr>
        <w:t xml:space="preserve">Activation steering, context refresh, prompt restructuring — is any of this feasible by May 7, or defer entirely to camera-ready / follow-up?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Temporal Awareness Monitoring</w:t>
    </w:r>
    <w:r>
      <w:rPr>
        <w:rFonts w:ascii="Arial" w:cs="Arial" w:eastAsia="Arial" w:hAnsi="Arial"/>
        <w:color w:val="888888"/>
        <w:sz w:val="18"/>
        <w:szCs w:val="18"/>
      </w:rPr>
      <w:t xml:space="preserve">	Advisor Meeting — March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2026-03-31T05:00:41.163Z</dcterms:created>
  <dcterms:modified xsi:type="dcterms:W3CDTF">2026-03-31T05:00:41.163Z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