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Re-entry Navigation Case Plan: Marcus Johnson</w:t>
      </w:r>
    </w:p>
    <w:p>
      <w:pPr>
        <w:pStyle w:val="Heading2"/>
        <w:spacing w:before="240" w:after="80"/>
      </w:pPr>
      <w:r>
        <w:rPr>
          <w:rFonts w:ascii="Calibri" w:hAnsi="Calibri"/>
          <w:b/>
          <w:color w:val="0F172A"/>
          <w:sz w:val="28"/>
        </w:rPr>
        <w:t>Executive Summary &amp; Clinical Assessment</w:t>
      </w:r>
    </w:p>
    <w:p>
      <w:pPr>
        <w:spacing w:after="80" w:line="276" w:lineRule="auto"/>
      </w:pPr>
      <w:r>
        <w:t>Marcus Johnson presents as a motivated participant seeking to secure stable employment in warehousing, forklift operation, or framing while resolving structural barriers including driver's license suspension, child support arrears, and access to maintenance hypertension medication. Marcus is on active SCDPPPS probation with a 9:00 PM curfew. His housing is currently temporary (living with a friend, &lt;45 days), placing him at elevated risk for housing instability if employment is not secured swiftly.</w:t>
      </w:r>
    </w:p>
    <w:p>
      <w:pPr>
        <w:pStyle w:val="Heading2"/>
        <w:spacing w:before="240" w:after="80"/>
      </w:pPr>
      <w:r>
        <w:rPr>
          <w:rFonts w:ascii="Calibri" w:hAnsi="Calibri"/>
          <w:b/>
          <w:color w:val="0F172A"/>
          <w:sz w:val="28"/>
        </w:rPr>
        <w:t>Criminogenic Domain Focus</w:t>
      </w:r>
    </w:p>
    <w:p>
      <w:pPr>
        <w:pStyle w:val="ListNumber"/>
        <w:spacing w:after="40" w:line="276" w:lineRule="auto"/>
      </w:pPr>
      <w:r>
        <w:rPr>
          <w:b/>
        </w:rPr>
        <w:t>Employment &amp; Skill Deficits</w:t>
      </w:r>
      <w:r>
        <w:t>: High priority. Needs immediate entry into a fair-chance, high-reliability employer offering day shifts (conforming to probation curfew) with potential pathway to CDL-B sponsorship.</w:t>
      </w:r>
    </w:p>
    <w:p>
      <w:pPr>
        <w:pStyle w:val="ListNumber"/>
        <w:spacing w:after="40" w:line="276" w:lineRule="auto"/>
      </w:pPr>
      <w:r>
        <w:rPr>
          <w:b/>
        </w:rPr>
        <w:t>Family &amp; Financial (Child Support / Legal)</w:t>
      </w:r>
      <w:r>
        <w:t>: High priority. Unresolved child support obligations and license suspension directly impact mobility and earning potential.</w:t>
      </w:r>
    </w:p>
    <w:p>
      <w:pPr>
        <w:pStyle w:val="ListNumber"/>
        <w:spacing w:after="40" w:line="276" w:lineRule="auto"/>
      </w:pPr>
      <w:r>
        <w:rPr>
          <w:b/>
        </w:rPr>
        <w:t>Health Maintenance</w:t>
      </w:r>
      <w:r>
        <w:t>: Medium priority. Uncontrolled blood pressure poses a risk to physical stamina and safety in industrial work.</w:t>
      </w:r>
    </w:p>
    <w:p>
      <w:pPr>
        <w:pStyle w:val="Heading2"/>
        <w:spacing w:before="240" w:after="80"/>
      </w:pPr>
      <w:r>
        <w:rPr>
          <w:rFonts w:ascii="Calibri" w:hAnsi="Calibri"/>
          <w:b/>
          <w:color w:val="0F172A"/>
          <w:sz w:val="28"/>
        </w:rPr>
        <w:t>Facilitation &amp; CBT Coaching Plan</w:t>
      </w:r>
    </w:p>
    <w:p>
      <w:pPr>
        <w:pStyle w:val="ListBullet"/>
        <w:spacing w:after="40" w:line="276" w:lineRule="auto"/>
      </w:pPr>
      <w:r>
        <w:rPr>
          <w:b/>
        </w:rPr>
        <w:t>Neutrality &amp; Dynamic Intervention</w:t>
      </w:r>
      <w:r>
        <w:t>: Reframe frustration regarding license suspension away from system blame toward actionable compliance steps.</w:t>
      </w:r>
    </w:p>
    <w:p>
      <w:pPr>
        <w:pStyle w:val="ListBullet"/>
        <w:spacing w:after="40" w:line="276" w:lineRule="auto"/>
      </w:pPr>
      <w:r>
        <w:rPr>
          <w:b/>
        </w:rPr>
        <w:t>Self-Interest Alignment</w:t>
      </w:r>
      <w:r>
        <w:t>: Emphasize how securing day-shift employment ($18+/hr) satisfies probation conditions, fulfills child support obligations, and protects freedom.</w:t>
      </w:r>
    </w:p>
    <w:p>
      <w:pPr>
        <w:pStyle w:val="ListBullet"/>
        <w:spacing w:after="40" w:line="276" w:lineRule="auto"/>
      </w:pPr>
      <w:r>
        <w:rPr>
          <w:b/>
        </w:rPr>
        <w:t>Action Steps</w:t>
      </w:r>
      <w:r>
        <w:t>: Complete Welvista application, file child support review through Father to Father Project, and complete job interviews with target fair-chance logistics/construction partners.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