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Marcus Johnson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Forensic Clinical Assessment &amp; Case Summary</w:t>
      </w:r>
    </w:p>
    <w:p>
      <w:pPr>
        <w:spacing w:after="80" w:line="276" w:lineRule="auto"/>
      </w:pPr>
      <w:r>
        <w:t>Marcus Johnson presents with strong motivation for stable, day-shift employment ($18+/hr) in warehouse, forklift, or framing trades, with long-term aspirations toward earning a CDL-B. His core dynamic criminogenic risk factors center around employment/financial deficits and unresolved child support obligations that have led to driver's license suspension. Primary stability red flags include unmanaged hypertension due to lack of medication access and temporary housing (&lt; 45 days with a friend).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Facilitation &amp; CBT Coaching Strategies</w:t>
      </w:r>
    </w:p>
    <w:p>
      <w:pPr>
        <w:pStyle w:val="ListBullet"/>
        <w:spacing w:after="40" w:line="276" w:lineRule="auto"/>
      </w:pPr>
      <w:r>
        <w:rPr>
          <w:b/>
        </w:rPr>
        <w:t>Modeling Neutrality (1.5):</w:t>
      </w:r>
      <w:r>
        <w:t xml:space="preserve"> Refrain from challenging systemic frustration regarding child support liens or SCDMV reinstatement fees. Reflect back the reality of the situation neutrally: "It sounds exhausting to feel held back by past debt when you are ready to work. Let's look at how setting up a payment plan through Father to Father directly protects your paycheck and opens up CDL options."</w:t>
      </w:r>
    </w:p>
    <w:p>
      <w:pPr>
        <w:pStyle w:val="ListBullet"/>
        <w:spacing w:after="40" w:line="276" w:lineRule="auto"/>
      </w:pPr>
      <w:r>
        <w:rPr>
          <w:b/>
        </w:rPr>
        <w:t>Managing Resistance &amp; Buy-In (3.2 &amp; 18.0):</w:t>
      </w:r>
      <w:r>
        <w:t xml:space="preserve"> Connect child support modification and SCDMV administrative steps directly to Marcus's self-interest—keeping 100% of his wages safe from unexpected garnishment and unlocking higher-paying CDL-B positions.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Priority Action Steps &amp; Triage Plan</w:t>
      </w:r>
    </w:p>
    <w:p>
      <w:pPr>
        <w:pStyle w:val="ListNumber"/>
        <w:spacing w:after="40" w:line="276" w:lineRule="auto"/>
      </w:pPr>
      <w:r>
        <w:rPr>
          <w:b/>
        </w:rPr>
        <w:t>Health Triage:</w:t>
      </w:r>
      <w:r>
        <w:t xml:space="preserve"> Complete Welvista enrollment immediately for blood pressure medication delivery.</w:t>
      </w:r>
    </w:p>
    <w:p>
      <w:pPr>
        <w:pStyle w:val="ListNumber"/>
        <w:spacing w:after="40" w:line="276" w:lineRule="auto"/>
      </w:pPr>
      <w:r>
        <w:rPr>
          <w:b/>
        </w:rPr>
        <w:t>Child Support &amp; License Restoration:</w:t>
      </w:r>
      <w:r>
        <w:t xml:space="preserve"> Refer to Father to Father Project to request child support court review and initiate Route 66 reinstatement process at Leeds Ave SCDMV.</w:t>
      </w:r>
    </w:p>
    <w:p>
      <w:pPr>
        <w:pStyle w:val="ListNumber"/>
        <w:spacing w:after="40" w:line="276" w:lineRule="auto"/>
      </w:pPr>
      <w:r>
        <w:rPr>
          <w:b/>
        </w:rPr>
        <w:t>Employment Match:</w:t>
      </w:r>
      <w:r>
        <w:t xml:space="preserve"> Place Marcus in immediate day-shift fair-chance opportunities (e.g., Palmetto Logistics, Lowcountry Framing) that respect his 9:00 PM SCDPPPS probation curfew.</w:t>
      </w:r>
    </w:p>
    <w:p>
      <w:pPr>
        <w:pStyle w:val="ListNumber"/>
        <w:spacing w:after="40" w:line="276" w:lineRule="auto"/>
      </w:pPr>
      <w:r>
        <w:rPr>
          <w:b/>
        </w:rPr>
        <w:t>Housing Stabilization:</w:t>
      </w:r>
      <w:r>
        <w:t xml:space="preserve"> Partner with Origin SC for budget planning and long-term housing navigation.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