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Marcus Johnson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Clinical Evaluation &amp; CBT Engagement Summary</w:t>
      </w:r>
    </w:p>
    <w:p>
      <w:pPr>
        <w:pStyle w:val="ListBullet"/>
        <w:spacing w:after="40" w:line="276" w:lineRule="auto"/>
      </w:pPr>
      <w:r>
        <w:rPr>
          <w:b/>
        </w:rPr>
        <w:t>Client:</w:t>
      </w:r>
      <w:r>
        <w:t xml:space="preserve"> Marcus Johnson</w:t>
      </w:r>
    </w:p>
    <w:p>
      <w:pPr>
        <w:pStyle w:val="ListBullet"/>
        <w:spacing w:after="40" w:line="276" w:lineRule="auto"/>
      </w:pPr>
      <w:r>
        <w:rPr>
          <w:b/>
        </w:rPr>
        <w:t>Supervision:</w:t>
      </w:r>
      <w:r>
        <w:t xml:space="preserve"> Active SCDPPPS Probation (Curfew: 9:00 PM)</w:t>
      </w:r>
    </w:p>
    <w:p>
      <w:pPr>
        <w:pStyle w:val="ListBullet"/>
        <w:spacing w:after="40" w:line="276" w:lineRule="auto"/>
      </w:pPr>
      <w:r>
        <w:rPr>
          <w:b/>
        </w:rPr>
        <w:t>Primary Dynamic Targets:</w:t>
      </w:r>
      <w:r>
        <w:t xml:space="preserve"> Employment Stability, Housing Security, Financial/Child Support Obligations.</w:t>
      </w:r>
    </w:p>
    <w:p>
      <w:pPr>
        <w:pStyle w:val="ListBullet"/>
        <w:spacing w:after="40" w:line="276" w:lineRule="auto"/>
      </w:pPr>
      <w:r>
        <w:rPr>
          <w:b/>
        </w:rPr>
        <w:t>Facilitation Strategy:</w:t>
      </w:r>
      <w:r>
        <w:t xml:space="preserve"> Utilize neutral curiosity and CBT reflective questioning to explore barriers without triggering defensiveness. Link every compliance requirement directly to Marcus's self-interest (keeping freedom, gaining financial independence, securing CDL-B).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Immediate Stability Action Items</w:t>
      </w:r>
    </w:p>
    <w:p>
      <w:pPr>
        <w:pStyle w:val="ListNumber"/>
        <w:spacing w:after="40" w:line="276" w:lineRule="auto"/>
      </w:pPr>
      <w:r>
        <w:rPr>
          <w:b/>
        </w:rPr>
        <w:t>Health/Hypertension:</w:t>
      </w:r>
      <w:r>
        <w:t xml:space="preserve"> Facilitate immediate application to Welvista for 30/90-day free blood pressure medication delivery.</w:t>
      </w:r>
    </w:p>
    <w:p>
      <w:pPr>
        <w:pStyle w:val="ListNumber"/>
        <w:spacing w:after="40" w:line="276" w:lineRule="auto"/>
      </w:pPr>
      <w:r>
        <w:rPr>
          <w:b/>
        </w:rPr>
        <w:t>Housing Stabilization:</w:t>
      </w:r>
      <w:r>
        <w:t xml:space="preserve"> Refer to Origin SC for first-time renter coaching and budget planning; coordinate with One80 Place for transitional housing backup.</w:t>
      </w:r>
    </w:p>
    <w:p>
      <w:pPr>
        <w:pStyle w:val="ListNumber"/>
        <w:spacing w:after="40" w:line="276" w:lineRule="auto"/>
      </w:pPr>
      <w:r>
        <w:rPr>
          <w:b/>
        </w:rPr>
        <w:t>Legal &amp; License Restoration:</w:t>
      </w:r>
      <w:r>
        <w:t xml:space="preserve"> Referral to Father to Father Project and SC Legal Services to address child support modification and SCDMV Route 66 payment plans.</w:t>
      </w:r>
    </w:p>
    <w:p>
      <w:pPr>
        <w:pStyle w:val="ListNumber"/>
        <w:spacing w:after="40" w:line="276" w:lineRule="auto"/>
      </w:pPr>
      <w:r>
        <w:rPr>
          <w:b/>
        </w:rPr>
        <w:t>Employment Triage:</w:t>
      </w:r>
      <w:r>
        <w:t xml:space="preserve"> Refer to fair-chance warehouse/framing employers offering day shifts ($18+/hr) that comply with Marcus's 9 PM curfew.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Probation Compliance &amp; Risk Mitigation Plan</w:t>
      </w:r>
    </w:p>
    <w:p>
      <w:pPr>
        <w:pStyle w:val="ListBullet"/>
        <w:spacing w:after="40" w:line="276" w:lineRule="auto"/>
      </w:pPr>
      <w:r>
        <w:rPr>
          <w:b/>
        </w:rPr>
        <w:t>Curfew Compliance:</w:t>
      </w:r>
      <w:r>
        <w:t xml:space="preserve"> Target day-shift employment (6:00 AM – 3:30 PM) to ensure zero overlap with 9 PM probation curfew.</w:t>
      </w:r>
    </w:p>
    <w:p>
      <w:pPr>
        <w:pStyle w:val="ListBullet"/>
        <w:spacing w:after="40" w:line="276" w:lineRule="auto"/>
      </w:pPr>
      <w:r>
        <w:rPr>
          <w:b/>
        </w:rPr>
        <w:t>Transportation:</w:t>
      </w:r>
      <w:r>
        <w:t xml:space="preserve"> Identify CARTA bus routes and transit shuttles to work sites until driver's license restoration is finalized.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