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6"/>
        </w:rPr>
        <w:t>Re-entry Navigation Case Plan: Dillon Johnson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1. Executive Summary &amp; Clinical Assessment</w:t>
      </w:r>
    </w:p>
    <w:p>
      <w:pPr>
        <w:pStyle w:val="ListBullet"/>
        <w:spacing w:after="40" w:line="276" w:lineRule="auto"/>
      </w:pPr>
      <w:r>
        <w:rPr>
          <w:b/>
        </w:rPr>
        <w:t>Participant Name:</w:t>
      </w:r>
      <w:r>
        <w:t xml:space="preserve"> Dillon Johnson</w:t>
      </w:r>
    </w:p>
    <w:p>
      <w:pPr>
        <w:pStyle w:val="ListBullet"/>
        <w:spacing w:after="40" w:line="276" w:lineRule="auto"/>
      </w:pPr>
      <w:r>
        <w:rPr>
          <w:b/>
        </w:rPr>
        <w:t>Location:</w:t>
      </w:r>
      <w:r>
        <w:t xml:space="preserve"> Charleston, SC</w:t>
      </w:r>
    </w:p>
    <w:p>
      <w:pPr>
        <w:pStyle w:val="ListBullet"/>
        <w:spacing w:after="40" w:line="276" w:lineRule="auto"/>
      </w:pPr>
      <w:r>
        <w:rPr>
          <w:b/>
        </w:rPr>
        <w:t>Risk Profile:</w:t>
      </w:r>
      <w:r>
        <w:t xml:space="preserve"> High Overall Risk</w:t>
      </w:r>
    </w:p>
    <w:p>
      <w:pPr>
        <w:pStyle w:val="ListBullet"/>
        <w:spacing w:after="40" w:line="276" w:lineRule="auto"/>
      </w:pPr>
      <w:r>
        <w:rPr>
          <w:b/>
        </w:rPr>
        <w:t>Primary Criminogenic Domains:</w:t>
      </w:r>
      <w:r>
        <w:t xml:space="preserve"> 1. Education/Employment | 2. Alcohol/Drug Problem | 3. Procriminal Attitude/Orientation</w:t>
      </w:r>
    </w:p>
    <w:p>
      <w:pPr>
        <w:pStyle w:val="ListBullet"/>
        <w:spacing w:after="40" w:line="276" w:lineRule="auto"/>
      </w:pPr>
      <w:r>
        <w:rPr>
          <w:b/>
        </w:rPr>
        <w:t>Current Stability Status:</w:t>
      </w:r>
      <w:r>
        <w:t xml:space="preserve"> At Risk (No driver's license, recent substance use history, high emotional volatility around workplace authority).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2. Core Behavioral Triggers &amp; Facilitation Strategy (Turn90 Standards)</w:t>
      </w:r>
    </w:p>
    <w:p>
      <w:pPr>
        <w:pStyle w:val="ListBullet"/>
        <w:spacing w:after="40" w:line="276" w:lineRule="auto"/>
      </w:pPr>
      <w:r>
        <w:rPr>
          <w:b/>
        </w:rPr>
        <w:t>Triggers:</w:t>
      </w:r>
      <w:r>
        <w:t xml:space="preserve"> Perceived disrespect, feeling ignored, or administrative delays.</w:t>
      </w:r>
    </w:p>
    <w:p>
      <w:pPr>
        <w:pStyle w:val="ListBullet"/>
        <w:spacing w:after="40" w:line="276" w:lineRule="auto"/>
      </w:pPr>
      <w:r>
        <w:rPr>
          <w:b/>
        </w:rPr>
        <w:t>Escalation Pattern:</w:t>
      </w:r>
      <w:r>
        <w:t xml:space="preserve"> 'Cut Off' impulsive thinking leading to verbal outbursts, property destruction, and fleeing.</w:t>
      </w:r>
    </w:p>
    <w:p>
      <w:pPr>
        <w:pStyle w:val="ListBullet"/>
        <w:spacing w:after="40" w:line="276" w:lineRule="auto"/>
      </w:pPr>
      <w:r>
        <w:rPr>
          <w:b/>
        </w:rPr>
        <w:t>Facilitation Guidance:</w:t>
      </w:r>
    </w:p>
    <w:p>
      <w:pPr>
        <w:pStyle w:val="ListBullet"/>
        <w:spacing w:after="40" w:line="276" w:lineRule="auto"/>
      </w:pPr>
      <w:r>
        <w:rPr>
          <w:b/>
        </w:rPr>
        <w:t>Modeling Neutrality (Standard 1.5):</w:t>
      </w:r>
      <w:r>
        <w:t xml:space="preserve"> Staff must remain calm and neutral when Dillon expresses frustration or anti-social views. Reflect statements neutrally without debate.</w:t>
      </w:r>
    </w:p>
    <w:p>
      <w:pPr>
        <w:pStyle w:val="ListBullet"/>
        <w:spacing w:after="40" w:line="276" w:lineRule="auto"/>
      </w:pPr>
      <w:r>
        <w:rPr>
          <w:b/>
        </w:rPr>
        <w:t>Managing Buy-In (Standard 3.2):</w:t>
      </w:r>
      <w:r>
        <w:t xml:space="preserve"> Explicitly link job retention and self-regulation to his primary goals: steady paychecks, independence, and staying off probation supervision.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3. Dynamic Targeted Action Items</w:t>
      </w:r>
    </w:p>
    <w:p>
      <w:pPr>
        <w:pStyle w:val="ListNumber"/>
        <w:spacing w:after="40" w:line="276" w:lineRule="auto"/>
      </w:pPr>
      <w:r>
        <w:rPr>
          <w:b/>
        </w:rPr>
        <w:t>Workplace Stabilization &amp; CBT Skill-Building:</w:t>
      </w:r>
      <w:r>
        <w:t xml:space="preserve"> Engage in daily CBT exercises focused on anger de-escalation, impulse control, and managing supervisor feedback.</w:t>
      </w:r>
    </w:p>
    <w:p>
      <w:pPr>
        <w:pStyle w:val="ListNumber"/>
        <w:spacing w:after="40" w:line="276" w:lineRule="auto"/>
      </w:pPr>
      <w:r>
        <w:rPr>
          <w:b/>
        </w:rPr>
        <w:t>Substance Recovery Support:</w:t>
      </w:r>
      <w:r>
        <w:t xml:space="preserve"> Link with outpatient relapse counseling to address marijuana/edible triggers.</w:t>
      </w:r>
    </w:p>
    <w:p>
      <w:pPr>
        <w:pStyle w:val="ListNumber"/>
        <w:spacing w:after="40" w:line="276" w:lineRule="auto"/>
      </w:pPr>
      <w:r>
        <w:rPr>
          <w:b/>
        </w:rPr>
        <w:t>Transportation Mapping:</w:t>
      </w:r>
      <w:r>
        <w:t xml:space="preserve"> Build dedicated transit routes using CARTA bus lines to ensure 100% on-time job attendance.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F172A"/>
          <w:sz w:val="28"/>
        </w:rPr>
        <w:t>4. Supervision &amp; Re-entry Accountability Roadmap</w:t>
      </w:r>
    </w:p>
    <w:p>
      <w:pPr>
        <w:pStyle w:val="ListBullet"/>
        <w:spacing w:after="40" w:line="276" w:lineRule="auto"/>
      </w:pPr>
      <w:r>
        <w:rPr>
          <w:b/>
        </w:rPr>
        <w:t>Weekly Goal:</w:t>
      </w:r>
      <w:r>
        <w:t xml:space="preserve"> Maintain full attendance in Turn90 programming and complete weekly check-ins with Probation Officer without breach.</w:t>
      </w:r>
    </w:p>
    <w:p>
      <w:pPr>
        <w:pStyle w:val="ListBullet"/>
        <w:spacing w:after="40" w:line="276" w:lineRule="auto"/>
      </w:pPr>
      <w:r>
        <w:rPr>
          <w:b/>
        </w:rPr>
        <w:t>30-Day Milestone:</w:t>
      </w:r>
      <w:r>
        <w:t xml:space="preserve"> Secure first-shift fair-chance employment along bus line; establish daily medication compliance for Hydroxyzine.</w:t>
      </w:r>
    </w:p>
    <w:p>
      <w:pPr>
        <w:pStyle w:val="ListBullet"/>
        <w:spacing w:after="40" w:line="276" w:lineRule="auto"/>
      </w:pPr>
      <w:r>
        <w:rPr>
          <w:b/>
        </w:rPr>
        <w:t>90-Day Milestone:</w:t>
      </w:r>
      <w:r>
        <w:t xml:space="preserve"> Maintain employment retention, demonstrate emotional de-escalation skills on site, and begin driver's license reinstatement plan.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