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Jovon Bonneau</w:t>
      </w:r>
    </w:p>
    <w:p>
      <w:pPr>
        <w:spacing w:after="80" w:line="276" w:lineRule="auto"/>
      </w:pPr>
      <w:r>
        <w:rPr>
          <w:b/>
        </w:rPr>
        <w:t>Lead Re-entry Navigator &amp; Forensic Clinical Specialist Analysis</w:t>
      </w:r>
    </w:p>
    <w:p>
      <w:pPr>
        <w:spacing w:after="8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 Forensic Assessment &amp; Clinical Summary</w:t>
      </w:r>
    </w:p>
    <w:p>
      <w:pPr>
        <w:pStyle w:val="ListBullet"/>
        <w:spacing w:after="40" w:line="276" w:lineRule="auto"/>
      </w:pPr>
      <w:r>
        <w:rPr>
          <w:b/>
        </w:rPr>
        <w:t>Participant:</w:t>
      </w:r>
      <w:r>
        <w:t xml:space="preserve"> Jovon Bonneau</w:t>
      </w:r>
    </w:p>
    <w:p>
      <w:pPr>
        <w:pStyle w:val="ListBullet"/>
        <w:spacing w:after="40" w:line="276" w:lineRule="auto"/>
      </w:pPr>
      <w:r>
        <w:rPr>
          <w:b/>
        </w:rPr>
        <w:t>Risk Profile:</w:t>
      </w:r>
      <w:r>
        <w:t xml:space="preserve"> Medium Risk (LSCMI / Risk Assessment)</w:t>
      </w:r>
    </w:p>
    <w:p>
      <w:pPr>
        <w:pStyle w:val="ListBullet"/>
        <w:spacing w:after="40" w:line="276" w:lineRule="auto"/>
      </w:pPr>
      <w:r>
        <w:rPr>
          <w:b/>
        </w:rPr>
        <w:t>Primary Criminogenic Targets:</w:t>
      </w:r>
      <w:r>
        <w:t xml:space="preserve"> Education/Employment (Score: 4), Alcohol/Drug Problem (Score: 4)</w:t>
      </w:r>
    </w:p>
    <w:p>
      <w:pPr>
        <w:pStyle w:val="ListBullet"/>
        <w:spacing w:after="40" w:line="276" w:lineRule="auto"/>
      </w:pPr>
      <w:r>
        <w:rPr>
          <w:b/>
        </w:rPr>
        <w:t>Static Risk Factors:</w:t>
      </w:r>
      <w:r>
        <w:t xml:space="preserve"> Single 1-year incarceration (June 2025 – June 2026), multiple DUI convictions.</w:t>
      </w:r>
    </w:p>
    <w:p>
      <w:pPr>
        <w:pStyle w:val="ListBullet"/>
        <w:spacing w:after="40" w:line="276" w:lineRule="auto"/>
      </w:pPr>
      <w:r>
        <w:rPr>
          <w:b/>
        </w:rPr>
        <w:t>Responsivity Assets:</w:t>
      </w:r>
      <w:r>
        <w:t xml:space="preserve"> College educated (B.S. Sports Management, Business Minor), robust prior employment (8-9 years Nucor, 8 years Navy Reserve), strong prosocial network, cooperative authority response style.</w:t>
      </w:r>
    </w:p>
    <w:p>
      <w:pPr>
        <w:spacing w:after="8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2. Stability &amp; Risk Triage</w:t>
      </w:r>
    </w:p>
    <w:p>
      <w:pPr>
        <w:pStyle w:val="ListBullet"/>
        <w:spacing w:after="40" w:line="276" w:lineRule="auto"/>
      </w:pPr>
      <w:r>
        <w:rPr>
          <w:b/>
        </w:rPr>
        <w:t>Housing:</w:t>
      </w:r>
      <w:r>
        <w:t xml:space="preserve"> Stable (Homeowner). Verify ongoing mortgage/property tax management post-release.</w:t>
      </w:r>
    </w:p>
    <w:p>
      <w:pPr>
        <w:pStyle w:val="ListBullet"/>
        <w:spacing w:after="40" w:line="276" w:lineRule="auto"/>
      </w:pPr>
      <w:r>
        <w:rPr>
          <w:b/>
        </w:rPr>
        <w:t>Transportation / Driver's License:</w:t>
      </w:r>
      <w:r>
        <w:t xml:space="preserve"> </w:t>
      </w:r>
      <w:r>
        <w:rPr>
          <w:b/>
        </w:rPr>
        <w:t>CRITICAL RISK.</w:t>
      </w:r>
      <w:r>
        <w:t xml:space="preserve"> Driver's license suspended due to DUIs. Currently dependent on family. Reinstatement pathway is essential to expand employment reach.</w:t>
      </w:r>
    </w:p>
    <w:p>
      <w:pPr>
        <w:pStyle w:val="ListBullet"/>
        <w:spacing w:after="40" w:line="276" w:lineRule="auto"/>
      </w:pPr>
      <w:r>
        <w:rPr>
          <w:b/>
        </w:rPr>
        <w:t>Substance Recovery:</w:t>
      </w:r>
      <w:r>
        <w:t xml:space="preserve"> </w:t>
      </w:r>
      <w:r>
        <w:rPr>
          <w:b/>
        </w:rPr>
        <w:t>CRITICAL RISK.</w:t>
      </w:r>
      <w:r>
        <w:t xml:space="preserve"> Alcohol misuses directly triggered past incarceration. Needs a structured CBT Relapse Prevention Plan and formal community support network.</w:t>
      </w:r>
    </w:p>
    <w:p>
      <w:pPr>
        <w:pStyle w:val="ListBullet"/>
        <w:spacing w:after="40" w:line="276" w:lineRule="auto"/>
      </w:pPr>
      <w:r>
        <w:rPr>
          <w:b/>
        </w:rPr>
        <w:t>Legal / Supervision:</w:t>
      </w:r>
      <w:r>
        <w:t xml:space="preserve"> Compliant with SC State Probation (active through 2028) and child support obligations.</w:t>
      </w:r>
    </w:p>
    <w:p>
      <w:pPr>
        <w:spacing w:after="8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3. Facilitation &amp; CBT Coaching Strategy (Turn90 / First Shift Standards)</w:t>
      </w:r>
    </w:p>
    <w:p>
      <w:pPr>
        <w:pStyle w:val="ListNumber"/>
        <w:spacing w:after="40" w:line="276" w:lineRule="auto"/>
      </w:pPr>
      <w:r>
        <w:rPr>
          <w:b/>
        </w:rPr>
        <w:t>Modeling Neutrality (Standard 1.5):</w:t>
      </w:r>
      <w:r>
        <w:t xml:space="preserve"> If Jovon expresses frustration over license restrictions or employment barriers, maintain non-defensive reflective listening. Avoid debating legal outcomes; pivot to neutral curiosity regarding how resolving license hurdles benefits his long-term financial independence.</w:t>
      </w:r>
    </w:p>
    <w:p>
      <w:pPr>
        <w:pStyle w:val="ListNumber"/>
        <w:spacing w:after="40" w:line="276" w:lineRule="auto"/>
      </w:pPr>
      <w:r>
        <w:rPr>
          <w:b/>
        </w:rPr>
        <w:t>Managing Buy-In (Standard 3.2 &amp; 18.0):</w:t>
      </w:r>
      <w:r>
        <w:t xml:space="preserve"> Leverage Jovon’s strong internal drive for professional achievement and financial stability. Anchor all requirements (transit planning, relapse check-ins) directly to his target goals: regaining a high-earning career and maintaining long-term freedom.</w:t>
      </w:r>
    </w:p>
    <w:p>
      <w:pPr>
        <w:pStyle w:val="ListNumber"/>
        <w:spacing w:after="40" w:line="276" w:lineRule="auto"/>
      </w:pPr>
      <w:r>
        <w:rPr>
          <w:b/>
        </w:rPr>
        <w:t>CBT Target Workbooks:</w:t>
      </w:r>
    </w:p>
    <w:p>
      <w:pPr>
        <w:pStyle w:val="ListBullet"/>
        <w:spacing w:after="40" w:line="276" w:lineRule="auto"/>
      </w:pPr>
      <w:r>
        <w:rPr>
          <w:i/>
        </w:rPr>
        <w:t>Relapse Prevention:</w:t>
      </w:r>
      <w:r>
        <w:t xml:space="preserve"> Triggers &amp; High-Risk Situations (identifying stress-induced drinking triggers).</w:t>
      </w:r>
    </w:p>
    <w:p>
      <w:pPr>
        <w:pStyle w:val="ListBullet"/>
        <w:spacing w:after="40" w:line="276" w:lineRule="auto"/>
      </w:pPr>
      <w:r>
        <w:rPr>
          <w:i/>
        </w:rPr>
        <w:t>Problem Solving &amp; Decisional Balance:</w:t>
      </w:r>
      <w:r>
        <w:t xml:space="preserve"> Managing workplace frustration and daily routine consistency.</w:t>
      </w:r>
    </w:p>
    <w:p>
      <w:pPr>
        <w:spacing w:after="8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4. Direct Action Plan &amp; Benchmarks</w:t>
      </w:r>
    </w:p>
    <w:p>
      <w:pPr>
        <w:pStyle w:val="ListBullet"/>
        <w:spacing w:after="40" w:line="276" w:lineRule="auto"/>
      </w:pPr>
      <w:r>
        <w:rPr>
          <w:b/>
        </w:rPr>
        <w:t>Week 1:</w:t>
      </w:r>
      <w:r>
        <w:t xml:space="preserve"> Map out daily CARTA transit/family ride schedules for Turn90 attendance. Initiate license reinstatement eligibility review with SCDMV / Father to Father Project.</w:t>
      </w:r>
    </w:p>
    <w:p>
      <w:pPr>
        <w:pStyle w:val="ListBullet"/>
        <w:spacing w:after="40" w:line="276" w:lineRule="auto"/>
      </w:pPr>
      <w:r>
        <w:rPr>
          <w:b/>
        </w:rPr>
        <w:t>Week 2:</w:t>
      </w:r>
      <w:r>
        <w:t xml:space="preserve"> Complete CBT Alcohol Relapse Prevention Module; establish referral connection with Charleston Center for outpatient peer support.</w:t>
      </w:r>
    </w:p>
    <w:p>
      <w:pPr>
        <w:pStyle w:val="ListBullet"/>
        <w:spacing w:after="40" w:line="276" w:lineRule="auto"/>
      </w:pPr>
      <w:r>
        <w:rPr>
          <w:b/>
        </w:rPr>
        <w:t>Week 3:</w:t>
      </w:r>
      <w:r>
        <w:t xml:space="preserve"> Submit applications for matched fair-chance manufacturing and logistics positions that align with past industrial experience.</w:t>
      </w:r>
    </w:p>
    <w:p>
      <w:pPr>
        <w:pStyle w:val="ListBullet"/>
        <w:spacing w:after="40" w:line="276" w:lineRule="auto"/>
      </w:pPr>
      <w:r>
        <w:rPr>
          <w:b/>
        </w:rPr>
        <w:t>Week 4:</w:t>
      </w:r>
      <w:r>
        <w:t xml:space="preserve"> Conduct mock interviews focusing on framing past justice involvement constructively; secure long-term shift alignment.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