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Dillon Johnson</w:t>
      </w:r>
    </w:p>
    <w:p>
      <w:pPr>
        <w:spacing w:after="80" w:line="276" w:lineRule="auto"/>
      </w:pPr>
      <w:r>
        <w:rPr>
          <w:b/>
        </w:rPr>
        <w:t>Staff Lead:</w:t>
      </w:r>
      <w:r>
        <w:t xml:space="preserve"> Lead Re-entry Navigator &amp; Forensic Clinical Specialist</w:t>
      </w:r>
    </w:p>
    <w:p>
      <w:pPr>
        <w:spacing w:after="80" w:line="276" w:lineRule="auto"/>
      </w:pPr>
      <w:r>
        <w:rPr>
          <w:b/>
        </w:rPr>
        <w:t>Facility / Program:</w:t>
      </w:r>
      <w:r>
        <w:t xml:space="preserve"> Turn90 / First Shift</w:t>
      </w:r>
    </w:p>
    <w:p>
      <w:pPr>
        <w:spacing w:after="80" w:line="276" w:lineRule="auto"/>
      </w:pPr>
      <w:r>
        <w:rPr>
          <w:b/>
        </w:rPr>
        <w:t>Supervision Status:</w:t>
      </w:r>
      <w:r>
        <w:t xml:space="preserve"> Active Probation (Turn90 Condition)</w:t>
      </w:r>
    </w:p>
    <w:p>
      <w:pPr>
        <w:spacing w:after="80" w:line="276" w:lineRule="auto"/>
      </w:pPr>
      <w:r>
        <w:rPr>
          <w:b/>
        </w:rPr>
        <w:t>Overall Risk Level:</w:t>
      </w:r>
      <w:r>
        <w:t xml:space="preserve"> High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Clinical Overview &amp; Criminogenic Targets</w:t>
      </w:r>
    </w:p>
    <w:p>
      <w:pPr>
        <w:spacing w:after="80" w:line="276" w:lineRule="auto"/>
      </w:pPr>
      <w:r>
        <w:t>Dillon presents with a high risk profile driven by three dynamic criminogenic targets:</w:t>
      </w:r>
    </w:p>
    <w:p>
      <w:pPr>
        <w:pStyle w:val="ListNumber"/>
        <w:spacing w:after="40" w:line="276" w:lineRule="auto"/>
      </w:pPr>
      <w:r>
        <w:rPr>
          <w:b/>
        </w:rPr>
        <w:t>Education/Employment:</w:t>
      </w:r>
      <w:r>
        <w:t xml:space="preserve"> Unemployed over the past year with a history of losing jobs due to interpersonal conflict, attendance issues, and manager altercations.</w:t>
      </w:r>
    </w:p>
    <w:p>
      <w:pPr>
        <w:pStyle w:val="ListNumber"/>
        <w:spacing w:after="40" w:line="276" w:lineRule="auto"/>
      </w:pPr>
      <w:r>
        <w:rPr>
          <w:b/>
        </w:rPr>
        <w:t>Alcohol/Drug Problem:</w:t>
      </w:r>
      <w:r>
        <w:t xml:space="preserve"> Heavy cannabis/edible use used as a primary coping mechanism, causing degraded mental health and financial strain. Recent use reported in May 2026.</w:t>
      </w:r>
    </w:p>
    <w:p>
      <w:pPr>
        <w:pStyle w:val="ListNumber"/>
        <w:spacing w:after="40" w:line="276" w:lineRule="auto"/>
      </w:pPr>
      <w:r>
        <w:rPr>
          <w:b/>
        </w:rPr>
        <w:t>Procriminal Attitude/Orientation:</w:t>
      </w:r>
      <w:r>
        <w:t xml:space="preserve"> Impulsive "Cut Off" decision-making, high sensitivity to perceived disrespect, rapid escalation to property damage/threats, and a history of probation violations.</w:t>
      </w:r>
    </w:p>
    <w:p>
      <w:pPr>
        <w:spacing w:after="80" w:line="276" w:lineRule="auto"/>
      </w:pPr>
      <w:r>
        <w:rPr>
          <w:i/>
        </w:rPr>
        <w:t>Note on Static Risk:</w:t>
      </w:r>
      <w:r>
        <w:t xml:space="preserve"> Dillon's criminal history and age of first justice involvement (19) are static risk factors and will be used solely for baseline risk context, not dynamic intervention targeting.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Facilitation &amp; Intervention Strategies (CBT Standards)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Staff must remain completely non-reactive during outbursts or anti-social statements. Avoid debating Dillon or challenging authority defiance head-on. Use non-judgmental reflective statements (e.g., </w:t>
      </w:r>
      <w:r>
        <w:rPr>
          <w:i/>
        </w:rPr>
        <w:t>"When you respond to a supervisor that way, how does that affect your goal of staying off probation?"</w:t>
      </w:r>
      <w:r>
        <w:t>).</w:t>
      </w:r>
    </w:p>
    <w:p>
      <w:pPr>
        <w:pStyle w:val="ListBullet"/>
        <w:spacing w:after="40" w:line="276" w:lineRule="auto"/>
      </w:pPr>
      <w:r>
        <w:rPr>
          <w:b/>
        </w:rPr>
        <w:t>Managing Resistance &amp; Buy-In (Standards 3.2 &amp; 18.0):</w:t>
      </w:r>
      <w:r>
        <w:t xml:space="preserve"> De-escalate authority friction by validating his feelings of frustration without validating destructive actions. Frame every program rule, employment task, and probation requirement in terms of his personal self-interest (retaining income, staying out of jail, securing independence).</w:t>
      </w:r>
    </w:p>
    <w:p>
      <w:pPr>
        <w:pStyle w:val="ListBullet"/>
        <w:spacing w:after="40" w:line="276" w:lineRule="auto"/>
      </w:pPr>
      <w:r>
        <w:rPr>
          <w:b/>
        </w:rPr>
        <w:t>De-escalation Protocol:</w:t>
      </w:r>
      <w:r>
        <w:t xml:space="preserve"> When Dillon shows signs of emotional volatility or triggers (feeling ignored/slighted), enforce a calm time-out space and guide him through CBT thought-restructuring workbooks to identify the "Cut Off" thinking cycle.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Immediate Stability Action Plan</w:t>
      </w:r>
    </w:p>
    <w:p>
      <w:pPr>
        <w:pStyle w:val="ListNumber"/>
        <w:spacing w:after="40" w:line="276" w:lineRule="auto"/>
      </w:pPr>
      <w:r>
        <w:rPr>
          <w:b/>
        </w:rPr>
        <w:t>Substance Use Support:</w:t>
      </w:r>
      <w:r>
        <w:t xml:space="preserve"> Refer Dillon to Charleston Center (DAODAS) for intensive outpatient support and relapse prevention planning.</w:t>
      </w:r>
    </w:p>
    <w:p>
      <w:pPr>
        <w:pStyle w:val="ListNumber"/>
        <w:spacing w:after="40" w:line="276" w:lineRule="auto"/>
      </w:pPr>
      <w:r>
        <w:rPr>
          <w:b/>
        </w:rPr>
        <w:t>Mental Health Management:</w:t>
      </w:r>
      <w:r>
        <w:t xml:space="preserve"> Verify Dillon is taking Hydroxyzine consistently as prescribed for anxiety; establish primary care via Fetter Health Care Network.</w:t>
      </w:r>
    </w:p>
    <w:p>
      <w:pPr>
        <w:pStyle w:val="ListNumber"/>
        <w:spacing w:after="40" w:line="276" w:lineRule="auto"/>
      </w:pPr>
      <w:r>
        <w:rPr>
          <w:b/>
        </w:rPr>
        <w:t>Transportation Mapping:</w:t>
      </w:r>
      <w:r>
        <w:t xml:space="preserve"> Assist Dillon in securing a CARTA bus pass and aligning employer targets strictly within CARTA route corridors.</w:t>
      </w:r>
    </w:p>
    <w:p>
      <w:pPr>
        <w:pStyle w:val="ListNumber"/>
        <w:spacing w:after="40" w:line="276" w:lineRule="auto"/>
      </w:pPr>
      <w:r>
        <w:rPr>
          <w:b/>
        </w:rPr>
        <w:t>Legal &amp; Driver's License Recovery:</w:t>
      </w:r>
      <w:r>
        <w:t xml:space="preserve"> Connect with SC Legal Services and Father to Father Project to review SCDMV reinstatement steps.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