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Brandon Still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Executive Summary &amp; Risk Profile</w:t>
      </w:r>
    </w:p>
    <w:p>
      <w:pPr>
        <w:pStyle w:val="ListBullet"/>
        <w:spacing w:after="40" w:line="276" w:lineRule="auto"/>
      </w:pPr>
      <w:r>
        <w:rPr>
          <w:b/>
        </w:rPr>
        <w:t>Participant Name:</w:t>
      </w:r>
      <w:r>
        <w:t xml:space="preserve"> Brandon Lee Still</w:t>
      </w:r>
    </w:p>
    <w:p>
      <w:pPr>
        <w:pStyle w:val="ListBullet"/>
        <w:spacing w:after="40" w:line="276" w:lineRule="auto"/>
      </w:pPr>
      <w:r>
        <w:rPr>
          <w:b/>
        </w:rPr>
        <w:t>Risk Assessment Level:</w:t>
      </w:r>
      <w:r>
        <w:t xml:space="preserve"> High Risk (LSCMI Score: 141)</w:t>
      </w:r>
    </w:p>
    <w:p>
      <w:pPr>
        <w:pStyle w:val="ListBullet"/>
        <w:spacing w:after="40" w:line="276" w:lineRule="auto"/>
      </w:pPr>
      <w:r>
        <w:rPr>
          <w:b/>
        </w:rPr>
        <w:t>Primary Criminogenic Drivers:</w:t>
      </w:r>
      <w:r>
        <w:t xml:space="preserve"> Antisocial Pattern (reactive hostility/impulsivity), Education/Employment deficits, Companions (criminal network vs. single anticriminal peer).</w:t>
      </w:r>
    </w:p>
    <w:p>
      <w:pPr>
        <w:pStyle w:val="ListBullet"/>
        <w:spacing w:after="40" w:line="276" w:lineRule="auto"/>
      </w:pPr>
      <w:r>
        <w:rPr>
          <w:b/>
        </w:rPr>
        <w:t>Current Placement:</w:t>
      </w:r>
      <w:r>
        <w:t xml:space="preserve"> Transitional Federal Halfway House (Columbia, SC).</w:t>
      </w:r>
    </w:p>
    <w:p>
      <w:pPr>
        <w:pStyle w:val="ListBullet"/>
        <w:spacing w:after="40" w:line="276" w:lineRule="auto"/>
      </w:pPr>
      <w:r>
        <w:rPr>
          <w:b/>
        </w:rPr>
        <w:t>Supervision Status:</w:t>
      </w:r>
      <w:r>
        <w:t xml:space="preserve"> 5 Years Federal Supervised Release.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Clinical &amp; Facilitation Interventions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Modeling Neutrality &amp; Managing Resistance (Standards 1.5 &amp; 3.2)</w:t>
      </w:r>
    </w:p>
    <w:p>
      <w:pPr>
        <w:pStyle w:val="ListBullet"/>
        <w:spacing w:after="40" w:line="276" w:lineRule="auto"/>
      </w:pPr>
      <w:r>
        <w:rPr>
          <w:b/>
        </w:rPr>
        <w:t>Antisocial / Defensive Statements:</w:t>
      </w:r>
      <w:r>
        <w:t xml:space="preserve"> When Brandon discusses 'setting the tone' or acting tough with strangers, avoid arguing or direct confrontation. Use neutral curiosity: </w:t>
      </w:r>
      <w:r>
        <w:rPr>
          <w:i/>
        </w:rPr>
        <w:t>'How does setting the tone that way affect your federal probation status if someone escalates?'</w:t>
      </w:r>
    </w:p>
    <w:p>
      <w:pPr>
        <w:pStyle w:val="ListBullet"/>
        <w:spacing w:after="40" w:line="276" w:lineRule="auto"/>
      </w:pPr>
      <w:r>
        <w:rPr>
          <w:b/>
        </w:rPr>
        <w:t>Minimization &amp; Excuses:</w:t>
      </w:r>
      <w:r>
        <w:t xml:space="preserve"> Acknowledge his feelings of frustration neutrally. Re-center every conversation on his self-interest: earning early discharge from supervision, earning steady income, and keeping his freedom.</w:t>
      </w:r>
    </w:p>
    <w:p>
      <w:pPr>
        <w:pStyle w:val="ListBullet"/>
        <w:spacing w:after="40" w:line="276" w:lineRule="auto"/>
      </w:pPr>
      <w:r>
        <w:rPr>
          <w:b/>
        </w:rPr>
        <w:t>Prosocial Lever:</w:t>
      </w:r>
      <w:r>
        <w:t xml:space="preserve"> Actively integrate his positive relationship with his best friend (who achieved $180k legal income after incarceration) into goal-setting sessions as concrete proof of legal success.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Stability &amp; Health Action Plan</w:t>
      </w:r>
    </w:p>
    <w:p>
      <w:pPr>
        <w:pStyle w:val="ListBullet"/>
        <w:spacing w:after="40" w:line="276" w:lineRule="auto"/>
      </w:pPr>
      <w:r>
        <w:rPr>
          <w:b/>
        </w:rPr>
        <w:t>ADHD Non-Stimulant Management:</w:t>
      </w:r>
      <w:r>
        <w:t xml:space="preserve"> Schedule an evaluation with Cooperative Health for alternative non-stimulant ADHD medication to address daytime sleepiness and focus deficits without violating federal halfway house rules.</w:t>
      </w:r>
    </w:p>
    <w:p>
      <w:pPr>
        <w:pStyle w:val="ListBullet"/>
        <w:spacing w:after="40" w:line="276" w:lineRule="auto"/>
      </w:pPr>
      <w:r>
        <w:rPr>
          <w:b/>
        </w:rPr>
        <w:t>Physical Outlet Integration:</w:t>
      </w:r>
      <w:r>
        <w:t xml:space="preserve"> Support and protect his daily structured gym/weightlifting schedule to manage restlessness and emotional stress.</w:t>
      </w:r>
    </w:p>
    <w:p>
      <w:pPr>
        <w:pStyle w:val="ListBullet"/>
        <w:spacing w:after="40" w:line="276" w:lineRule="auto"/>
      </w:pPr>
      <w:r>
        <w:rPr>
          <w:b/>
        </w:rPr>
        <w:t>Vocational Readiness:</w:t>
      </w:r>
      <w:r>
        <w:t xml:space="preserve"> Focus placement on structured, fast-paced 1st-shift physical roles (e.g., concrete, manufacturing, distribution) that keep him engaged and minimize unstructured down-time.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Case Management Goals &amp; Milestones</w:t>
      </w:r>
    </w:p>
    <w:p>
      <w:pPr>
        <w:pStyle w:val="ListNumber"/>
        <w:spacing w:after="40" w:line="276" w:lineRule="auto"/>
      </w:pPr>
      <w:r>
        <w:rPr>
          <w:b/>
        </w:rPr>
        <w:t>Week 1:</w:t>
      </w:r>
      <w:r>
        <w:t xml:space="preserve"> Complete medical intake at Cooperative Health for non-stimulant ADHD treatment.</w:t>
      </w:r>
    </w:p>
    <w:p>
      <w:pPr>
        <w:pStyle w:val="ListNumber"/>
        <w:spacing w:after="40" w:line="276" w:lineRule="auto"/>
      </w:pPr>
      <w:r>
        <w:rPr>
          <w:b/>
        </w:rPr>
        <w:t>Week 2:</w:t>
      </w:r>
      <w:r>
        <w:t xml:space="preserve"> Submit applications to 3 fair-chance employers with 1st shift schedules.</w:t>
      </w:r>
    </w:p>
    <w:p>
      <w:pPr>
        <w:pStyle w:val="ListNumber"/>
        <w:spacing w:after="40" w:line="276" w:lineRule="auto"/>
      </w:pPr>
      <w:r>
        <w:rPr>
          <w:b/>
        </w:rPr>
        <w:t>Week 3:</w:t>
      </w:r>
      <w:r>
        <w:t xml:space="preserve"> Attend interview skills coaching focusing on non-defensive communication.</w:t>
      </w:r>
    </w:p>
    <w:p>
      <w:pPr>
        <w:pStyle w:val="ListNumber"/>
        <w:spacing w:after="40" w:line="276" w:lineRule="auto"/>
      </w:pPr>
      <w:r>
        <w:rPr>
          <w:b/>
        </w:rPr>
        <w:t>Week 4:</w:t>
      </w:r>
      <w:r>
        <w:t xml:space="preserve"> Secure full-time employment and establish a daily structured routine.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