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1E3A8A"/>
          <w:sz w:val="36"/>
        </w:rPr>
        <w:t>Re-entry Navigation Case Plan: Brandon Swearinger</w:t>
      </w:r>
    </w:p>
    <w:p>
      <w:pPr>
        <w:spacing w:after="80" w:line="276" w:lineRule="auto"/>
      </w:pPr>
      <w:r>
        <w:rPr>
          <w:b/>
        </w:rPr>
        <w:t>Participant Name:</w:t>
      </w:r>
      <w:r>
        <w:t xml:space="preserve"> Brandon Laterrance Swearinger</w:t>
      </w:r>
    </w:p>
    <w:p>
      <w:pPr>
        <w:spacing w:after="80" w:line="276" w:lineRule="auto"/>
      </w:pPr>
      <w:r>
        <w:rPr>
          <w:b/>
        </w:rPr>
        <w:t>Location:</w:t>
      </w:r>
      <w:r>
        <w:t xml:space="preserve"> Columbia, SC (Federal BOP Halfway House)</w:t>
      </w:r>
    </w:p>
    <w:p>
      <w:pPr>
        <w:spacing w:after="80" w:line="276" w:lineRule="auto"/>
      </w:pPr>
      <w:r>
        <w:rPr>
          <w:b/>
        </w:rPr>
        <w:t>Risk Level:</w:t>
      </w:r>
      <w:r>
        <w:t xml:space="preserve"> High (Score: 27)</w:t>
      </w:r>
    </w:p>
    <w:p>
      <w:pPr>
        <w:spacing w:after="80" w:line="276" w:lineRule="auto"/>
      </w:pPr>
      <w:r>
        <w:rPr>
          <w:b/>
        </w:rPr>
        <w:t>Primary Targets:</w:t>
      </w:r>
      <w:r>
        <w:t xml:space="preserve"> Procriminal Attitude, Absence of Community Employment, ID Acquisition</w:t>
      </w:r>
    </w:p>
    <w:p>
      <w:pPr>
        <w:spacing w:after="80" w:line="276" w:lineRule="auto"/>
      </w:pPr>
      <w:r>
        <w:t>---</w:t>
      </w:r>
    </w:p>
    <w:p>
      <w:pPr>
        <w:pStyle w:val="Heading3"/>
        <w:spacing w:before="200" w:after="60"/>
      </w:pPr>
      <w:r>
        <w:rPr>
          <w:rFonts w:ascii="Calibri" w:hAnsi="Calibri"/>
          <w:b/>
          <w:color w:val="0284C7"/>
          <w:sz w:val="24"/>
        </w:rPr>
        <w:t>1. Clinical Strategy &amp; Facilitation Framework</w:t>
      </w:r>
    </w:p>
    <w:p>
      <w:pPr>
        <w:pStyle w:val="ListBullet"/>
        <w:spacing w:after="40" w:line="276" w:lineRule="auto"/>
      </w:pPr>
      <w:r>
        <w:rPr>
          <w:b/>
        </w:rPr>
        <w:t>Modeling Neutrality (Standard 1.5):</w:t>
      </w:r>
      <w:r>
        <w:t xml:space="preserve"> Participant demonstrates strong system hostility and externalizing blame regarding his federal drug conviction. Staff will strictly avoid debating the merits of his case or legal history. Reframe discussions around practical self-interest: keeping freedom, earning steady pay, and reaching personal stability.</w:t>
      </w:r>
    </w:p>
    <w:p>
      <w:pPr>
        <w:pStyle w:val="ListBullet"/>
        <w:spacing w:after="40" w:line="276" w:lineRule="auto"/>
      </w:pPr>
      <w:r>
        <w:rPr>
          <w:b/>
        </w:rPr>
        <w:t>Managing Resistance (Standard 3.2):</w:t>
      </w:r>
      <w:r>
        <w:t xml:space="preserve"> Acknowledge his frustration with past institutionalization without validating anti-social excuses. Leverage his rationalization style ('long-term benefits outweigh short-term benefits') to reinforce positive workplace behavior.</w:t>
      </w:r>
    </w:p>
    <w:p>
      <w:pPr>
        <w:pStyle w:val="ListBullet"/>
        <w:spacing w:after="40" w:line="276" w:lineRule="auto"/>
      </w:pPr>
      <w:r>
        <w:rPr>
          <w:b/>
        </w:rPr>
        <w:t>Trauma-Informed Support:</w:t>
      </w:r>
      <w:r>
        <w:t xml:space="preserve"> Address institutional PTSD triggers (loud noises, closed doors) by keeping interview spaces calm, predictable, and transparent.</w:t>
      </w:r>
    </w:p>
    <w:p>
      <w:pPr>
        <w:spacing w:after="80" w:line="276" w:lineRule="auto"/>
      </w:pPr>
      <w:r>
        <w:t>---</w:t>
      </w:r>
    </w:p>
    <w:p>
      <w:pPr>
        <w:pStyle w:val="Heading3"/>
        <w:spacing w:before="200" w:after="60"/>
      </w:pPr>
      <w:r>
        <w:rPr>
          <w:rFonts w:ascii="Calibri" w:hAnsi="Calibri"/>
          <w:b/>
          <w:color w:val="0284C7"/>
          <w:sz w:val="24"/>
        </w:rPr>
        <w:t>2. Immediate Stability &amp; Identification Triage</w:t>
      </w:r>
    </w:p>
    <w:p>
      <w:pPr>
        <w:pStyle w:val="ListNumber"/>
        <w:spacing w:after="40" w:line="276" w:lineRule="auto"/>
      </w:pPr>
      <w:r>
        <w:rPr>
          <w:b/>
        </w:rPr>
        <w:t>Birth Certificate &amp; SS Card Application:</w:t>
      </w:r>
      <w:r>
        <w:t xml:space="preserve"> Schedule immediate intake support with Midlands Fatherhood Coalition to request a certified SC birth certificate and replacement Social Security card.</w:t>
      </w:r>
    </w:p>
    <w:p>
      <w:pPr>
        <w:pStyle w:val="ListNumber"/>
        <w:spacing w:after="40" w:line="276" w:lineRule="auto"/>
      </w:pPr>
      <w:r>
        <w:rPr>
          <w:b/>
        </w:rPr>
        <w:t>State ID / Driver's License:</w:t>
      </w:r>
      <w:r>
        <w:t xml:space="preserve"> Once vital documents are secured, assist Brandon at the SCDMV Shop Road branch to obtain a SC State Identification Card and review driver's license reinstatement requirements.</w:t>
      </w:r>
    </w:p>
    <w:p>
      <w:pPr>
        <w:pStyle w:val="ListNumber"/>
        <w:spacing w:after="40" w:line="276" w:lineRule="auto"/>
      </w:pPr>
      <w:r>
        <w:rPr>
          <w:b/>
        </w:rPr>
        <w:t>Transit Readiness:</w:t>
      </w:r>
      <w:r>
        <w:t xml:space="preserve"> Map out COMET bus routes connecting his halfway house to key community service providers and prospective job sites on Shop Road and Cayce industrial hubs.</w:t>
      </w:r>
    </w:p>
    <w:p>
      <w:pPr>
        <w:spacing w:after="80" w:line="276" w:lineRule="auto"/>
      </w:pPr>
      <w:r>
        <w:t>---</w:t>
      </w:r>
    </w:p>
    <w:p>
      <w:pPr>
        <w:pStyle w:val="Heading3"/>
        <w:spacing w:before="200" w:after="60"/>
      </w:pPr>
      <w:r>
        <w:rPr>
          <w:rFonts w:ascii="Calibri" w:hAnsi="Calibri"/>
          <w:b/>
          <w:color w:val="0284C7"/>
          <w:sz w:val="24"/>
        </w:rPr>
        <w:t>3. Federal Supervised Release Alignment</w:t>
      </w:r>
    </w:p>
    <w:p>
      <w:pPr>
        <w:pStyle w:val="ListBullet"/>
        <w:spacing w:after="40" w:line="276" w:lineRule="auto"/>
      </w:pPr>
      <w:r>
        <w:rPr>
          <w:b/>
        </w:rPr>
        <w:t>Substance Abuse Testing &amp; Counseling:</w:t>
      </w:r>
      <w:r>
        <w:t xml:space="preserve"> Integrate required LRADAC appointments and drug testing compliance into his weekly Turn90 First Shift master schedule.</w:t>
      </w:r>
    </w:p>
    <w:p>
      <w:pPr>
        <w:pStyle w:val="ListBullet"/>
        <w:spacing w:after="40" w:line="276" w:lineRule="auto"/>
      </w:pPr>
      <w:r>
        <w:rPr>
          <w:b/>
        </w:rPr>
        <w:t>Financial Counseling:</w:t>
      </w:r>
      <w:r>
        <w:t xml:space="preserve"> Enroll Brandon in structured consumer credit and money management counseling as ordered by his federal judgment.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