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John Cabrera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Executive Summary &amp; Assessment Overview</w:t>
      </w:r>
    </w:p>
    <w:p>
      <w:pPr>
        <w:spacing w:after="80" w:line="276" w:lineRule="auto"/>
      </w:pPr>
      <w:r>
        <w:t>John Cabrera presents with a high risk profile driven primarily by an Antisocial Pattern and Procriminal Attitudes. Key structural strengths include stable housing with his mother and a valid driver's license with reliable transportation. However, significant stability risks exist around untreated PTSD/paranoid schizophrenia, active marijuana use, and non-compliant attitudes regarding firearm possession while on active probation (extending through August 2028).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Core Criminogenic Target Interventions</w:t>
      </w:r>
    </w:p>
    <w:p>
      <w:pPr>
        <w:pStyle w:val="ListBullet"/>
        <w:spacing w:after="40" w:line="276" w:lineRule="auto"/>
      </w:pPr>
      <w:r>
        <w:rPr>
          <w:b/>
        </w:rPr>
        <w:t>Procriminal Attitudes:</w:t>
      </w:r>
      <w:r>
        <w:t xml:space="preserve"> Utilize CBT workbooks and neutral curiosity questions to address firearm insistence and hypervigilance without escalating resistance.</w:t>
      </w:r>
    </w:p>
    <w:p>
      <w:pPr>
        <w:pStyle w:val="ListBullet"/>
        <w:spacing w:after="40" w:line="276" w:lineRule="auto"/>
      </w:pPr>
      <w:r>
        <w:rPr>
          <w:b/>
        </w:rPr>
        <w:t>Antisocial Pattern &amp; Interpersonal Reactivity:</w:t>
      </w:r>
      <w:r>
        <w:t xml:space="preserve"> Role-play supervisor and peer conflict scenarios emphasizing cognitive pause techniques and workplace survival strategies.</w:t>
      </w:r>
    </w:p>
    <w:p>
      <w:pPr>
        <w:pStyle w:val="ListBullet"/>
        <w:spacing w:after="40" w:line="276" w:lineRule="auto"/>
      </w:pPr>
      <w:r>
        <w:rPr>
          <w:b/>
        </w:rPr>
        <w:t>Education/Employment Deficits:</w:t>
      </w:r>
      <w:r>
        <w:t xml:space="preserve"> Support math GED preparation and route toward fair-chance employers that match his skills (HVAC/trades background).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Facilitation Strategies &amp; Management Guidelines</w:t>
      </w:r>
    </w:p>
    <w:p>
      <w:pPr>
        <w:pStyle w:val="ListBullet"/>
        <w:spacing w:after="40" w:line="276" w:lineRule="auto"/>
      </w:pPr>
      <w:r>
        <w:rPr>
          <w:b/>
        </w:rPr>
        <w:t>Modeling Neutrality (Standard 1.5):</w:t>
      </w:r>
      <w:r>
        <w:t xml:space="preserve"> Do not debate anti-social statements or firearm logic directly. Acknowledge the underlying feeling of safety concerns while framing compliance in terms of avoiding prison return.</w:t>
      </w:r>
    </w:p>
    <w:p>
      <w:pPr>
        <w:pStyle w:val="ListBullet"/>
        <w:spacing w:after="40" w:line="276" w:lineRule="auto"/>
      </w:pPr>
      <w:r>
        <w:rPr>
          <w:b/>
        </w:rPr>
        <w:t>Managing Resistance (Standard 3.2 &amp; 18.0):</w:t>
      </w:r>
      <w:r>
        <w:t xml:space="preserve"> Pair John with familiar, consistent staff to respect his trust boundary ("circles get you killed") and build steady rapport.</w:t>
      </w:r>
    </w:p>
    <w:p>
      <w:pPr>
        <w:pStyle w:val="ListBullet"/>
        <w:spacing w:after="40" w:line="276" w:lineRule="auto"/>
      </w:pPr>
      <w:r>
        <w:rPr>
          <w:b/>
        </w:rPr>
        <w:t>Substance Use &amp; CDL Pathway:</w:t>
      </w:r>
      <w:r>
        <w:t xml:space="preserve"> Explicitly link drug-free status to passing DOT physicals for his long-term CDL and career goals.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4. Immediate Action Steps (30–60 Days)</w:t>
      </w:r>
    </w:p>
    <w:p>
      <w:pPr>
        <w:pStyle w:val="ListNumber"/>
        <w:spacing w:after="40" w:line="276" w:lineRule="auto"/>
      </w:pPr>
      <w:r>
        <w:t>Connect with Charleston Center / Fetter Health Network for voluntary mental health and PTSD trauma support.</w:t>
      </w:r>
    </w:p>
    <w:p>
      <w:pPr>
        <w:pStyle w:val="ListNumber"/>
        <w:spacing w:after="40" w:line="276" w:lineRule="auto"/>
      </w:pPr>
      <w:r>
        <w:t>Initiate math GED tutoring.</w:t>
      </w:r>
    </w:p>
    <w:p>
      <w:pPr>
        <w:pStyle w:val="ListNumber"/>
        <w:spacing w:after="40" w:line="276" w:lineRule="auto"/>
      </w:pPr>
      <w:r>
        <w:t>Match with non-CDL entry-level trades/logistics positions that accept fair-chance candidates.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