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Chance Simmons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Executive Summary &amp; Clinical Assessment</w:t>
      </w:r>
    </w:p>
    <w:p>
      <w:pPr>
        <w:spacing w:after="80" w:line="276" w:lineRule="auto"/>
      </w:pPr>
      <w:r>
        <w:t xml:space="preserve">Participant Chance Simmons is a 40-year-old male under SCDC Reentry Parole Supervision returning to Charleston after serving nearly 20 continuous years of incarceration from age 17. His score-based risk level is </w:t>
      </w:r>
      <w:r>
        <w:rPr>
          <w:b/>
        </w:rPr>
        <w:t>HIGH (23/43)</w:t>
      </w:r>
      <w:r>
        <w:t xml:space="preserve">, heavily weighted by static criminal history and dynamic deficits in </w:t>
      </w:r>
      <w:r>
        <w:rPr>
          <w:b/>
        </w:rPr>
        <w:t>Education/Employment (7/9)</w:t>
      </w:r>
      <w:r>
        <w:t xml:space="preserve">, </w:t>
      </w:r>
      <w:r>
        <w:rPr>
          <w:b/>
        </w:rPr>
        <w:t>Leisure/Recreation (2/2)</w:t>
      </w:r>
      <w:r>
        <w:t xml:space="preserve">, and </w:t>
      </w:r>
      <w:r>
        <w:rPr>
          <w:b/>
        </w:rPr>
        <w:t>Companions (3/4)</w:t>
      </w:r>
      <w:r>
        <w:t>.</w:t>
      </w:r>
    </w:p>
    <w:p>
      <w:pPr>
        <w:spacing w:after="80" w:line="276" w:lineRule="auto"/>
      </w:pPr>
      <w:r>
        <w:t xml:space="preserve">Crucially, Chance presents with exceptional protective strengths: </w:t>
      </w:r>
      <w:r>
        <w:rPr>
          <w:b/>
        </w:rPr>
        <w:t>0/4 in Procriminal Attitude</w:t>
      </w:r>
      <w:r>
        <w:t xml:space="preserve"> (demonstrates genuine remorse, full accountability, and proactive seeking of psychological counseling) and </w:t>
      </w:r>
      <w:r>
        <w:rPr>
          <w:b/>
        </w:rPr>
        <w:t>0/4 in Family/Marital</w:t>
      </w:r>
      <w:r>
        <w:t xml:space="preserve"> (resides in a highly supportive, stable parental home on Johns Island). He has no active acute housing or substance crises.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Facilitation &amp; CBT Coaching Strategy</w:t>
      </w:r>
    </w:p>
    <w:p>
      <w:pPr>
        <w:pStyle w:val="ListBullet"/>
        <w:spacing w:after="40" w:line="276" w:lineRule="auto"/>
      </w:pPr>
      <w:r>
        <w:rPr>
          <w:b/>
        </w:rPr>
        <w:t>Modeling Neutrality &amp; Relational Tone:</w:t>
      </w:r>
      <w:r>
        <w:t xml:space="preserve"> Adopt an appreciative, encouraging, peer-level coaching tone. Chance is highly sensitive to authority and eager to please; avoid confrontational tactics or power struggles.</w:t>
      </w:r>
    </w:p>
    <w:p>
      <w:pPr>
        <w:pStyle w:val="ListBullet"/>
        <w:spacing w:after="40" w:line="276" w:lineRule="auto"/>
      </w:pPr>
      <w:r>
        <w:rPr>
          <w:b/>
        </w:rPr>
        <w:t>Targeting Dynamic Criminogenic Needs:</w:t>
      </w:r>
    </w:p>
    <w:p>
      <w:pPr>
        <w:pStyle w:val="ListNumber"/>
        <w:spacing w:after="40" w:line="276" w:lineRule="auto"/>
      </w:pPr>
      <w:r>
        <w:rPr>
          <w:i/>
        </w:rPr>
        <w:t>Education/Employment:</w:t>
      </w:r>
      <w:r>
        <w:t xml:space="preserve"> Transition GED foundation into practical workplace habits, digital literacy, and first-ever community job placement.</w:t>
      </w:r>
    </w:p>
    <w:p>
      <w:pPr>
        <w:pStyle w:val="ListNumber"/>
        <w:spacing w:after="40" w:line="276" w:lineRule="auto"/>
      </w:pPr>
      <w:r>
        <w:rPr>
          <w:i/>
        </w:rPr>
        <w:t>Leisure/Recreation:</w:t>
      </w:r>
      <w:r>
        <w:t xml:space="preserve"> Restructure idle TV time into structured daily routines, trade training, and family-oriented prosocial activities.</w:t>
      </w:r>
    </w:p>
    <w:p>
      <w:pPr>
        <w:pStyle w:val="ListNumber"/>
        <w:spacing w:after="40" w:line="276" w:lineRule="auto"/>
      </w:pPr>
      <w:r>
        <w:rPr>
          <w:i/>
        </w:rPr>
        <w:t>Companions:</w:t>
      </w:r>
      <w:r>
        <w:t xml:space="preserve"> Insulate against negative neighborhood peer networks by reinforcing family protective factors and workplace social integration.</w:t>
      </w:r>
    </w:p>
    <w:p>
      <w:pPr>
        <w:pStyle w:val="ListBullet"/>
        <w:spacing w:after="40" w:line="276" w:lineRule="auto"/>
      </w:pPr>
      <w:r>
        <w:rPr>
          <w:b/>
        </w:rPr>
        <w:t>Impatience Management:</w:t>
      </w:r>
      <w:r>
        <w:t xml:space="preserve"> When minor impatience surfaces around job search pacing, validate his eagerness to earn while using CBT thought-mapping to highlight incremental progress.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90-Day Action Roadmap</w:t>
      </w:r>
    </w:p>
    <w:p>
      <w:pPr>
        <w:pStyle w:val="ListNumber"/>
        <w:spacing w:after="40" w:line="276" w:lineRule="auto"/>
      </w:pPr>
      <w:r>
        <w:rPr>
          <w:b/>
        </w:rPr>
        <w:t>Weeks 1–2 (Stabilization &amp; Licensing):</w:t>
      </w:r>
      <w:r>
        <w:t xml:space="preserve"> Connect with Father to Father Project for beginner's permit advancement to full driver's license; set up CARTA transit schedules from Johns Island.</w:t>
      </w:r>
    </w:p>
    <w:p>
      <w:pPr>
        <w:pStyle w:val="ListNumber"/>
        <w:spacing w:after="40" w:line="276" w:lineRule="auto"/>
      </w:pPr>
      <w:r>
        <w:rPr>
          <w:b/>
        </w:rPr>
        <w:t>Weeks 3–6 (Digital Literacy &amp; Job Preparation):</w:t>
      </w:r>
      <w:r>
        <w:t xml:space="preserve"> Conduct 1-on-1 digital application practice; submit tailored applications to local Fair-Chance trade and logistics partners.</w:t>
      </w:r>
    </w:p>
    <w:p>
      <w:pPr>
        <w:pStyle w:val="ListNumber"/>
        <w:spacing w:after="40" w:line="276" w:lineRule="auto"/>
      </w:pPr>
      <w:r>
        <w:rPr>
          <w:b/>
        </w:rPr>
        <w:t>Weeks 7–12 (Placement &amp; Maintenance):</w:t>
      </w:r>
      <w:r>
        <w:t xml:space="preserve"> Secure entry-level employment; monitor initial supervisor interactions; establish ongoing relapse prevention check-ins.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