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Christopher Barranco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Clinical Risk &amp; Criminogenic Profile</w:t>
      </w:r>
    </w:p>
    <w:p>
      <w:pPr>
        <w:pStyle w:val="ListBullet"/>
        <w:spacing w:after="40" w:line="276" w:lineRule="auto"/>
      </w:pPr>
      <w:r>
        <w:rPr>
          <w:b/>
        </w:rPr>
        <w:t>LS/CMI Score:</w:t>
      </w:r>
      <w:r>
        <w:t xml:space="preserve"> 21 / 43 (High Risk / Need Category)</w:t>
      </w:r>
    </w:p>
    <w:p>
      <w:pPr>
        <w:pStyle w:val="ListBullet"/>
        <w:spacing w:after="40" w:line="276" w:lineRule="auto"/>
      </w:pPr>
      <w:r>
        <w:rPr>
          <w:b/>
        </w:rPr>
        <w:t>Primary Domain (ADP - 5/8):</w:t>
      </w:r>
      <w:r>
        <w:t xml:space="preserve"> Chronic substance use starting at age 13; severe relapse driver for all historic criminal offenses.</w:t>
      </w:r>
    </w:p>
    <w:p>
      <w:pPr>
        <w:pStyle w:val="ListBullet"/>
        <w:spacing w:after="40" w:line="276" w:lineRule="auto"/>
      </w:pPr>
      <w:r>
        <w:rPr>
          <w:b/>
        </w:rPr>
        <w:t>Secondary Domain (EE - 5/9):</w:t>
      </w:r>
      <w:r>
        <w:t xml:space="preserve"> Associate's Degree in Accounting (Midlands Tech) and trade expertise in gutter installation/roofing; however, lack of stable 12-month payroll and recent unemployment elevate risk.</w:t>
      </w:r>
    </w:p>
    <w:p>
      <w:pPr>
        <w:pStyle w:val="ListBullet"/>
        <w:spacing w:after="40" w:line="276" w:lineRule="auto"/>
      </w:pPr>
      <w:r>
        <w:rPr>
          <w:b/>
        </w:rPr>
        <w:t>Tertiary Domain (PA/AP - 2/4):</w:t>
      </w:r>
      <w:r>
        <w:t xml:space="preserve"> Active property/shoplifting offending within the last 12 months scores supportive of crime, requiring CBT focus on cognitive distortions.</w:t>
      </w:r>
    </w:p>
    <w:p>
      <w:pPr>
        <w:pStyle w:val="ListBullet"/>
        <w:spacing w:after="40" w:line="276" w:lineRule="auto"/>
      </w:pPr>
      <w:r>
        <w:rPr>
          <w:b/>
        </w:rPr>
        <w:t>Protective Strengths:</w:t>
      </w:r>
      <w:r>
        <w:t xml:space="preserve"> Oxford House President, active church volunteer/usher, formal accounting education, high trade skill set.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Immediate Clinical Triage &amp; Legal Stabilization</w:t>
      </w:r>
    </w:p>
    <w:p>
      <w:pPr>
        <w:pStyle w:val="ListNumber"/>
        <w:spacing w:after="40" w:line="276" w:lineRule="auto"/>
      </w:pPr>
      <w:r>
        <w:rPr>
          <w:b/>
        </w:rPr>
        <w:t>Probation Warrant Mitigation:</w:t>
      </w:r>
      <w:r>
        <w:t xml:space="preserve"> Coordinate directly with Agent Burgess (Kershaw PPP) to present Turn90 progress and establish a formal compliance agreement.</w:t>
      </w:r>
    </w:p>
    <w:p>
      <w:pPr>
        <w:pStyle w:val="ListNumber"/>
        <w:spacing w:after="40" w:line="276" w:lineRule="auto"/>
      </w:pPr>
      <w:r>
        <w:rPr>
          <w:b/>
        </w:rPr>
        <w:t>Lexington DUS Resolution:</w:t>
      </w:r>
      <w:r>
        <w:t xml:space="preserve"> Engage SC Legal Services and Midlands Fatherhood Coalition to address pending DUS 1st court date and structure a manageable SCDMV payment plan.</w:t>
      </w:r>
    </w:p>
    <w:p>
      <w:pPr>
        <w:pStyle w:val="ListNumber"/>
        <w:spacing w:after="40" w:line="276" w:lineRule="auto"/>
      </w:pPr>
      <w:r>
        <w:rPr>
          <w:b/>
        </w:rPr>
        <w:t>Debt Management:</w:t>
      </w:r>
      <w:r>
        <w:t xml:space="preserve"> Utilize his accounting background to co-create a 'Debt Snowball' budget targeting his $3,500 debt to Landmark, alleviating financial anxiety.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Workplace &amp; Facilitation Plan</w:t>
      </w:r>
    </w:p>
    <w:p>
      <w:pPr>
        <w:pStyle w:val="ListBullet"/>
        <w:spacing w:after="40" w:line="276" w:lineRule="auto"/>
      </w:pPr>
      <w:r>
        <w:rPr>
          <w:b/>
        </w:rPr>
        <w:t>Facilitation Protocol:</w:t>
      </w:r>
      <w:r>
        <w:t xml:space="preserve"> Use neutral curiosity (Standard 1.5) and trauma-informed collaborative coaching. Avoid confrontational directives.</w:t>
      </w:r>
    </w:p>
    <w:p>
      <w:pPr>
        <w:pStyle w:val="ListBullet"/>
        <w:spacing w:after="40" w:line="276" w:lineRule="auto"/>
      </w:pPr>
      <w:r>
        <w:rPr>
          <w:b/>
        </w:rPr>
        <w:t>Workplace Vetting:</w:t>
      </w:r>
      <w:r>
        <w:t xml:space="preserve"> Match only with verified drug-free employers (e.g., commercial maintenance, structural steel, or warehouse logistics) that respect physical lung limitations and maintain prosocial peer cultures.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