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Clyde Williams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Executive Summary &amp; Clinical Assessment</w:t>
      </w:r>
    </w:p>
    <w:p>
      <w:pPr>
        <w:pStyle w:val="ListBullet"/>
        <w:spacing w:after="40" w:line="276" w:lineRule="auto"/>
      </w:pPr>
      <w:r>
        <w:rPr>
          <w:b/>
        </w:rPr>
        <w:t>Participant</w:t>
      </w:r>
      <w:r>
        <w:t>: Clyde Williams (DOB: 07/30/1989)</w:t>
      </w:r>
    </w:p>
    <w:p>
      <w:pPr>
        <w:pStyle w:val="ListBullet"/>
        <w:spacing w:after="40" w:line="276" w:lineRule="auto"/>
      </w:pPr>
      <w:r>
        <w:rPr>
          <w:b/>
        </w:rPr>
        <w:t>Risk Level</w:t>
      </w:r>
      <w:r>
        <w:t>: High Risk / Need (LS/CMI Score: 21 / 43)</w:t>
      </w:r>
    </w:p>
    <w:p>
      <w:pPr>
        <w:pStyle w:val="ListBullet"/>
        <w:spacing w:after="40" w:line="276" w:lineRule="auto"/>
      </w:pPr>
      <w:r>
        <w:rPr>
          <w:b/>
        </w:rPr>
        <w:t>Supervision</w:t>
      </w:r>
      <w:r>
        <w:t>: Parole (18 Days Released, 15-Year Violent Burglary Sentence)</w:t>
      </w:r>
    </w:p>
    <w:p>
      <w:pPr>
        <w:pStyle w:val="ListBullet"/>
        <w:spacing w:after="40" w:line="276" w:lineRule="auto"/>
      </w:pPr>
      <w:r>
        <w:rPr>
          <w:b/>
        </w:rPr>
        <w:t>Primary Criminogenic Focus</w:t>
      </w:r>
      <w:r>
        <w:t>: Education/Employment, Antisocial Pattern, Companions (Note: Static criminal history score of 6/8 excluded from dynamic intervention targets).</w:t>
      </w:r>
    </w:p>
    <w:p>
      <w:pPr>
        <w:pStyle w:val="ListBullet"/>
        <w:spacing w:after="40" w:line="276" w:lineRule="auto"/>
      </w:pPr>
      <w:r>
        <w:rPr>
          <w:b/>
        </w:rPr>
        <w:t>Stability Overview</w:t>
      </w:r>
      <w:r>
        <w:t>: Housing is highly stable (resides with girlfriend in clean residential home). Primary instability stems from active unemployment, suspended driver's license, and lack of GED.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Dynamic Criminogenic Target Areas</w:t>
      </w:r>
    </w:p>
    <w:p>
      <w:pPr>
        <w:pStyle w:val="ListNumber"/>
        <w:spacing w:after="40" w:line="276" w:lineRule="auto"/>
      </w:pPr>
      <w:r>
        <w:rPr>
          <w:b/>
        </w:rPr>
        <w:t>Education &amp; Employment (Subscore 7/9)</w:t>
      </w:r>
      <w:r>
        <w:t>:</w:t>
      </w:r>
    </w:p>
    <w:p>
      <w:pPr>
        <w:pStyle w:val="ListBullet"/>
        <w:spacing w:after="40" w:line="276" w:lineRule="auto"/>
      </w:pPr>
      <w:r>
        <w:t>Needs immediate paid transitional work stabilization.</w:t>
      </w:r>
    </w:p>
    <w:p>
      <w:pPr>
        <w:pStyle w:val="ListBullet"/>
        <w:spacing w:after="40" w:line="276" w:lineRule="auto"/>
      </w:pPr>
      <w:r>
        <w:t>GED enrollment required to leverage his Brick Masonry NCCER Core certification in commercial contracting.</w:t>
      </w:r>
    </w:p>
    <w:p>
      <w:pPr>
        <w:pStyle w:val="ListNumber"/>
        <w:spacing w:after="40" w:line="276" w:lineRule="auto"/>
      </w:pPr>
      <w:r>
        <w:rPr>
          <w:b/>
        </w:rPr>
        <w:t>Antisocial Pattern / Cognitive Restructuring (Subscore 3/4)</w:t>
      </w:r>
      <w:r>
        <w:t>:</w:t>
      </w:r>
    </w:p>
    <w:p>
      <w:pPr>
        <w:pStyle w:val="ListBullet"/>
        <w:spacing w:after="40" w:line="276" w:lineRule="auto"/>
      </w:pPr>
      <w:r>
        <w:t>Target the 'Justifying' distortion regarding parole resentment and the 'Cut Off' default under frustration.</w:t>
      </w:r>
    </w:p>
    <w:p>
      <w:pPr>
        <w:pStyle w:val="ListNumber"/>
        <w:spacing w:after="40" w:line="276" w:lineRule="auto"/>
      </w:pPr>
      <w:r>
        <w:rPr>
          <w:b/>
        </w:rPr>
        <w:t>Companions / Prosocial Network (Subscore 2/4)</w:t>
      </w:r>
      <w:r>
        <w:t>:</w:t>
      </w:r>
    </w:p>
    <w:p>
      <w:pPr>
        <w:pStyle w:val="ListBullet"/>
        <w:spacing w:after="40" w:line="276" w:lineRule="auto"/>
      </w:pPr>
      <w:r>
        <w:t>Safely bridge the gap between extreme selective isolation ('I don't have friends') and constructive, law-abiding social networks.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Facilitation &amp; Clinical Strategy (Staff Instructions)</w:t>
      </w:r>
    </w:p>
    <w:p>
      <w:pPr>
        <w:pStyle w:val="ListBullet"/>
        <w:spacing w:after="40" w:line="276" w:lineRule="auto"/>
      </w:pPr>
      <w:r>
        <w:rPr>
          <w:b/>
        </w:rPr>
        <w:t>Neutrality &amp; Power Struggles</w:t>
      </w:r>
      <w:r>
        <w:t xml:space="preserve">: Never debate parole requirements or past convictions. If Clyde expresses resentment over parole, reflect with neutral curiosity: </w:t>
      </w:r>
      <w:r>
        <w:rPr>
          <w:i/>
        </w:rPr>
        <w:t>'You've put in a lot of time, so I hear your frustration. What strategy keeps parole off your back so you can build your career?'</w:t>
      </w:r>
    </w:p>
    <w:p>
      <w:pPr>
        <w:pStyle w:val="ListBullet"/>
        <w:spacing w:after="40" w:line="276" w:lineRule="auto"/>
      </w:pPr>
      <w:r>
        <w:rPr>
          <w:b/>
        </w:rPr>
        <w:t>Capitalize on Strategic Mindset</w:t>
      </w:r>
      <w:r>
        <w:t>: Leverage Clyde's 'chessboard' thinking style. Co-create structured, written action plans saved in his phone notes.</w:t>
      </w:r>
    </w:p>
    <w:p>
      <w:pPr>
        <w:pStyle w:val="ListBullet"/>
        <w:spacing w:after="40" w:line="276" w:lineRule="auto"/>
      </w:pPr>
      <w:r>
        <w:rPr>
          <w:b/>
        </w:rPr>
        <w:t>CBT Skill Building</w:t>
      </w:r>
      <w:r>
        <w:t>: Practice problem-solving logs for workplace frustration to prevent impulse 'cut off' behaviors (quitting or fighting).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4. Action Plan &amp; Timeline</w:t>
      </w:r>
    </w:p>
    <w:p>
      <w:pPr>
        <w:pStyle w:val="ListBullet"/>
        <w:spacing w:after="40" w:line="276" w:lineRule="auto"/>
      </w:pPr>
      <w:r>
        <w:rPr>
          <w:b/>
        </w:rPr>
        <w:t>Immediate (Days 1–7)</w:t>
      </w:r>
      <w:r>
        <w:t>:</w:t>
      </w:r>
    </w:p>
    <w:p>
      <w:pPr>
        <w:pStyle w:val="ListBullet"/>
        <w:spacing w:after="40" w:line="276" w:lineRule="auto"/>
      </w:pPr>
      <w:r>
        <w:t>Provide COMET bus routes and transit passes.</w:t>
      </w:r>
    </w:p>
    <w:p>
      <w:pPr>
        <w:pStyle w:val="ListBullet"/>
        <w:spacing w:after="40" w:line="276" w:lineRule="auto"/>
      </w:pPr>
      <w:r>
        <w:t>Referral to Midlands Fatherhood Coalition for SCDMV reinstatement counseling.</w:t>
      </w:r>
    </w:p>
    <w:p>
      <w:pPr>
        <w:pStyle w:val="ListBullet"/>
        <w:spacing w:after="40" w:line="276" w:lineRule="auto"/>
      </w:pPr>
      <w:r>
        <w:t>Secure immediate placement applications for high-paying fair-chance Columbia employers.</w:t>
      </w:r>
    </w:p>
    <w:p>
      <w:pPr>
        <w:pStyle w:val="ListBullet"/>
        <w:spacing w:after="40" w:line="276" w:lineRule="auto"/>
      </w:pPr>
      <w:r>
        <w:rPr>
          <w:b/>
        </w:rPr>
        <w:t>Short-Term (Days 8–30)</w:t>
      </w:r>
      <w:r>
        <w:t>:</w:t>
      </w:r>
    </w:p>
    <w:p>
      <w:pPr>
        <w:pStyle w:val="ListBullet"/>
        <w:spacing w:after="40" w:line="276" w:lineRule="auto"/>
      </w:pPr>
      <w:r>
        <w:t>Enroll in adult education/GED prep program in Richland County.</w:t>
      </w:r>
    </w:p>
    <w:p>
      <w:pPr>
        <w:pStyle w:val="ListBullet"/>
        <w:spacing w:after="40" w:line="276" w:lineRule="auto"/>
      </w:pPr>
      <w:r>
        <w:t>Complete CBT behavior logs focused on workplace communication.</w:t>
      </w:r>
    </w:p>
    <w:p>
      <w:pPr>
        <w:pStyle w:val="ListBullet"/>
        <w:spacing w:after="40" w:line="276" w:lineRule="auto"/>
      </w:pPr>
      <w:r>
        <w:t>Support transition into commercial masonry/industrial employment.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