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Re-entry Navigation Case Plan: Jarvier Xavier Frazier-Butler</w:t>
      </w:r>
    </w:p>
    <w:p>
      <w:pPr>
        <w:spacing w:after="80" w:line="276" w:lineRule="auto"/>
      </w:pPr>
      <w:r>
        <w:rPr>
          <w:b/>
        </w:rPr>
        <w:t>Participant Profile:</w:t>
      </w:r>
      <w:r>
        <w:t xml:space="preserve"> Jarvier Xavier Frazier-Butler | </w:t>
      </w:r>
      <w:r>
        <w:rPr>
          <w:b/>
        </w:rPr>
        <w:t>Age:</w:t>
      </w:r>
      <w:r>
        <w:t xml:space="preserve"> 24 | </w:t>
      </w:r>
      <w:r>
        <w:rPr>
          <w:b/>
        </w:rPr>
        <w:t>Supervision:</w:t>
      </w:r>
      <w:r>
        <w:t xml:space="preserve"> State Probation (Charleston County)</w:t>
      </w:r>
    </w:p>
    <w:p>
      <w:pPr>
        <w:spacing w:after="80" w:line="276" w:lineRule="auto"/>
      </w:pPr>
      <w:r>
        <w:rPr>
          <w:b/>
        </w:rPr>
        <w:t>Housing:</w:t>
      </w:r>
      <w:r>
        <w:t xml:space="preserve"> Shield Ministries Cottage Housing (High Stability) | </w:t>
      </w:r>
      <w:r>
        <w:rPr>
          <w:b/>
        </w:rPr>
        <w:t>LS/CMI Risk Level:</w:t>
      </w:r>
      <w:r>
        <w:t xml:space="preserve"> High (24/43)</w:t>
      </w:r>
    </w:p>
    <w:p>
      <w:pPr>
        <w:spacing w:after="80" w:line="276" w:lineRule="auto"/>
      </w:pPr>
      <w:r>
        <w:rPr>
          <w:b/>
        </w:rPr>
        <w:t>Primary Clinical Target:</w:t>
      </w:r>
      <w:r>
        <w:t xml:space="preserve"> Antisocial Cognition &amp; Workplace Stabilization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Executive Summary &amp; Dynamic Needs Assessment</w:t>
      </w:r>
    </w:p>
    <w:p>
      <w:pPr>
        <w:spacing w:after="80" w:line="276" w:lineRule="auto"/>
      </w:pPr>
      <w:r>
        <w:t xml:space="preserve">Jarvier presents a </w:t>
      </w:r>
      <w:r>
        <w:rPr>
          <w:b/>
        </w:rPr>
        <w:t>High Risk / High Needs</w:t>
      </w:r>
      <w:r>
        <w:t xml:space="preserve"> profile with strong motivation tied to family unification and stability. While his housing at Shield Ministries is currently highly stable, his primary dynamic risk factors include </w:t>
      </w:r>
      <w:r>
        <w:rPr>
          <w:b/>
        </w:rPr>
        <w:t>Antisocial Cognition</w:t>
      </w:r>
      <w:r>
        <w:t xml:space="preserve"> (</w:t>
      </w:r>
      <w:r>
        <w:rPr>
          <w:i/>
        </w:rPr>
        <w:t>Justifying</w:t>
      </w:r>
      <w:r>
        <w:t xml:space="preserve"> and </w:t>
      </w:r>
      <w:r>
        <w:rPr>
          <w:i/>
        </w:rPr>
        <w:t>Cut-Off</w:t>
      </w:r>
      <w:r>
        <w:t xml:space="preserve"> thinking patterns), </w:t>
      </w:r>
      <w:r>
        <w:rPr>
          <w:b/>
        </w:rPr>
        <w:t>Workplace Deficits</w:t>
      </w:r>
      <w:r>
        <w:t xml:space="preserve"> (0 payroll months in last 12), and </w:t>
      </w:r>
      <w:r>
        <w:rPr>
          <w:b/>
        </w:rPr>
        <w:t>Authority Sensitivity</w:t>
      </w:r>
      <w:r>
        <w:t xml:space="preserve"> rooted in childhood family trauma. Static risk (juvenile record, past convictions) is noted but excluded from treatment targeting.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Acute Triage Items (First 30 Days):</w:t>
      </w:r>
    </w:p>
    <w:p>
      <w:pPr>
        <w:pStyle w:val="ListNumber"/>
        <w:spacing w:after="40" w:line="276" w:lineRule="auto"/>
      </w:pPr>
      <w:r>
        <w:rPr>
          <w:b/>
        </w:rPr>
        <w:t>Medication Continuity:</w:t>
      </w:r>
      <w:r>
        <w:t xml:space="preserve"> Secure uninterrupted supply of Remeron (mirtazapine) via Welvista / Fetter Health Care.</w:t>
      </w:r>
    </w:p>
    <w:p>
      <w:pPr>
        <w:pStyle w:val="ListNumber"/>
        <w:spacing w:after="40" w:line="276" w:lineRule="auto"/>
      </w:pPr>
      <w:r>
        <w:rPr>
          <w:b/>
        </w:rPr>
        <w:t>Transportation Infrastructure:</w:t>
      </w:r>
      <w:r>
        <w:t xml:space="preserve"> Map CARTA bus routes for program attendance; initiate license restoration work.</w:t>
      </w:r>
    </w:p>
    <w:p>
      <w:pPr>
        <w:pStyle w:val="ListNumber"/>
        <w:spacing w:after="40" w:line="276" w:lineRule="auto"/>
      </w:pPr>
      <w:r>
        <w:rPr>
          <w:b/>
        </w:rPr>
        <w:t>Legal Clarification:</w:t>
      </w:r>
      <w:r>
        <w:t xml:space="preserve"> Verify whether pending charges/warrants exist to preserve probation status.</w:t>
      </w:r>
    </w:p>
    <w:p>
      <w:pPr>
        <w:pStyle w:val="ListNumber"/>
        <w:spacing w:after="40" w:line="276" w:lineRule="auto"/>
      </w:pPr>
      <w:r>
        <w:rPr>
          <w:b/>
        </w:rPr>
        <w:t>Program Fee Coordination:</w:t>
      </w:r>
      <w:r>
        <w:t xml:space="preserve"> Establish fee-deferral or transitional stipend plan for Shield Ministries fees.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Clinical &amp; Facilitation Coaching Plan (Turn90 CBT Standards)</w:t>
      </w:r>
    </w:p>
    <w:p>
      <w:pPr>
        <w:pStyle w:val="ListBullet"/>
        <w:spacing w:after="40" w:line="276" w:lineRule="auto"/>
      </w:pPr>
      <w:r>
        <w:rPr>
          <w:b/>
        </w:rPr>
        <w:t>Modeling Neutrality (Standard 1.5):</w:t>
      </w:r>
      <w:r>
        <w:t xml:space="preserve"> When Jarvier displays rationalizations ('some crimes are justified'), staff must remain non-judgmental. Avoid debating ethics or morality. Utilize reflective inquiry: </w:t>
      </w:r>
      <w:r>
        <w:rPr>
          <w:i/>
        </w:rPr>
        <w:t>"When you held that rule in the past, did it get you closer to being with your family or did it cost you your freedom?"</w:t>
      </w:r>
    </w:p>
    <w:p>
      <w:pPr>
        <w:pStyle w:val="ListBullet"/>
        <w:spacing w:after="40" w:line="276" w:lineRule="auto"/>
      </w:pPr>
      <w:r>
        <w:rPr>
          <w:b/>
        </w:rPr>
        <w:t>Managing Frustration &amp; Resistance (Standards 3.2 &amp; 18.0):</w:t>
      </w:r>
      <w:r>
        <w:t xml:space="preserve"> Address his </w:t>
      </w:r>
      <w:r>
        <w:rPr>
          <w:i/>
        </w:rPr>
        <w:t>Cut Off</w:t>
      </w:r>
      <w:r>
        <w:t xml:space="preserve"> pattern early. Frame all program expectations around his core self-interests: maintaining independence, providing for his kids, and avoiding probation sanctions.</w:t>
      </w:r>
    </w:p>
    <w:p>
      <w:pPr>
        <w:pStyle w:val="ListBullet"/>
        <w:spacing w:after="40" w:line="276" w:lineRule="auto"/>
      </w:pPr>
      <w:r>
        <w:rPr>
          <w:b/>
        </w:rPr>
        <w:t>Authority Sensitivity Trauma-Informed Approach:</w:t>
      </w:r>
      <w:r>
        <w:t xml:space="preserve"> Given his history of resisting arrest and emotional volatility with law enforcement, staff must maintain a predictable, collaborative, and non-confrontational coaching style. Reinforce his current positive relationship with his probation officer.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Measurable Action Goals</w:t>
      </w:r>
    </w:p>
    <w:p>
      <w:pPr>
        <w:pStyle w:val="ListBullet"/>
        <w:spacing w:after="40" w:line="276" w:lineRule="auto"/>
      </w:pPr>
      <w:r>
        <w:rPr>
          <w:b/>
        </w:rPr>
        <w:t>Goal 1 (Health &amp; Stability):</w:t>
      </w:r>
      <w:r>
        <w:t xml:space="preserve"> Secure a 90-day refill of Remeron through Welvista by Week 2.</w:t>
      </w:r>
    </w:p>
    <w:p>
      <w:pPr>
        <w:pStyle w:val="ListBullet"/>
        <w:spacing w:after="40" w:line="276" w:lineRule="auto"/>
      </w:pPr>
      <w:r>
        <w:rPr>
          <w:b/>
        </w:rPr>
        <w:t>Goal 2 (Transit &amp; Legal):</w:t>
      </w:r>
      <w:r>
        <w:t xml:space="preserve"> Attend an intake session with Father to Father Project for driver's license restoration and child support alignment by Week 3.</w:t>
      </w:r>
    </w:p>
    <w:p>
      <w:pPr>
        <w:pStyle w:val="ListBullet"/>
        <w:spacing w:after="40" w:line="276" w:lineRule="auto"/>
      </w:pPr>
      <w:r>
        <w:rPr>
          <w:b/>
        </w:rPr>
        <w:t>Goal 3 (Employment Placement):</w:t>
      </w:r>
      <w:r>
        <w:t xml:space="preserve"> Complete 2 interviews with fair-chance employers in demolition, landscape enhancement, or logistics by Week 4.</w:t>
      </w:r>
    </w:p>
    <w:p>
      <w:pPr>
        <w:pStyle w:val="ListBullet"/>
        <w:spacing w:after="40" w:line="276" w:lineRule="auto"/>
      </w:pPr>
      <w:r>
        <w:rPr>
          <w:b/>
        </w:rPr>
        <w:t>Goal 4 (CBT Mastery):</w:t>
      </w:r>
      <w:r>
        <w:t xml:space="preserve"> Complete Carey Guides modules on </w:t>
      </w:r>
      <w:r>
        <w:rPr>
          <w:i/>
        </w:rPr>
        <w:t>Justifying</w:t>
      </w:r>
      <w:r>
        <w:t xml:space="preserve"> and </w:t>
      </w:r>
      <w:r>
        <w:rPr>
          <w:i/>
        </w:rPr>
        <w:t>Problem-Solving</w:t>
      </w:r>
      <w:r>
        <w:t xml:space="preserve"> with 80%+ compliance by Week 4.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