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Keyzelle Thomas</w:t>
      </w:r>
    </w:p>
    <w:p>
      <w:pPr>
        <w:spacing w:after="80" w:line="276" w:lineRule="auto"/>
      </w:pPr>
      <w:r>
        <w:rPr>
          <w:b/>
        </w:rPr>
        <w:t>Staff Contact:</w:t>
      </w:r>
      <w:r>
        <w:t xml:space="preserve"> Turn90 Re-entry Team</w:t>
      </w:r>
    </w:p>
    <w:p>
      <w:pPr>
        <w:spacing w:after="80" w:line="276" w:lineRule="auto"/>
      </w:pPr>
      <w:r>
        <w:rPr>
          <w:b/>
        </w:rPr>
        <w:t>LS/CMI Score:</w:t>
      </w:r>
      <w:r>
        <w:t xml:space="preserve"> 17/43 (Medium Risk/Need)</w:t>
      </w:r>
    </w:p>
    <w:p>
      <w:pPr>
        <w:spacing w:after="80" w:line="276" w:lineRule="auto"/>
      </w:pPr>
      <w:r>
        <w:rPr>
          <w:b/>
        </w:rPr>
        <w:t>Primary Focus:</w:t>
      </w:r>
      <w:r>
        <w:t xml:space="preserve"> Employment &amp; Dynamic Cognitive Restructuring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Dynamic Focus Areas &amp; Clinical Targets</w:t>
      </w:r>
    </w:p>
    <w:p>
      <w:pPr>
        <w:pStyle w:val="ListBullet"/>
        <w:spacing w:after="40" w:line="276" w:lineRule="auto"/>
      </w:pPr>
      <w:r>
        <w:rPr>
          <w:b/>
        </w:rPr>
        <w:t>Primary Target: School / Work (EE Subscore 5/9):</w:t>
      </w:r>
      <w:r>
        <w:t xml:space="preserve"> Zero payroll months in the past year; Associate's degree holder with strong technical ability but disrupted employment history. Goal is placement in a prosocial, fair-chance, first-shift role.</w:t>
      </w:r>
    </w:p>
    <w:p>
      <w:pPr>
        <w:pStyle w:val="ListBullet"/>
        <w:spacing w:after="40" w:line="276" w:lineRule="auto"/>
      </w:pPr>
      <w:r>
        <w:rPr>
          <w:b/>
        </w:rPr>
        <w:t>Secondary Target: Procriminal Attitude (PA Subscore 2/4):</w:t>
      </w:r>
      <w:r>
        <w:t xml:space="preserve"> Addressing 'technical legal violation' justifications for drug distribution under acute financial stress.</w:t>
      </w:r>
    </w:p>
    <w:p>
      <w:pPr>
        <w:pStyle w:val="ListBullet"/>
        <w:spacing w:after="40" w:line="276" w:lineRule="auto"/>
      </w:pPr>
      <w:r>
        <w:rPr>
          <w:b/>
        </w:rPr>
        <w:t>Excluded Target: Criminal History (Static 6/8):</w:t>
      </w:r>
      <w:r>
        <w:t xml:space="preserve"> Static factor; excluded from dynamic intervention target selection.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Clinical &amp; Facilitation Strategies</w:t>
      </w:r>
    </w:p>
    <w:p>
      <w:pPr>
        <w:pStyle w:val="ListNumber"/>
        <w:spacing w:after="40" w:line="276" w:lineRule="auto"/>
      </w:pPr>
      <w:r>
        <w:rPr>
          <w:b/>
        </w:rPr>
        <w:t>Modeling Neutrality (Standard 1.5):</w:t>
      </w:r>
      <w:r>
        <w:t xml:space="preserve"> Avoid debating past judicial fairness or the legitimacy of drug laws. Ask curiosity-based reflective questions: </w:t>
      </w:r>
      <w:r>
        <w:rPr>
          <w:i/>
        </w:rPr>
        <w:t>'How does carrying that view of the law impact your ability to maintain your freedom and coach your team?'</w:t>
      </w:r>
    </w:p>
    <w:p>
      <w:pPr>
        <w:pStyle w:val="ListNumber"/>
        <w:spacing w:after="40" w:line="276" w:lineRule="auto"/>
      </w:pPr>
      <w:r>
        <w:rPr>
          <w:b/>
        </w:rPr>
        <w:t>Managing Resistance &amp; Buy-In (Standard 3.2):</w:t>
      </w:r>
      <w:r>
        <w:t xml:space="preserve"> Explicitly link every program benchmark to his paternal anchor and youth coaching identity. Frame wage stability as the protection shield for his family.</w:t>
      </w:r>
    </w:p>
    <w:p>
      <w:pPr>
        <w:pStyle w:val="ListNumber"/>
        <w:spacing w:after="40" w:line="276" w:lineRule="auto"/>
      </w:pPr>
      <w:r>
        <w:rPr>
          <w:b/>
        </w:rPr>
        <w:t>Medical Bottleneck Triage:</w:t>
      </w:r>
      <w:r>
        <w:t xml:space="preserve"> Prioritize medical clearance for suspected sleep apnea before placing him in high-vigilance or machinery operations to prevent workplace termination.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Stabilization Steps</w:t>
      </w:r>
    </w:p>
    <w:p>
      <w:pPr>
        <w:pStyle w:val="ListBullet"/>
        <w:spacing w:after="40" w:line="276" w:lineRule="auto"/>
      </w:pPr>
      <w:r>
        <w:rPr>
          <w:b/>
        </w:rPr>
        <w:t>Housing:</w:t>
      </w:r>
      <w:r>
        <w:t xml:space="preserve"> Enroll in transitional housing placement ahead of 11/17/2026 discharge.</w:t>
      </w:r>
    </w:p>
    <w:p>
      <w:pPr>
        <w:pStyle w:val="ListBullet"/>
        <w:spacing w:after="40" w:line="276" w:lineRule="auto"/>
      </w:pPr>
      <w:r>
        <w:rPr>
          <w:b/>
        </w:rPr>
        <w:t>SCDMV Debt:</w:t>
      </w:r>
      <w:r>
        <w:t xml:space="preserve"> Partner with Midlands Fatherhood Coalition to resolve $300+ tag debt.</w:t>
      </w:r>
    </w:p>
    <w:p>
      <w:pPr>
        <w:pStyle w:val="ListBullet"/>
        <w:spacing w:after="40" w:line="276" w:lineRule="auto"/>
      </w:pPr>
      <w:r>
        <w:rPr>
          <w:b/>
        </w:rPr>
        <w:t>Health Care:</w:t>
      </w:r>
      <w:r>
        <w:t xml:space="preserve"> Schedule primary care / sleep apnea assessment via Cooperative Health.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