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Lokheim Campbell</w:t>
      </w:r>
    </w:p>
    <w:p>
      <w:pPr>
        <w:spacing w:after="80" w:line="276" w:lineRule="auto"/>
      </w:pPr>
      <w:r>
        <w:rPr>
          <w:b/>
        </w:rPr>
        <w:t>Participant Profile:</w:t>
      </w:r>
      <w:r>
        <w:t xml:space="preserve"> Lokheim Campbell (Age 35) | </w:t>
      </w:r>
      <w:r>
        <w:rPr>
          <w:b/>
        </w:rPr>
        <w:t>Location:</w:t>
      </w:r>
      <w:r>
        <w:t xml:space="preserve"> Columbia, SC</w:t>
      </w:r>
    </w:p>
    <w:p>
      <w:pPr>
        <w:spacing w:after="80" w:line="276" w:lineRule="auto"/>
      </w:pPr>
      <w:r>
        <w:rPr>
          <w:b/>
        </w:rPr>
        <w:t>Legal Status:</w:t>
      </w:r>
      <w:r>
        <w:t xml:space="preserve"> Federal Supervised Release (Ends Dec 2026) | Federal Halfway House Placement</w:t>
      </w:r>
    </w:p>
    <w:p>
      <w:pPr>
        <w:spacing w:after="80" w:line="276" w:lineRule="auto"/>
      </w:pPr>
      <w:r>
        <w:rPr>
          <w:b/>
        </w:rPr>
        <w:t>LS/CMI Risk Level:</w:t>
      </w:r>
      <w:r>
        <w:t xml:space="preserve"> Medium Risk (Score 17/43) | </w:t>
      </w:r>
      <w:r>
        <w:rPr>
          <w:b/>
        </w:rPr>
        <w:t>Primary Target Domain:</w:t>
      </w:r>
      <w:r>
        <w:t xml:space="preserve"> Education &amp; Employment (7/9)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Clinical Assessment &amp; Forensic Overview</w:t>
      </w:r>
    </w:p>
    <w:p>
      <w:pPr>
        <w:spacing w:after="80" w:line="276" w:lineRule="auto"/>
      </w:pPr>
      <w:r>
        <w:t>Lokheim presents with significant motivation for success, high natural self-regulation skills, and strong maternal and peer protective factors. However, spending 16 adult years in high-security federal penitentiaries (USP Pollock/Lee) has resulted in severe hyper-vigilance/PTSD and unpracticed workplace relationship competencies. His current status as unemployed elevates his Education/Employment risk score to 7/9.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Core Criminogenic Dynamic Targets:</w:t>
      </w:r>
    </w:p>
    <w:p>
      <w:pPr>
        <w:pStyle w:val="ListNumber"/>
        <w:spacing w:after="40" w:line="276" w:lineRule="auto"/>
      </w:pPr>
      <w:r>
        <w:rPr>
          <w:b/>
        </w:rPr>
        <w:t>Employment &amp; Education (Dynamic Target):</w:t>
      </w:r>
      <w:r>
        <w:t xml:space="preserve"> Address acute unemployment and build daily operational workplace interpersonal skills (coping with supervisor feedback, coworker conflict).</w:t>
      </w:r>
    </w:p>
    <w:p>
      <w:pPr>
        <w:pStyle w:val="ListNumber"/>
        <w:spacing w:after="40" w:line="276" w:lineRule="auto"/>
      </w:pPr>
      <w:r>
        <w:rPr>
          <w:b/>
        </w:rPr>
        <w:t>Antisocial Cognition (Dynamic Target):</w:t>
      </w:r>
      <w:r>
        <w:t xml:space="preserve"> Use CBT cognitive restructuring to address the rationalization that weapon-carrying is a viable self-defense strategy under supervision.</w:t>
      </w:r>
    </w:p>
    <w:p>
      <w:pPr>
        <w:pStyle w:val="ListNumber"/>
        <w:spacing w:after="40" w:line="276" w:lineRule="auto"/>
      </w:pPr>
      <w:r>
        <w:rPr>
          <w:b/>
        </w:rPr>
        <w:t>Leisure / Unstructured Time (Dynamic Target):</w:t>
      </w:r>
      <w:r>
        <w:t xml:space="preserve"> Channel physical fitness focus into structured prosocial community outlets.</w:t>
      </w:r>
    </w:p>
    <w:p>
      <w:pPr>
        <w:spacing w:after="80" w:line="276" w:lineRule="auto"/>
      </w:pPr>
      <w:r>
        <w:rPr>
          <w:i/>
        </w:rPr>
        <w:t>Note: Static Criminal History (Subscore 5/8) is excluded from intervention targets per clinical policy.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Facilitation &amp; Coaching Protocols (Turn90 Standards)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1.5):</w:t>
      </w:r>
      <w:r>
        <w:t xml:space="preserve"> When Lokheim discusses his 2015 firearm conviction or defensive fears, do not debate or lecture. Use reflective curiosity: </w:t>
      </w:r>
      <w:r>
        <w:rPr>
          <w:i/>
        </w:rPr>
        <w:t>"How does carrying a weapon fit with your main goal of never going back to a federal facility?"</w:t>
      </w:r>
    </w:p>
    <w:p>
      <w:pPr>
        <w:pStyle w:val="ListBullet"/>
        <w:spacing w:after="40" w:line="276" w:lineRule="auto"/>
      </w:pPr>
      <w:r>
        <w:rPr>
          <w:b/>
        </w:rPr>
        <w:t>Managing Resistance &amp; Trauma Responsivity:</w:t>
      </w:r>
      <w:r>
        <w:t xml:space="preserve"> Adopt a calm, non-confrontational, collaborative coaching stance. Avoid aggressive directive styles that trigger USP survival defenses.</w:t>
      </w:r>
    </w:p>
    <w:p>
      <w:pPr>
        <w:pStyle w:val="ListBullet"/>
        <w:spacing w:after="40" w:line="276" w:lineRule="auto"/>
      </w:pPr>
      <w:r>
        <w:rPr>
          <w:b/>
        </w:rPr>
        <w:t>Capitalize on Natural Strengths:</w:t>
      </w:r>
      <w:r>
        <w:t xml:space="preserve"> Lokheim actively plans and checks goals. Include him directly in co-authoring weekly schedules and transition tasks.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Stabilization Action Plan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Step 1: Immediate Triage (Days 1–7)</w:t>
      </w:r>
    </w:p>
    <w:p>
      <w:pPr>
        <w:pStyle w:val="ListBullet"/>
        <w:spacing w:after="40" w:line="276" w:lineRule="auto"/>
      </w:pPr>
      <w:r>
        <w:rPr>
          <w:b/>
        </w:rPr>
        <w:t>Identification &amp; License Restoration:</w:t>
      </w:r>
      <w:r>
        <w:t xml:space="preserve"> Referral to Midlands Fatherhood Coalition to request out-of-state birth certificate and evaluate Treasury tag debt relief.</w:t>
      </w:r>
    </w:p>
    <w:p>
      <w:pPr>
        <w:pStyle w:val="ListBullet"/>
        <w:spacing w:after="40" w:line="276" w:lineRule="auto"/>
      </w:pPr>
      <w:r>
        <w:rPr>
          <w:b/>
        </w:rPr>
        <w:t>Transportation Setup:</w:t>
      </w:r>
      <w:r>
        <w:t xml:space="preserve"> Issue 30-day COMET bus passes for transit routes connecting Main St, Shop Rd, and West Columbia.</w:t>
      </w:r>
    </w:p>
    <w:p>
      <w:pPr>
        <w:pStyle w:val="ListBullet"/>
        <w:spacing w:after="40" w:line="276" w:lineRule="auto"/>
      </w:pPr>
      <w:r>
        <w:rPr>
          <w:b/>
        </w:rPr>
        <w:t>Basic Needs &amp; Income:</w:t>
      </w:r>
      <w:r>
        <w:t xml:space="preserve"> Assist with SNAP benefits application and basic hygiene resources.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Step 2: CBT &amp; Skills Maintenance (Weeks 2–4)</w:t>
      </w:r>
    </w:p>
    <w:p>
      <w:pPr>
        <w:pStyle w:val="ListBullet"/>
        <w:spacing w:after="40" w:line="276" w:lineRule="auto"/>
      </w:pPr>
      <w:r>
        <w:rPr>
          <w:b/>
        </w:rPr>
        <w:t>Workplace Interpersonal Modules:</w:t>
      </w:r>
      <w:r>
        <w:t xml:space="preserve"> Complete CBT interactive role-plays covering supervisor communication and workplace frustration tolerance.</w:t>
      </w:r>
    </w:p>
    <w:p>
      <w:pPr>
        <w:pStyle w:val="ListBullet"/>
        <w:spacing w:after="40" w:line="276" w:lineRule="auto"/>
      </w:pPr>
      <w:r>
        <w:rPr>
          <w:b/>
        </w:rPr>
        <w:t>Relapse &amp; Weapon Avoidance Planning:</w:t>
      </w:r>
      <w:r>
        <w:t xml:space="preserve"> Map high-risk environmental triggers and review safety protocols that preserve his freedom.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Step 3: Employment Placement &amp; Community Linkage (Weeks 3–6)</w:t>
      </w:r>
    </w:p>
    <w:p>
      <w:pPr>
        <w:pStyle w:val="ListBullet"/>
        <w:spacing w:after="40" w:line="276" w:lineRule="auto"/>
      </w:pPr>
      <w:r>
        <w:rPr>
          <w:b/>
        </w:rPr>
        <w:t>Targeted Employer Interviews:</w:t>
      </w:r>
      <w:r>
        <w:t xml:space="preserve"> Coordinate transit-accessible interviews with fair-chance partners (e.g., CMC Steel South Carolina, Palmetto State Distribution Center).</w:t>
      </w:r>
    </w:p>
    <w:p>
      <w:pPr>
        <w:pStyle w:val="ListBullet"/>
        <w:spacing w:after="40" w:line="276" w:lineRule="auto"/>
      </w:pPr>
      <w:r>
        <w:rPr>
          <w:b/>
        </w:rPr>
        <w:t>Prosocial Integration:</w:t>
      </w:r>
      <w:r>
        <w:t xml:space="preserve"> Connect workout routine to formal community fitness groups or YMCA programs.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