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Dillon Johnson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Clinical Overview &amp; Criminogenic Profile</w:t>
      </w:r>
    </w:p>
    <w:p>
      <w:pPr>
        <w:pStyle w:val="ListBullet"/>
        <w:spacing w:after="40" w:line="276" w:lineRule="auto"/>
      </w:pPr>
      <w:r>
        <w:rPr>
          <w:b/>
        </w:rPr>
        <w:t>Overall Risk Level:</w:t>
      </w:r>
      <w:r>
        <w:t xml:space="preserve"> High</w:t>
      </w:r>
    </w:p>
    <w:p>
      <w:pPr>
        <w:pStyle w:val="ListBullet"/>
        <w:spacing w:after="40" w:line="276" w:lineRule="auto"/>
      </w:pPr>
      <w:r>
        <w:rPr>
          <w:b/>
        </w:rPr>
        <w:t>Primary Criminogenic Targets:</w:t>
      </w:r>
    </w:p>
    <w:p>
      <w:pPr>
        <w:pStyle w:val="ListNumber"/>
        <w:spacing w:after="40" w:line="276" w:lineRule="auto"/>
      </w:pPr>
      <w:r>
        <w:rPr>
          <w:b/>
        </w:rPr>
        <w:t>Education/Employment:</w:t>
      </w:r>
      <w:r>
        <w:t xml:space="preserve"> Unemployed, history of workplace altercations, job loss driven by authority conflict.</w:t>
      </w:r>
    </w:p>
    <w:p>
      <w:pPr>
        <w:pStyle w:val="ListNumber"/>
        <w:spacing w:after="40" w:line="276" w:lineRule="auto"/>
      </w:pPr>
      <w:r>
        <w:rPr>
          <w:b/>
        </w:rPr>
        <w:t>Alcohol/Drug Problem:</w:t>
      </w:r>
      <w:r>
        <w:t xml:space="preserve"> Heavy marijuana/edible use as an unhealthy coping mechanism leading to distress and reckless spending.</w:t>
      </w:r>
    </w:p>
    <w:p>
      <w:pPr>
        <w:pStyle w:val="ListNumber"/>
        <w:spacing w:after="40" w:line="276" w:lineRule="auto"/>
      </w:pPr>
      <w:r>
        <w:rPr>
          <w:b/>
        </w:rPr>
        <w:t>Procriminal Attitude/Orientation:</w:t>
      </w:r>
      <w:r>
        <w:t xml:space="preserve"> 'Cut-Off' thinking, rapid escalation to verbal/property aggression under perceived slights.</w:t>
      </w:r>
    </w:p>
    <w:p>
      <w:pPr>
        <w:pStyle w:val="ListBullet"/>
        <w:spacing w:after="40" w:line="276" w:lineRule="auto"/>
      </w:pPr>
      <w:r>
        <w:rPr>
          <w:b/>
        </w:rPr>
        <w:t>Non-Dynamic Baseline:</w:t>
      </w:r>
      <w:r>
        <w:t xml:space="preserve"> Justice involvement beginning at age 19, multiple incarcerations, active probation supervision.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CBT &amp; Facilitation Strategy (Turn90 Standards)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Staff must refrain from debating or challenging anti-social or externalizing statements. Use neutral curiosity (e.g., 'When you responded that way to your supervisor, how did that impact your paycheck?') to highlight consequences.</w:t>
      </w:r>
    </w:p>
    <w:p>
      <w:pPr>
        <w:pStyle w:val="ListBullet"/>
        <w:spacing w:after="40" w:line="276" w:lineRule="auto"/>
      </w:pPr>
      <w:r>
        <w:rPr>
          <w:b/>
        </w:rPr>
        <w:t>Managing Resistance &amp; Buy-In (Standard 3.2 &amp; 18.0):</w:t>
      </w:r>
      <w:r>
        <w:t xml:space="preserve"> Directly connect compliance, distress tolerance, and self-regulation to Dillon's stated goals of staying out of jail, earning income, and keeping his housing.</w:t>
      </w:r>
    </w:p>
    <w:p>
      <w:pPr>
        <w:pStyle w:val="ListBullet"/>
        <w:spacing w:after="40" w:line="276" w:lineRule="auto"/>
      </w:pPr>
      <w:r>
        <w:rPr>
          <w:b/>
        </w:rPr>
        <w:t>Cognitive Restructuring Targets:</w:t>
      </w:r>
      <w:r>
        <w:t xml:space="preserve"> Interrupt 'Cut-Off' thinking during perceived disrespect using de-escalation scripts and time-out protocols.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Stabilization Roadmap</w:t>
      </w:r>
    </w:p>
    <w:p>
      <w:pPr>
        <w:pStyle w:val="ListBullet"/>
        <w:spacing w:after="40" w:line="276" w:lineRule="auto"/>
      </w:pPr>
      <w:r>
        <w:rPr>
          <w:b/>
        </w:rPr>
        <w:t>Substance Recovery:</w:t>
      </w:r>
      <w:r>
        <w:t xml:space="preserve"> Enroll in outpatient support at Charleston Center (DAODAS) to build structured coping skills replacing daily marijuana use.</w:t>
      </w:r>
    </w:p>
    <w:p>
      <w:pPr>
        <w:pStyle w:val="ListBullet"/>
        <w:spacing w:after="40" w:line="276" w:lineRule="auto"/>
      </w:pPr>
      <w:r>
        <w:rPr>
          <w:b/>
        </w:rPr>
        <w:t>Healthcare Maintenance:</w:t>
      </w:r>
      <w:r>
        <w:t xml:space="preserve"> Ensure continuity of anxiety/depression medication (Hydroxyzine) via Fetter Health Care / Welvista.</w:t>
      </w:r>
    </w:p>
    <w:p>
      <w:pPr>
        <w:pStyle w:val="ListBullet"/>
        <w:spacing w:after="40" w:line="276" w:lineRule="auto"/>
      </w:pPr>
      <w:r>
        <w:rPr>
          <w:b/>
        </w:rPr>
        <w:t>Transportation Setup:</w:t>
      </w:r>
      <w:r>
        <w:t xml:space="preserve"> Map out CARTA transit routes from transitional housing to prospective work sites.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Supervision &amp; Legal Compliance</w:t>
      </w:r>
    </w:p>
    <w:p>
      <w:pPr>
        <w:pStyle w:val="ListBullet"/>
        <w:spacing w:after="40" w:line="276" w:lineRule="auto"/>
      </w:pPr>
      <w:r>
        <w:t>Maintain weekly communication with PO; reinforce that program participation is Dillon's key mechanism for avoiding probation revocation.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