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6"/>
        </w:rPr>
        <w:t>CASE MANAGEMENT BRIEF</w:t>
      </w:r>
    </w:p>
    <w:p>
      <w:pPr>
        <w:spacing w:after="80" w:line="276" w:lineRule="auto"/>
      </w:pPr>
      <w:r>
        <w:rPr>
          <w:b/>
        </w:rPr>
        <w:t>1. Risk Profile</w:t>
      </w:r>
    </w:p>
    <w:p>
      <w:pPr>
        <w:pStyle w:val="ListBullet"/>
        <w:spacing w:after="40" w:line="276" w:lineRule="auto"/>
      </w:pPr>
      <w:r>
        <w:t>Overall risk level: High</w:t>
      </w:r>
    </w:p>
    <w:p>
      <w:pPr>
        <w:pStyle w:val="ListBullet"/>
        <w:spacing w:after="40" w:line="276" w:lineRule="auto"/>
      </w:pPr>
      <w:r>
        <w:t>List top 3 criminogenic domains in risk order with top being number 1:</w:t>
      </w:r>
    </w:p>
    <w:p>
      <w:pPr>
        <w:pStyle w:val="ListNumber"/>
        <w:spacing w:after="40" w:line="276" w:lineRule="auto"/>
      </w:pPr>
      <w:r>
        <w:t>Education/Employment</w:t>
      </w:r>
    </w:p>
    <w:p>
      <w:pPr>
        <w:pStyle w:val="ListNumber"/>
        <w:spacing w:after="40" w:line="276" w:lineRule="auto"/>
      </w:pPr>
      <w:r>
        <w:t>Alcohol/Drug Problem</w:t>
      </w:r>
    </w:p>
    <w:p>
      <w:pPr>
        <w:pStyle w:val="ListNumber"/>
        <w:spacing w:after="40" w:line="276" w:lineRule="auto"/>
      </w:pPr>
      <w:r>
        <w:t>Procriminal Attitude/Orientation</w:t>
      </w:r>
    </w:p>
    <w:p>
      <w:pPr>
        <w:pStyle w:val="ListBullet"/>
        <w:spacing w:after="40" w:line="276" w:lineRule="auto"/>
      </w:pPr>
      <w:r>
        <w:t>Brief domain indicators:</w:t>
      </w:r>
    </w:p>
    <w:p>
      <w:pPr>
        <w:pStyle w:val="ListBullet"/>
        <w:spacing w:after="40" w:line="276" w:lineRule="auto"/>
      </w:pPr>
      <w:r>
        <w:rPr>
          <w:b/>
        </w:rPr>
        <w:t>Education/Employment:</w:t>
      </w:r>
      <w:r>
        <w:t xml:space="preserve"> Currently unemployed with no months worked in the last year; history of losing jobs due to attendance issues and workplace altercations.</w:t>
      </w:r>
    </w:p>
    <w:p>
      <w:pPr>
        <w:pStyle w:val="ListBullet"/>
        <w:spacing w:after="40" w:line="276" w:lineRule="auto"/>
      </w:pPr>
      <w:r>
        <w:rPr>
          <w:b/>
        </w:rPr>
        <w:t>Alcohol/Drug Problem:</w:t>
      </w:r>
      <w:r>
        <w:t xml:space="preserve"> History of heavy daily marijuana and edible use that severely degraded mental health, accompanied by poor financial management driven by drug habits.</w:t>
      </w:r>
    </w:p>
    <w:p>
      <w:pPr>
        <w:pStyle w:val="ListBullet"/>
        <w:spacing w:after="40" w:line="276" w:lineRule="auto"/>
      </w:pPr>
      <w:r>
        <w:rPr>
          <w:b/>
        </w:rPr>
        <w:t>Procriminal Attitude/Orientation:</w:t>
      </w:r>
      <w:r>
        <w:t xml:space="preserve"> Recently arrested, indicating recent engagement in antisocial behavior; expresses unfavorable attitudes toward convention during periods of distress.</w:t>
      </w:r>
    </w:p>
    <w:p>
      <w:pPr>
        <w:spacing w:after="80" w:line="276" w:lineRule="auto"/>
      </w:pPr>
      <w:r>
        <w:rPr>
          <w:b/>
        </w:rPr>
        <w:t>2. Behavioral Indicators</w:t>
      </w:r>
    </w:p>
    <w:p>
      <w:pPr>
        <w:pStyle w:val="ListBullet"/>
        <w:spacing w:after="40" w:line="276" w:lineRule="auto"/>
      </w:pPr>
      <w:r>
        <w:rPr>
          <w:b/>
        </w:rPr>
        <w:t>Typical triggers:</w:t>
      </w:r>
      <w:r>
        <w:t xml:space="preserve"> Feeling ignored, disrespected, or facing perceived slights (e.g., waiting at a counter without eye contact).</w:t>
      </w:r>
    </w:p>
    <w:p>
      <w:pPr>
        <w:pStyle w:val="ListBullet"/>
        <w:spacing w:after="40" w:line="276" w:lineRule="auto"/>
      </w:pPr>
      <w:r>
        <w:rPr>
          <w:b/>
        </w:rPr>
        <w:t>Escalation tendencies:</w:t>
      </w:r>
      <w:r>
        <w:t xml:space="preserve"> Rapidly escalates from frustration to yelling, verbal threats, property destruction (throwing objects), and occasionally physical violence.</w:t>
      </w:r>
    </w:p>
    <w:p>
      <w:pPr>
        <w:pStyle w:val="ListBullet"/>
        <w:spacing w:after="40" w:line="276" w:lineRule="auto"/>
      </w:pPr>
      <w:r>
        <w:rPr>
          <w:b/>
        </w:rPr>
        <w:t>Decision-making patterns:</w:t>
      </w:r>
      <w:r>
        <w:t xml:space="preserve"> Highly impulsive ("Cut Off" thinking); acts before thinking to immediately relieve anger or avoid consequences (e.g., fleeing a scene to avoid jail).</w:t>
      </w:r>
    </w:p>
    <w:p>
      <w:pPr>
        <w:pStyle w:val="ListBullet"/>
        <w:spacing w:after="40" w:line="276" w:lineRule="auto"/>
      </w:pPr>
      <w:r>
        <w:rPr>
          <w:b/>
        </w:rPr>
        <w:t>Authority response style:</w:t>
      </w:r>
      <w:r>
        <w:t xml:space="preserve"> Argumentative and historically combative with figures of authority (teachers, supervisors).</w:t>
      </w:r>
    </w:p>
    <w:p>
      <w:pPr>
        <w:pStyle w:val="ListBullet"/>
        <w:spacing w:after="40" w:line="276" w:lineRule="auto"/>
      </w:pPr>
      <w:r>
        <w:rPr>
          <w:b/>
        </w:rPr>
        <w:t>Substance relapse patterns:</w:t>
      </w:r>
      <w:r>
        <w:t xml:space="preserve"> Uses substances as a coping mechanism, leading to reckless spending and worsening of anxiety/depression.</w:t>
      </w:r>
    </w:p>
    <w:p>
      <w:pPr>
        <w:spacing w:after="80" w:line="276" w:lineRule="auto"/>
      </w:pPr>
      <w:r>
        <w:rPr>
          <w:b/>
        </w:rPr>
        <w:t>3. Pattern Over Time</w:t>
      </w:r>
    </w:p>
    <w:p>
      <w:pPr>
        <w:pStyle w:val="ListBullet"/>
        <w:spacing w:after="40" w:line="276" w:lineRule="auto"/>
      </w:pPr>
      <w:r>
        <w:rPr>
          <w:b/>
        </w:rPr>
        <w:t>Age at first justice involvement:</w:t>
      </w:r>
      <w:r>
        <w:t xml:space="preserve"> 19</w:t>
      </w:r>
    </w:p>
    <w:p>
      <w:pPr>
        <w:pStyle w:val="ListBullet"/>
        <w:spacing w:after="40" w:line="276" w:lineRule="auto"/>
      </w:pPr>
      <w:r>
        <w:rPr>
          <w:b/>
        </w:rPr>
        <w:t>Number/frequency of incarcerations:</w:t>
      </w:r>
      <w:r>
        <w:t xml:space="preserve"> At least 2 (one prison stint and recent 1-month jail term).</w:t>
      </w:r>
    </w:p>
    <w:p>
      <w:pPr>
        <w:pStyle w:val="ListBullet"/>
        <w:spacing w:after="40" w:line="276" w:lineRule="auto"/>
      </w:pPr>
      <w:r>
        <w:rPr>
          <w:b/>
        </w:rPr>
        <w:t>Recidivism timing patterns:</w:t>
      </w:r>
      <w:r>
        <w:t xml:space="preserve"> Struggles significantly with sustained supervision; kept violating probation, causing his sentence to be extended repeatedly.</w:t>
      </w:r>
    </w:p>
    <w:p>
      <w:pPr>
        <w:pStyle w:val="ListBullet"/>
        <w:spacing w:after="40" w:line="276" w:lineRule="auto"/>
      </w:pPr>
      <w:r>
        <w:rPr>
          <w:b/>
        </w:rPr>
        <w:t>Escalation or stability trends:</w:t>
      </w:r>
      <w:r>
        <w:t xml:space="preserve"> Historical trend of aggressive outbursts and minor violence/property damage, though he currently claims to want a life free of violence and anger.</w:t>
      </w:r>
    </w:p>
    <w:p>
      <w:pPr>
        <w:pStyle w:val="ListBullet"/>
        <w:spacing w:after="40" w:line="276" w:lineRule="auto"/>
      </w:pPr>
      <w:r>
        <w:rPr>
          <w:b/>
        </w:rPr>
        <w:t>Supervision violation history:</w:t>
      </w:r>
      <w:r>
        <w:t xml:space="preserve"> High rate of probation breaches and absconding when confronted by law enforcement.</w:t>
      </w:r>
    </w:p>
    <w:p>
      <w:pPr>
        <w:spacing w:after="80" w:line="276" w:lineRule="auto"/>
      </w:pPr>
      <w:r>
        <w:rPr>
          <w:b/>
        </w:rPr>
        <w:t>4. Acute / Emergency Needs</w:t>
      </w:r>
    </w:p>
    <w:p>
      <w:pPr>
        <w:spacing w:after="80" w:line="276" w:lineRule="auto"/>
      </w:pPr>
      <w:r>
        <w:t>No acute needs identified at intake.</w:t>
      </w:r>
    </w:p>
    <w:p>
      <w:pPr>
        <w:spacing w:after="80" w:line="276" w:lineRule="auto"/>
      </w:pPr>
      <w:r>
        <w:rPr>
          <w:b/>
        </w:rPr>
        <w:t>5. Stability Factors</w:t>
      </w:r>
    </w:p>
    <w:p>
      <w:pPr>
        <w:pStyle w:val="ListBullet"/>
        <w:spacing w:after="40" w:line="276" w:lineRule="auto"/>
      </w:pPr>
      <w:r>
        <w:rPr>
          <w:b/>
        </w:rPr>
        <w:t>Housing stability level:</w:t>
      </w:r>
      <w:r>
        <w:t xml:space="preserve"> Stable; currently residing in a structured transitional housing program that he finds supportive.</w:t>
      </w:r>
    </w:p>
    <w:p>
      <w:pPr>
        <w:pStyle w:val="ListBullet"/>
        <w:spacing w:after="40" w:line="276" w:lineRule="auto"/>
      </w:pPr>
      <w:r>
        <w:rPr>
          <w:b/>
        </w:rPr>
        <w:t>Driver’s license status:</w:t>
      </w:r>
      <w:r>
        <w:t xml:space="preserve"> None; relies exclusively on walking and public transit.</w:t>
      </w:r>
    </w:p>
    <w:p>
      <w:pPr>
        <w:pStyle w:val="ListBullet"/>
        <w:spacing w:after="40" w:line="276" w:lineRule="auto"/>
      </w:pPr>
      <w:r>
        <w:rPr>
          <w:b/>
        </w:rPr>
        <w:t>Education credential status:</w:t>
      </w:r>
      <w:r>
        <w:t xml:space="preserve"> High School Diploma obtained.</w:t>
      </w:r>
    </w:p>
    <w:p>
      <w:pPr>
        <w:pStyle w:val="ListBullet"/>
        <w:spacing w:after="40" w:line="276" w:lineRule="auto"/>
      </w:pPr>
      <w:r>
        <w:rPr>
          <w:b/>
        </w:rPr>
        <w:t>Recent substance use:</w:t>
      </w:r>
      <w:r>
        <w:t xml:space="preserve"> Early May 2026 (recent).</w:t>
      </w:r>
    </w:p>
    <w:p>
      <w:pPr>
        <w:pStyle w:val="ListBullet"/>
        <w:spacing w:after="40" w:line="276" w:lineRule="auto"/>
      </w:pPr>
      <w:r>
        <w:rPr>
          <w:b/>
        </w:rPr>
        <w:t>Employment history pattern:</w:t>
      </w:r>
      <w:r>
        <w:t xml:space="preserve"> Sporadic; longest tenure is 2 years. Jobs typically end due to dissatisfaction with pay, negative environments, and interpersonal conflict with management.</w:t>
      </w:r>
    </w:p>
    <w:p>
      <w:pPr>
        <w:pStyle w:val="ListBullet"/>
        <w:spacing w:after="40" w:line="276" w:lineRule="auto"/>
      </w:pPr>
      <w:r>
        <w:rPr>
          <w:b/>
        </w:rPr>
        <w:t>Supervision intensity:</w:t>
      </w:r>
      <w:r>
        <w:t xml:space="preserve"> Active probation with Turn 90 condition.</w:t>
      </w:r>
    </w:p>
    <w:p>
      <w:pPr>
        <w:spacing w:after="80" w:line="276" w:lineRule="auto"/>
      </w:pPr>
      <w:r>
        <w:rPr>
          <w:b/>
        </w:rPr>
        <w:t>6. Legal &amp; Placement Constraints</w:t>
      </w:r>
    </w:p>
    <w:p>
      <w:pPr>
        <w:pStyle w:val="ListBullet"/>
        <w:spacing w:after="40" w:line="276" w:lineRule="auto"/>
      </w:pPr>
      <w:r>
        <w:rPr>
          <w:b/>
        </w:rPr>
        <w:t>Pending charges:</w:t>
      </w:r>
      <w:r>
        <w:t xml:space="preserve"> None.</w:t>
      </w:r>
    </w:p>
    <w:p>
      <w:pPr>
        <w:pStyle w:val="ListBullet"/>
        <w:spacing w:after="40" w:line="276" w:lineRule="auto"/>
      </w:pPr>
      <w:r>
        <w:rPr>
          <w:b/>
        </w:rPr>
        <w:t>Court obligations:</w:t>
      </w:r>
      <w:r>
        <w:t xml:space="preserve"> Standard probation terms and Turn 90 condition.</w:t>
      </w:r>
    </w:p>
    <w:p>
      <w:pPr>
        <w:pStyle w:val="ListBullet"/>
        <w:spacing w:after="40" w:line="276" w:lineRule="auto"/>
      </w:pPr>
      <w:r>
        <w:rPr>
          <w:b/>
        </w:rPr>
        <w:t>Supervision restrictions:</w:t>
      </w:r>
      <w:r>
        <w:t xml:space="preserve"> Must maintain compliance to avoid further sentence extensions.</w:t>
      </w:r>
    </w:p>
    <w:p>
      <w:pPr>
        <w:pStyle w:val="ListBullet"/>
        <w:spacing w:after="40" w:line="276" w:lineRule="auto"/>
      </w:pPr>
      <w:r>
        <w:rPr>
          <w:b/>
        </w:rPr>
        <w:t>Sex Offender Registry requirement:</w:t>
      </w:r>
      <w:r>
        <w:t xml:space="preserve"> No.</w:t>
      </w:r>
    </w:p>
    <w:p>
      <w:pPr>
        <w:pStyle w:val="ListBullet"/>
        <w:spacing w:after="40" w:line="276" w:lineRule="auto"/>
      </w:pPr>
      <w:r>
        <w:rPr>
          <w:b/>
        </w:rPr>
        <w:t>Movement/contact restrictions:</w:t>
      </w:r>
      <w:r>
        <w:t xml:space="preserve"> None noted beyond standard probation requirements.</w:t>
      </w:r>
    </w:p>
    <w:p>
      <w:pPr>
        <w:spacing w:after="80" w:line="276" w:lineRule="auto"/>
      </w:pPr>
      <w:r>
        <w:rPr>
          <w:b/>
        </w:rPr>
        <w:t>7. Responsivity &amp; Engagement Profile</w:t>
      </w:r>
    </w:p>
    <w:p>
      <w:pPr>
        <w:pStyle w:val="ListBullet"/>
        <w:spacing w:after="40" w:line="276" w:lineRule="auto"/>
      </w:pPr>
      <w:r>
        <w:rPr>
          <w:b/>
        </w:rPr>
        <w:t>Literacy limitations:</w:t>
      </w:r>
      <w:r>
        <w:t xml:space="preserve"> None noted.</w:t>
      </w:r>
    </w:p>
    <w:p>
      <w:pPr>
        <w:pStyle w:val="ListBullet"/>
        <w:spacing w:after="40" w:line="276" w:lineRule="auto"/>
      </w:pPr>
      <w:r>
        <w:rPr>
          <w:b/>
        </w:rPr>
        <w:t>Cognitive considerations:</w:t>
      </w:r>
      <w:r>
        <w:t xml:space="preserve"> Diagnosed with anxiety and depression; currently taking medication (Hydroxyzine).</w:t>
      </w:r>
    </w:p>
    <w:p>
      <w:pPr>
        <w:pStyle w:val="ListBullet"/>
        <w:spacing w:after="40" w:line="276" w:lineRule="auto"/>
      </w:pPr>
      <w:r>
        <w:rPr>
          <w:b/>
        </w:rPr>
        <w:t>Trauma reactivity:</w:t>
      </w:r>
      <w:r>
        <w:t xml:space="preserve"> Sensitive to feeling marginalized or ignored, which triggers acute anger and impulsivity.</w:t>
      </w:r>
    </w:p>
    <w:p>
      <w:pPr>
        <w:pStyle w:val="ListBullet"/>
        <w:spacing w:after="40" w:line="276" w:lineRule="auto"/>
      </w:pPr>
      <w:r>
        <w:rPr>
          <w:b/>
        </w:rPr>
        <w:t>Authority sensitivity:</w:t>
      </w:r>
      <w:r>
        <w:t xml:space="preserve"> History of workplace and school altercations; staff should utilize de-escalation techniques and maintain clear, respectful communication to avoid triggering defiance.</w:t>
      </w:r>
    </w:p>
    <w:p>
      <w:pPr>
        <w:pStyle w:val="ListBullet"/>
        <w:spacing w:after="40" w:line="276" w:lineRule="auto"/>
      </w:pPr>
      <w:r>
        <w:rPr>
          <w:b/>
        </w:rPr>
        <w:t>Motivation style:</w:t>
      </w:r>
      <w:r>
        <w:t xml:space="preserve"> Intrinsically motivated to "see life in a different light" and address his mental health; motivated by financial stability and utilizing his skills.</w:t>
      </w:r>
    </w:p>
    <w:p>
      <w:pPr>
        <w:pStyle w:val="ListBullet"/>
        <w:spacing w:after="40" w:line="276" w:lineRule="auto"/>
      </w:pPr>
      <w:r>
        <w:rPr>
          <w:b/>
        </w:rPr>
        <w:t>Learning preferences:</w:t>
      </w:r>
      <w:r>
        <w:t xml:space="preserve"> Responds positively to supportive, structured environments, as evidenced by his favorable view of his current transitional program.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