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rFonts w:ascii="Calibri" w:hAnsi="Calibri"/>
          <w:b/>
          <w:color w:val="1E3A8A"/>
          <w:sz w:val="36"/>
        </w:rPr>
        <w:t>Re-entry Navigation Case Plan: Christian (Chris) Shawn Isham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1. Case Summary &amp; Triage</w:t>
      </w:r>
    </w:p>
    <w:p>
      <w:pPr>
        <w:spacing w:after="80" w:line="276" w:lineRule="auto"/>
      </w:pPr>
      <w:r>
        <w:t xml:space="preserve">Chris is currently engaging with supervision and living in a stable, prosocial environment (Oxford House). However, he faces </w:t>
      </w:r>
      <w:r>
        <w:rPr>
          <w:b/>
        </w:rPr>
        <w:t>immediate physical and administrative barriers</w:t>
      </w:r>
      <w:r>
        <w:t xml:space="preserve"> to work. He has a broken leg causing severe radiating pain, lacks a Social Security Card (preventing I-9 verification), and has a suspended driver's license. Furthermore, he is currently prescribed unknown medications for his leg, which poses a relapse risk given his self-admitted history of drug problems.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2. Core Criminogenic Targets</w:t>
      </w:r>
    </w:p>
    <w:p>
      <w:pPr>
        <w:pStyle w:val="ListBullet"/>
        <w:spacing w:after="40" w:line="276" w:lineRule="auto"/>
      </w:pPr>
      <w:r>
        <w:rPr>
          <w:b/>
        </w:rPr>
        <w:t>Substance Use / Relapse Risk:</w:t>
      </w:r>
      <w:r>
        <w:t xml:space="preserve"> Taking active pain medication for a broken leg while recovering from past substance abuse. Requires a strong relapse prevention plan and medical oversight.</w:t>
      </w:r>
    </w:p>
    <w:p>
      <w:pPr>
        <w:pStyle w:val="ListBullet"/>
        <w:spacing w:after="40" w:line="276" w:lineRule="auto"/>
      </w:pPr>
      <w:r>
        <w:rPr>
          <w:b/>
        </w:rPr>
        <w:t>Education / Employment:</w:t>
      </w:r>
      <w:r>
        <w:t xml:space="preserve"> 9th-grade education; no GED. Currently lacks a valid ID/SSN card to begin work. Physical limitations require light-duty or sedentary job placements.</w:t>
      </w:r>
    </w:p>
    <w:p>
      <w:pPr>
        <w:pStyle w:val="ListBullet"/>
        <w:spacing w:after="40" w:line="276" w:lineRule="auto"/>
      </w:pPr>
      <w:r>
        <w:rPr>
          <w:b/>
        </w:rPr>
        <w:t>Impulsivity:</w:t>
      </w:r>
      <w:r>
        <w:t xml:space="preserve"> Self-reported getting into trouble "by accident a lot."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3. Facilitation &amp; Coaching Strategies (Turn90 Framework)</w:t>
      </w:r>
    </w:p>
    <w:p>
      <w:pPr>
        <w:pStyle w:val="ListBullet"/>
        <w:spacing w:after="40" w:line="276" w:lineRule="auto"/>
      </w:pPr>
      <w:r>
        <w:rPr>
          <w:b/>
        </w:rPr>
        <w:t>Modeling Neutrality (1.5):</w:t>
      </w:r>
      <w:r>
        <w:t xml:space="preserve"> Chris expressed that "police just be ridiculous about some things." </w:t>
      </w:r>
      <w:r>
        <w:rPr>
          <w:i/>
        </w:rPr>
        <w:t>Action:</w:t>
      </w:r>
      <w:r>
        <w:t xml:space="preserve"> Do not challenge this. Respond neutrally: "It sounds frustrating when you feel you're being messed with. What's the best way to handle those situations so they don't threaten your freedom?"</w:t>
      </w:r>
    </w:p>
    <w:p>
      <w:pPr>
        <w:pStyle w:val="ListBullet"/>
        <w:spacing w:after="40" w:line="276" w:lineRule="auto"/>
      </w:pPr>
      <w:r>
        <w:rPr>
          <w:b/>
        </w:rPr>
        <w:t>Managing Buy-In (3.2):</w:t>
      </w:r>
      <w:r>
        <w:t xml:space="preserve"> Link compliance (like getting his SSN and dealing with the DMV) to his goal of earning his own money and building a self-sufficient life without relying on his family, especially given the choppy relationship with his mother.</w:t>
      </w:r>
    </w:p>
    <w:p>
      <w:pPr>
        <w:pStyle w:val="ListBullet"/>
        <w:spacing w:after="40" w:line="276" w:lineRule="auto"/>
      </w:pPr>
      <w:r>
        <w:rPr>
          <w:b/>
        </w:rPr>
        <w:t>CBT Workbook Focus:</w:t>
      </w:r>
      <w:r>
        <w:t xml:space="preserve"> Assign modules on </w:t>
      </w:r>
      <w:r>
        <w:rPr>
          <w:i/>
        </w:rPr>
        <w:t>Impulse Control</w:t>
      </w:r>
      <w:r>
        <w:t xml:space="preserve"> and </w:t>
      </w:r>
      <w:r>
        <w:rPr>
          <w:i/>
        </w:rPr>
        <w:t>Consequential Thinking</w:t>
      </w:r>
      <w:r>
        <w:t xml:space="preserve"> to address his pattern of "accidentally" getting into trouble.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4. 30-Day Milestone Plan</w:t>
      </w:r>
    </w:p>
    <w:p>
      <w:pPr>
        <w:pStyle w:val="ListBullet"/>
        <w:spacing w:after="40" w:line="276" w:lineRule="auto"/>
      </w:pPr>
      <w:r>
        <w:rPr>
          <w:b/>
        </w:rPr>
        <w:t>Week 1 (Stabilization):</w:t>
      </w:r>
      <w:r>
        <w:t xml:space="preserve"> Request a replacement Social Security Card. Connect with Cooperative Health for a follow-up on his leg and pain management plan.</w:t>
      </w:r>
    </w:p>
    <w:p>
      <w:pPr>
        <w:pStyle w:val="ListBullet"/>
        <w:spacing w:after="40" w:line="276" w:lineRule="auto"/>
      </w:pPr>
      <w:r>
        <w:rPr>
          <w:b/>
        </w:rPr>
        <w:t>Week 2 (Transit &amp; Documentation):</w:t>
      </w:r>
      <w:r>
        <w:t xml:space="preserve"> Pull his driving record at SCDMV to understand reinstatement requirements. Map out COMET bus routes from his Oxford House to the Turn90 center and potential light-duty job sites.</w:t>
      </w:r>
    </w:p>
    <w:p>
      <w:pPr>
        <w:pStyle w:val="ListBullet"/>
        <w:spacing w:after="40" w:line="276" w:lineRule="auto"/>
      </w:pPr>
      <w:r>
        <w:rPr>
          <w:b/>
        </w:rPr>
        <w:t>Week 3 (Job Prep):</w:t>
      </w:r>
      <w:r>
        <w:t xml:space="preserve"> Resume building focusing on his interest in "building" and hands-on work, pivoting toward light assembly or records management while his leg heals.</w:t>
      </w:r>
    </w:p>
    <w:p>
      <w:pPr>
        <w:pStyle w:val="ListBullet"/>
        <w:spacing w:after="40" w:line="276" w:lineRule="auto"/>
      </w:pPr>
      <w:r>
        <w:rPr>
          <w:b/>
        </w:rPr>
        <w:t>Week 4 (Placement):</w:t>
      </w:r>
      <w:r>
        <w:t xml:space="preserve"> Apply for light-industrial, seated, or low-impact roles (e.g., Schneider Electric, Robert Half) that accommodate his physical recovery.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