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6"/>
        </w:rPr>
        <w:t>Re-entry Navigation Case Plan: Eddie Ballenger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1. Participant Overview</w:t>
      </w:r>
    </w:p>
    <w:p>
      <w:pPr>
        <w:pStyle w:val="ListBullet"/>
        <w:spacing w:after="40" w:line="276" w:lineRule="auto"/>
      </w:pPr>
      <w:r>
        <w:rPr>
          <w:b/>
        </w:rPr>
        <w:t>Name:</w:t>
      </w:r>
      <w:r>
        <w:t xml:space="preserve"> Eddie Ballenger</w:t>
      </w:r>
    </w:p>
    <w:p>
      <w:pPr>
        <w:pStyle w:val="ListBullet"/>
        <w:spacing w:after="40" w:line="276" w:lineRule="auto"/>
      </w:pPr>
      <w:r>
        <w:rPr>
          <w:b/>
        </w:rPr>
        <w:t>Location:</w:t>
      </w:r>
      <w:r>
        <w:t xml:space="preserve"> Spartanburg / Upstate SC</w:t>
      </w:r>
    </w:p>
    <w:p>
      <w:pPr>
        <w:pStyle w:val="ListBullet"/>
        <w:spacing w:after="40" w:line="276" w:lineRule="auto"/>
      </w:pPr>
      <w:r>
        <w:rPr>
          <w:b/>
        </w:rPr>
        <w:t>Current Status:</w:t>
      </w:r>
      <w:r>
        <w:t xml:space="preserve"> Enrolled in First Shift, currently in community/transitional housing. On active probation.</w:t>
      </w:r>
    </w:p>
    <w:p>
      <w:pPr>
        <w:pStyle w:val="ListBullet"/>
        <w:spacing w:after="40" w:line="276" w:lineRule="auto"/>
      </w:pPr>
      <w:r>
        <w:rPr>
          <w:b/>
        </w:rPr>
        <w:t>Strengths:</w:t>
      </w:r>
      <w:r>
        <w:t xml:space="preserve"> Strong family support (mother/siblings), positive relationship with fiancee, stable housing (loves his current placement), recognizes the value of education/employment, highly motivated to avoid re-incarceration.</w:t>
      </w:r>
    </w:p>
    <w:p>
      <w:pPr>
        <w:pStyle w:val="ListBullet"/>
        <w:spacing w:after="40" w:line="276" w:lineRule="auto"/>
      </w:pPr>
      <w:r>
        <w:rPr>
          <w:b/>
        </w:rPr>
        <w:t>Vulnerabilities:</w:t>
      </w:r>
      <w:r>
        <w:t xml:space="preserve"> Diagnosed learning disability, suspended driver's license, impulsivity, externalizes blame for past offenses, active antisocial peers.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2. Core Criminogenic Targets &amp; CBT Interventions</w:t>
      </w:r>
    </w:p>
    <w:p>
      <w:pPr>
        <w:pStyle w:val="ListBullet"/>
        <w:spacing w:after="40" w:line="276" w:lineRule="auto"/>
      </w:pPr>
      <w:r>
        <w:rPr>
          <w:b/>
        </w:rPr>
        <w:t>Target 1: Antisocial Cognition (Blame Shifting &amp; Impulsivity)</w:t>
      </w:r>
    </w:p>
    <w:p>
      <w:pPr>
        <w:pStyle w:val="ListBullet"/>
        <w:spacing w:after="40" w:line="276" w:lineRule="auto"/>
      </w:pPr>
      <w:r>
        <w:rPr>
          <w:i/>
        </w:rPr>
        <w:t>Intervention:</w:t>
      </w:r>
      <w:r>
        <w:t xml:space="preserve"> Utilize cognitive restructuring worksheets. Focus on the "Thinking Check-In." When Eddie expresses that he "had no choice," utilize Modeling Neutrality (Standard 1.5). Ask: </w:t>
      </w:r>
      <w:r>
        <w:rPr>
          <w:i/>
        </w:rPr>
        <w:t>"Looking back with the wisdom you have now, what is one other way that situation could have played out?"</w:t>
      </w:r>
    </w:p>
    <w:p>
      <w:pPr>
        <w:pStyle w:val="ListBullet"/>
        <w:spacing w:after="40" w:line="276" w:lineRule="auto"/>
      </w:pPr>
      <w:r>
        <w:rPr>
          <w:b/>
        </w:rPr>
        <w:t>Target 2: Antisocial Peers</w:t>
      </w:r>
    </w:p>
    <w:p>
      <w:pPr>
        <w:pStyle w:val="ListBullet"/>
        <w:spacing w:after="40" w:line="276" w:lineRule="auto"/>
      </w:pPr>
      <w:r>
        <w:rPr>
          <w:i/>
        </w:rPr>
        <w:t>Intervention:</w:t>
      </w:r>
      <w:r>
        <w:t xml:space="preserve"> Role-play boundary setting. Eddie noted a close friend is still engaged in crime. Discuss the "people, places, and things" that act as triggers without condemning the friend directly.</w:t>
      </w:r>
    </w:p>
    <w:p>
      <w:pPr>
        <w:pStyle w:val="ListBullet"/>
        <w:spacing w:after="40" w:line="276" w:lineRule="auto"/>
      </w:pPr>
      <w:r>
        <w:rPr>
          <w:b/>
        </w:rPr>
        <w:t>Target 3: Education/Employment Deficits</w:t>
      </w:r>
    </w:p>
    <w:p>
      <w:pPr>
        <w:pStyle w:val="ListBullet"/>
        <w:spacing w:after="40" w:line="276" w:lineRule="auto"/>
      </w:pPr>
      <w:r>
        <w:rPr>
          <w:i/>
        </w:rPr>
        <w:t>Intervention:</w:t>
      </w:r>
      <w:r>
        <w:t xml:space="preserve"> Eddie has a 10th-grade education and a learning disability. Ensure all case management materials are highly visual, verbally discussed, and paced appropriately. Connect him with GED tutoring that accommodates learning disabilities.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3. Barrier Removal &amp; Stabilization</w:t>
      </w:r>
    </w:p>
    <w:p>
      <w:pPr>
        <w:pStyle w:val="ListBullet"/>
        <w:spacing w:after="40" w:line="276" w:lineRule="auto"/>
      </w:pPr>
      <w:r>
        <w:rPr>
          <w:b/>
        </w:rPr>
        <w:t>Transportation:</w:t>
      </w:r>
      <w:r>
        <w:t xml:space="preserve"> The suspended license is an immediate barrier to sustainable employment. Refer to the Upstate Fatherhood Initiative to untangle the suspension and set up public transit via Greenlink in the interim.</w:t>
      </w:r>
    </w:p>
    <w:p>
      <w:pPr>
        <w:pStyle w:val="ListBullet"/>
        <w:spacing w:after="40" w:line="276" w:lineRule="auto"/>
      </w:pPr>
      <w:r>
        <w:rPr>
          <w:b/>
        </w:rPr>
        <w:t>Financial Health:</w:t>
      </w:r>
      <w:r>
        <w:t xml:space="preserve"> Eddie relies on a Social Security check and worries about bills. Connect him to United Ministries for matched savings and financial coaching to reduce economic anxiety.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4. Next Steps for Navigator</w:t>
      </w:r>
    </w:p>
    <w:p>
      <w:pPr>
        <w:pStyle w:val="ListBullet"/>
        <w:spacing w:after="40" w:line="276" w:lineRule="auto"/>
      </w:pPr>
      <w:r>
        <w:t>[ ] Complete referral for Upstate Fatherhood Initiative (License).</w:t>
      </w:r>
    </w:p>
    <w:p>
      <w:pPr>
        <w:pStyle w:val="ListBullet"/>
        <w:spacing w:after="40" w:line="276" w:lineRule="auto"/>
      </w:pPr>
      <w:r>
        <w:t>[ ] Map out Greenlink Transit routes from his housing to prospective Upstate employers.</w:t>
      </w:r>
    </w:p>
    <w:p>
      <w:pPr>
        <w:pStyle w:val="ListBullet"/>
        <w:spacing w:after="40" w:line="276" w:lineRule="auto"/>
      </w:pPr>
      <w:r>
        <w:t>[ ] Introduce the CBT "Stop and Think" module in the next 1-on-1 session.</w:t>
      </w:r>
    </w:p>
    <w:p>
      <w:pPr>
        <w:pStyle w:val="ListBullet"/>
        <w:spacing w:after="40" w:line="276" w:lineRule="auto"/>
      </w:pPr>
      <w:r>
        <w:t>[ ] Coordinate with GED providers to ensure accommodations for his learning disability.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