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Christopher Barranco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Participant Overview</w:t>
      </w:r>
    </w:p>
    <w:p>
      <w:pPr>
        <w:spacing w:after="80" w:line="276" w:lineRule="auto"/>
      </w:pPr>
      <w:r>
        <w:t>Chris is a 41-year-old male with a strong background in construction, heavy machinery, and forklift operation. He is currently residing in an Oxford House (serving as President) and shows deep commitment to his faith-based recovery. However, he exhibits significant cognitive minimization regarding his criminal history (denying adult convictions and a history of DV) and has a hidden/unacknowledged active probation warrant in Kershaw County.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Immediate Stability Triage (Red Flags)</w:t>
      </w:r>
    </w:p>
    <w:p>
      <w:pPr>
        <w:pStyle w:val="ListBullet"/>
        <w:spacing w:after="40" w:line="276" w:lineRule="auto"/>
      </w:pPr>
      <w:r>
        <w:rPr>
          <w:b/>
        </w:rPr>
        <w:t>Active Warrant:</w:t>
      </w:r>
      <w:r>
        <w:t xml:space="preserve"> Chris has an active probation warrant out of Kershaw County (Dec 2025). This is an immediate threat to his stability and freedom.</w:t>
      </w:r>
    </w:p>
    <w:p>
      <w:pPr>
        <w:pStyle w:val="ListBullet"/>
        <w:spacing w:after="40" w:line="276" w:lineRule="auto"/>
      </w:pPr>
      <w:r>
        <w:rPr>
          <w:b/>
        </w:rPr>
        <w:t>Financial Distress:</w:t>
      </w:r>
      <w:r>
        <w:t xml:space="preserve"> Chris is highly stressed about child support, debt ($3,500), and Oxford House rent.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Case Management Strategy &amp; CBT Integration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Chris minimizes his past (denies adult charges/DV). Do not argue. Use reflective listening: </w:t>
      </w:r>
      <w:r>
        <w:rPr>
          <w:i/>
        </w:rPr>
        <w:t>'Chris, I hear that you feel you've left your past behind you. I want to make sure no old records pop up to surprise employers. Let's look at this background report together and you can tell me what's going on with these items.'</w:t>
      </w:r>
    </w:p>
    <w:p>
      <w:pPr>
        <w:pStyle w:val="ListBullet"/>
        <w:spacing w:after="40" w:line="276" w:lineRule="auto"/>
      </w:pPr>
      <w:r>
        <w:rPr>
          <w:b/>
        </w:rPr>
        <w:t>Managing Resistance (Standard 3.2):</w:t>
      </w:r>
      <w:r>
        <w:t xml:space="preserve"> Link resolving the Kershaw County warrant directly to his self-interest: </w:t>
      </w:r>
      <w:r>
        <w:rPr>
          <w:i/>
        </w:rPr>
        <w:t>'We need to get this warrant cleared up so you don't lose your spot at Oxford House or get pulled off a high-paying construction site.'</w:t>
      </w:r>
    </w:p>
    <w:p>
      <w:pPr>
        <w:pStyle w:val="ListBullet"/>
        <w:spacing w:after="40" w:line="276" w:lineRule="auto"/>
      </w:pPr>
      <w:r>
        <w:rPr>
          <w:b/>
        </w:rPr>
        <w:t>Criminogenic Targets:</w:t>
      </w:r>
      <w:r>
        <w:t xml:space="preserve"> Address procriminal attitudes (minimization), employment deficits, and ensure his relapse prevention plan remains robust given his history of self-sabotage (Q20).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Action Items for Navigator</w:t>
      </w:r>
    </w:p>
    <w:p>
      <w:pPr>
        <w:pStyle w:val="ListNumber"/>
        <w:spacing w:after="40" w:line="276" w:lineRule="auto"/>
      </w:pPr>
      <w:r>
        <w:rPr>
          <w:b/>
        </w:rPr>
        <w:t>Legal:</w:t>
      </w:r>
      <w:r>
        <w:t xml:space="preserve"> Assist Chris in contacting SC Legal Services to determine the nature of the Kershaw warrant. Support him in communicating with PO Agent Burgess.</w:t>
      </w:r>
    </w:p>
    <w:p>
      <w:pPr>
        <w:pStyle w:val="ListNumber"/>
        <w:spacing w:after="40" w:line="276" w:lineRule="auto"/>
      </w:pPr>
      <w:r>
        <w:rPr>
          <w:b/>
        </w:rPr>
        <w:t>Financial/Basic Needs:</w:t>
      </w:r>
      <w:r>
        <w:t xml:space="preserve"> Refer to Midlands Fatherhood Coalition to adjust child support based on his current unemployed status. Refer to Harvest Hope for food to save his stipend for rent.</w:t>
      </w:r>
    </w:p>
    <w:p>
      <w:pPr>
        <w:pStyle w:val="ListNumber"/>
        <w:spacing w:after="40" w:line="276" w:lineRule="auto"/>
      </w:pPr>
      <w:r>
        <w:rPr>
          <w:b/>
        </w:rPr>
        <w:t>Employment:</w:t>
      </w:r>
      <w:r>
        <w:t xml:space="preserve"> Prep him for fair-chance industrial/heavy machinery roles. Focus on his gutter installation, Rotochopper, and forklift certifications.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