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Dylan Johnson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Participant Overview</w:t>
      </w:r>
    </w:p>
    <w:p>
      <w:pPr>
        <w:pStyle w:val="ListBullet"/>
        <w:spacing w:after="40" w:line="276" w:lineRule="auto"/>
      </w:pPr>
      <w:r>
        <w:rPr>
          <w:b/>
        </w:rPr>
        <w:t>Name</w:t>
      </w:r>
      <w:r>
        <w:t>: Dylan Johnson</w:t>
      </w:r>
    </w:p>
    <w:p>
      <w:pPr>
        <w:pStyle w:val="ListBullet"/>
        <w:spacing w:after="40" w:line="276" w:lineRule="auto"/>
      </w:pPr>
      <w:r>
        <w:rPr>
          <w:b/>
        </w:rPr>
        <w:t>Supervision</w:t>
      </w:r>
      <w:r>
        <w:t>: Active Probation (Turn90 is mandated)</w:t>
      </w:r>
    </w:p>
    <w:p>
      <w:pPr>
        <w:pStyle w:val="ListBullet"/>
        <w:spacing w:after="40" w:line="276" w:lineRule="auto"/>
      </w:pPr>
      <w:r>
        <w:rPr>
          <w:b/>
        </w:rPr>
        <w:t>Living Situation</w:t>
      </w:r>
      <w:r>
        <w:t>: Rents a room in a transitional house (Stable)</w:t>
      </w:r>
    </w:p>
    <w:p>
      <w:pPr>
        <w:pStyle w:val="ListBullet"/>
        <w:spacing w:after="40" w:line="276" w:lineRule="auto"/>
      </w:pPr>
      <w:r>
        <w:rPr>
          <w:b/>
        </w:rPr>
        <w:t>Key Strengths</w:t>
      </w:r>
      <w:r>
        <w:t>: High self-awareness regarding mental health needs, has a high school diploma, stable housing, strong desire for self-improvement.</w:t>
      </w:r>
    </w:p>
    <w:p>
      <w:pPr>
        <w:pStyle w:val="ListBullet"/>
        <w:spacing w:after="40" w:line="276" w:lineRule="auto"/>
      </w:pPr>
      <w:r>
        <w:rPr>
          <w:b/>
        </w:rPr>
        <w:t>Primary Barriers</w:t>
      </w:r>
      <w:r>
        <w:t>: Emotional reactivity/anger triggers (history of workplace altercation), lack of transportation/driver's license, need for psychiatric support.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Facilitation &amp; Coaching Strategy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</w:t>
      </w:r>
      <w:r>
        <w:t xml:space="preserve">: Dylan has a history of externalizing blame when he feels disrespected (e.g., the KFC incident). Do not debate who was right or wrong. Use neutral curiosity to explore the consequences of his reactions. </w:t>
      </w:r>
      <w:r>
        <w:rPr>
          <w:i/>
        </w:rPr>
        <w:t>"When you feel ignored, what is your first instinct? How did that reaction impact your goals in the past?"</w:t>
      </w:r>
    </w:p>
    <w:p>
      <w:pPr>
        <w:pStyle w:val="ListBullet"/>
        <w:spacing w:after="40" w:line="276" w:lineRule="auto"/>
      </w:pPr>
      <w:r>
        <w:rPr>
          <w:b/>
        </w:rPr>
        <w:t>Managing Resistance (Standard 3.2)</w:t>
      </w:r>
      <w:r>
        <w:t>: Tie his program attendance directly to his desire to earn money in warehousing/construction. Acknowledge that riding the bus is frustrating, but frame it as a temporary stepping stone to financial independence.</w:t>
      </w:r>
    </w:p>
    <w:p>
      <w:pPr>
        <w:pStyle w:val="ListBullet"/>
        <w:spacing w:after="40" w:line="276" w:lineRule="auto"/>
      </w:pPr>
      <w:r>
        <w:rPr>
          <w:b/>
        </w:rPr>
        <w:t>CBT Integration</w:t>
      </w:r>
      <w:r>
        <w:t>: Utilize cognitive-behavioral workbooks focusing on impulsive thinking and emotional regulation. Dylan admits he "often acts before thinking" and becomes "impatient with others."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Immediate Action Items (Next 14 Days)</w:t>
      </w:r>
    </w:p>
    <w:p>
      <w:pPr>
        <w:pStyle w:val="ListNumber"/>
        <w:spacing w:after="40" w:line="276" w:lineRule="auto"/>
      </w:pPr>
      <w:r>
        <w:rPr>
          <w:b/>
        </w:rPr>
        <w:t>Transportation</w:t>
      </w:r>
      <w:r>
        <w:t>: Issue CARTA bus passes and do a route-planning exercise with him to ensure he can attend Turn90 daily.</w:t>
      </w:r>
    </w:p>
    <w:p>
      <w:pPr>
        <w:pStyle w:val="ListNumber"/>
        <w:spacing w:after="40" w:line="276" w:lineRule="auto"/>
      </w:pPr>
      <w:r>
        <w:rPr>
          <w:b/>
        </w:rPr>
        <w:t>Mental Health Triage</w:t>
      </w:r>
      <w:r>
        <w:t>: Assist Dylan in setting up an intake appointment at Fetter Health Care Network for a psychiatric evaluation and counseling, as he explicitly requested this help.</w:t>
      </w:r>
    </w:p>
    <w:p>
      <w:pPr>
        <w:pStyle w:val="ListNumber"/>
        <w:spacing w:after="40" w:line="276" w:lineRule="auto"/>
      </w:pPr>
      <w:r>
        <w:rPr>
          <w:b/>
        </w:rPr>
        <w:t>Employment Prep</w:t>
      </w:r>
      <w:r>
        <w:t>: Review his past warehouse experience (Shimano's) and identify fair-chance regional employers. Begin discussing workplace conflict resolution to prevent a repeat of the KFC incident.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