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82B49"/>
          <w:sz w:val="44"/>
        </w:rPr>
        <w:t>STRATEGIC PROJECT MASTER PLAN</w:t>
      </w:r>
    </w:p>
    <w:p>
      <w:pPr>
        <w:spacing w:after="360"/>
        <w:jc w:val="center"/>
      </w:pPr>
      <w:r>
        <w:rPr>
          <w:rFonts w:ascii="Arial" w:hAnsi="Arial"/>
          <w:color w:val="646464"/>
          <w:sz w:val="22"/>
        </w:rPr>
        <w:t>Organized &amp; Synthesized from Active Google Tasks • September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82B49"/>
                <w:sz w:val="22"/>
              </w:rPr>
              <w:t>Executive Overview &amp; Project Framework</w:t>
              <w:br/>
            </w:r>
            <w:r>
              <w:rPr>
                <w:rFonts w:ascii="Arial" w:hAnsi="Arial"/>
                <w:color w:val="323232"/>
                <w:sz w:val="19"/>
              </w:rPr>
              <w:t>This master plan synthesizes all 71 active tasks across your inboxes, communications, and task lists into 6 distinct, high-leverage strategic projects. Each project groups related operational items, stakeholder touchpoints, and development goals so you can execute with clarity and focus rather than tackling isolated todos.</w:t>
            </w:r>
          </w:p>
        </w:tc>
      </w:tr>
    </w:tbl>
    <w:p>
      <w:pPr>
        <w:spacing w:after="240"/>
      </w:pPr>
    </w:p>
    <w:p>
      <w:pPr>
        <w:keepNext/>
        <w:spacing w:before="280" w:after="40"/>
      </w:pPr>
      <w:r>
        <w:rPr>
          <w:rFonts w:ascii="Arial" w:hAnsi="Arial"/>
          <w:b/>
          <w:color w:val="008080"/>
          <w:sz w:val="26"/>
        </w:rPr>
        <w:t xml:space="preserve">PROJECT 1: </w:t>
      </w:r>
      <w:r>
        <w:rPr>
          <w:rFonts w:ascii="Arial" w:hAnsi="Arial"/>
          <w:b/>
          <w:color w:val="182B49"/>
          <w:sz w:val="26"/>
        </w:rPr>
        <w:t>TURN NINETY &amp; REENTRY NAVIGATION OPERATIONS</w:t>
      </w:r>
    </w:p>
    <w:p>
      <w:pPr>
        <w:keepNext/>
        <w:spacing w:after="80"/>
      </w:pPr>
      <w:r>
        <w:rPr>
          <w:rFonts w:ascii="Arial" w:hAnsi="Arial"/>
          <w:i/>
          <w:color w:val="646464"/>
          <w:sz w:val="20"/>
        </w:rPr>
        <w:t>Participant Casework, Intake, Partner Engagement &amp; Program Capacity</w:t>
      </w:r>
    </w:p>
    <w:p>
      <w:pPr>
        <w:spacing w:after="160"/>
      </w:pPr>
      <w:r>
        <w:rPr>
          <w:rFonts w:ascii="Arial" w:hAnsi="Arial"/>
          <w:color w:val="323232"/>
          <w:sz w:val="19"/>
        </w:rPr>
        <w:t>Focuses on direct participant support, halfway house intakes, community partner relationships (CCPL, Cristo Rey, SC Works), staffing/time-off reviews, and scaling workforce training.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Participant Intake &amp; Casework Updates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Reply to Michelle Dickinson about PIC volunteer coaching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Respond to check-in regarding volunteer coaching journey &amp; member pairing.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Fill out New Employment Update for Semaj Hart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Complete Apricot notification form for participant employment milestone.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Resolve Google Meet notes issue for Reentry Intake (Antoine Turner)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Ensure documentation and intake notes are properly recorded.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Apply for jobs to Bill for Anthony / Colin and Antoine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Direct workforce support and job application pipeline.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Fill out the template of case management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Document participant needs, behavioral patterns, and skill development.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Partner &amp; Community Coordination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Confirm 10:40 meeting time &amp; CCPL book distribution (Melissa Tunstall)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Coordinate receipt of 15 available books from Charleston County Public Library.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Follow up with Tracy Clifford regarding Personal Finance textbooks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Finalize curriculum textbooks for Turn Ninety participants.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Coordinate Turn 90 class visit for Phillip Griggs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Host Cristo Rey Charleston visitor for an upcoming class session.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Share Dorchester County Career Fair flyer with network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Distribute flyer for the September 17 event.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Respond to voicemail from (803) 320-5901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Follow up on Grasshopper Program Services extension message.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Program Tools, Assessments &amp; Staffing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Pilot SkillCat's Essentials Tier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Evaluate SkillCat training platform ($20/seat/mo) with 4-5 participants.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Redo TCU-custom assessment &amp; create AI implementation plans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Revamp assessment framework and automate procedural documentation.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Finish assessments and upload all new participants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Clear pending backlog of participant intake data.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Review Daisy Boynton's time off request &amp; write recommendation letter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Approve Oct 16 request and complete recommendation.</w:t>
      </w:r>
    </w:p>
    <w:p>
      <w:pPr>
        <w:spacing w:before="160" w:after="160"/>
      </w:pPr>
      <w:r>
        <w:rPr>
          <w:color w:val="DCDCDC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40"/>
      </w:pPr>
      <w:r>
        <w:rPr>
          <w:rFonts w:ascii="Arial" w:hAnsi="Arial"/>
          <w:b/>
          <w:color w:val="008080"/>
          <w:sz w:val="26"/>
        </w:rPr>
        <w:t xml:space="preserve">PROJECT 2: </w:t>
      </w:r>
      <w:r>
        <w:rPr>
          <w:rFonts w:ascii="Arial" w:hAnsi="Arial"/>
          <w:b/>
          <w:color w:val="182B49"/>
          <w:sz w:val="26"/>
        </w:rPr>
        <w:t>BRIEFCASE 2.0 &amp; CASE MANAGEMENT TECH ECOSYSTEM</w:t>
      </w:r>
    </w:p>
    <w:p>
      <w:pPr>
        <w:keepNext/>
        <w:spacing w:after="80"/>
      </w:pPr>
      <w:r>
        <w:rPr>
          <w:rFonts w:ascii="Arial" w:hAnsi="Arial"/>
          <w:i/>
          <w:color w:val="646464"/>
          <w:sz w:val="20"/>
        </w:rPr>
        <w:t>AI-Powered Job Hunting Platform &amp; Technical Architecture</w:t>
      </w:r>
    </w:p>
    <w:p>
      <w:pPr>
        <w:spacing w:after="160"/>
      </w:pPr>
      <w:r>
        <w:rPr>
          <w:rFonts w:ascii="Arial" w:hAnsi="Arial"/>
          <w:color w:val="323232"/>
          <w:sz w:val="19"/>
        </w:rPr>
        <w:t>Technical buildout and deployment of Briefcase 2.0, streamlining the client job-hunting workflow, integrating meeting notes, and establishing reliable hosting.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Core Platform &amp; AI Development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Briefcase with job-hunting AI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Implement automated job search matching and application assistance for participants.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Design step-by-step navigation flow for Briefcase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Structure the user experience from guided intake to independent tool usage.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Integrate Google Meet into Briefcase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Embed video conferencing for remote intakes and coaching sessions.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Explore Google Antigravity platform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Evaluate agentic development tooling for autonomous workflows.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Infrastructure &amp; Deployment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Fix failed deploy for audio-interview-lscmi on Render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Investigate and resolve deployment error on commit 'Unify First'.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Consolidate hosting infrastructure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Point custom domains and services toward the unified Briefcase application.</w:t>
      </w:r>
    </w:p>
    <w:p>
      <w:pPr>
        <w:spacing w:before="160" w:after="160"/>
      </w:pPr>
      <w:r>
        <w:rPr>
          <w:color w:val="DCDCDC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40"/>
      </w:pPr>
      <w:r>
        <w:rPr>
          <w:rFonts w:ascii="Arial" w:hAnsi="Arial"/>
          <w:b/>
          <w:color w:val="008080"/>
          <w:sz w:val="26"/>
        </w:rPr>
        <w:t xml:space="preserve">PROJECT 3: </w:t>
      </w:r>
      <w:r>
        <w:rPr>
          <w:rFonts w:ascii="Arial" w:hAnsi="Arial"/>
          <w:b/>
          <w:color w:val="182B49"/>
          <w:sz w:val="26"/>
        </w:rPr>
        <w:t>843 ATHLETIC CLUB &amp; YOUTH SOCCER GROWTH</w:t>
      </w:r>
    </w:p>
    <w:p>
      <w:pPr>
        <w:keepNext/>
        <w:spacing w:after="80"/>
      </w:pPr>
      <w:r>
        <w:rPr>
          <w:rFonts w:ascii="Arial" w:hAnsi="Arial"/>
          <w:i/>
          <w:color w:val="646464"/>
          <w:sz w:val="20"/>
        </w:rPr>
        <w:t>Coaching Curriculum, Sponsorship Acquisition, Merchandising &amp; Player Development</w:t>
      </w:r>
    </w:p>
    <w:p>
      <w:pPr>
        <w:spacing w:after="160"/>
      </w:pPr>
      <w:r>
        <w:rPr>
          <w:rFonts w:ascii="Arial" w:hAnsi="Arial"/>
          <w:color w:val="323232"/>
          <w:sz w:val="19"/>
        </w:rPr>
        <w:t>Scaling the 843 brand through high-level tactical coaching, local business sponsorship partnerships, podcast monetization, and custom gear.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Tactical Coaching Curriculum &amp; Drills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Box Mid &amp; Italian Rondos Drill Set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Develop structured possession and passing rhythm exercises.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Quick-reaction &amp; middle-vision drills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Design reactive passing drills focused on central midfield awareness.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Goal-facing pass selection &amp; QB/CDM tactical decision-making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Establish decision trees for playmakers to identify and pick out passing lanes.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Sponsorship &amp; Local Business Outreach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Sponsorship Campaign (Realtors &amp; Restaurants)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Execute outreach pipeline to local realtors, restaurants, and laundromats.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Product Placement &amp; Sponsor Logo Shirts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Allow local businesses to sponsor team shirts with custom branding.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Talk to Kate about printing shirts for rec league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Finalize printing specifications and inventory.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Brand &amp; Program Operations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Finalize the 843 pitch deck &amp; Royvi plan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Establish player sponsorship coverage and prepare application features.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Create behavior manual dashboard for 843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Build centralized dashboard to track athlete accountability and behavioral growth.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Launch 'You Can Change Youth Soccer' campaign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Run grassroots social media initiative highlighting equitable access to youth sports.</w:t>
      </w:r>
    </w:p>
    <w:p>
      <w:pPr>
        <w:spacing w:before="160" w:after="160"/>
      </w:pPr>
      <w:r>
        <w:rPr>
          <w:color w:val="DCDCDC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40"/>
      </w:pPr>
      <w:r>
        <w:rPr>
          <w:rFonts w:ascii="Arial" w:hAnsi="Arial"/>
          <w:b/>
          <w:color w:val="008080"/>
          <w:sz w:val="26"/>
        </w:rPr>
        <w:t xml:space="preserve">PROJECT 4: </w:t>
      </w:r>
      <w:r>
        <w:rPr>
          <w:rFonts w:ascii="Arial" w:hAnsi="Arial"/>
          <w:b/>
          <w:color w:val="182B49"/>
          <w:sz w:val="26"/>
        </w:rPr>
        <w:t>CONTENT ENGINE, THOUGHT LEADERSHIP &amp; PUBLISHING</w:t>
      </w:r>
    </w:p>
    <w:p>
      <w:pPr>
        <w:keepNext/>
        <w:spacing w:after="80"/>
      </w:pPr>
      <w:r>
        <w:rPr>
          <w:rFonts w:ascii="Arial" w:hAnsi="Arial"/>
          <w:i/>
          <w:color w:val="646464"/>
          <w:sz w:val="20"/>
        </w:rPr>
        <w:t>Podcasting, Social Media Sermonettes, Storytelling &amp; Monetization</w:t>
      </w:r>
    </w:p>
    <w:p>
      <w:pPr>
        <w:spacing w:after="160"/>
      </w:pPr>
      <w:r>
        <w:rPr>
          <w:rFonts w:ascii="Arial" w:hAnsi="Arial"/>
          <w:color w:val="323232"/>
          <w:sz w:val="19"/>
        </w:rPr>
        <w:t>Leveraging digital media, thought-provoking posts, podcast content, and creative writing to drive personal brand, speaking opportunities, and consulting revenue.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Podcast Production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Build podcast episodes via Gemini NotebookLM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Feed Dr. Gupta quotes and transcripts into NotebookLM to generate rich podcast scripts.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Monetize podcast via AI &amp; local advertising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Identify high-spend advertising verticals to pitch for podcast sponsorship.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Social Media Thought Pieces &amp; Essays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The Dartboard Analogy Post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Draft compelling essay illustrating focus, targets, and life direction.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Tyler Childers Tire Song Reflection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Create cultural commentary post connecting lyrics to resilience.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Blowing Up Pay-to-Play Post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Challenge existing youth sports models and advocate for community-first training.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Mini-Sermons (Rob Bell Style)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Produce bite-sized philosophical reflections on personal accountability and purpose.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Angry Buddhist Post &amp; 'You Make Your Own Reality'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Explore balance between inner peace, righteous drive, and radical self-honesty.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Book Lore &amp; Monetization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Story Development: Practical Wisdom vs Superstition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Develop characters passing down actionable life traditions without dogmatic superstition.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Monetize Consulting, App &amp; Synapse Coaching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Package speaking, executive consulting, and coaching methodologies into paid offers.</w:t>
      </w:r>
    </w:p>
    <w:p>
      <w:pPr>
        <w:spacing w:before="160" w:after="160"/>
      </w:pPr>
      <w:r>
        <w:rPr>
          <w:color w:val="DCDCDC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40"/>
      </w:pPr>
      <w:r>
        <w:rPr>
          <w:rFonts w:ascii="Arial" w:hAnsi="Arial"/>
          <w:b/>
          <w:color w:val="008080"/>
          <w:sz w:val="26"/>
        </w:rPr>
        <w:t xml:space="preserve">PROJECT 5: </w:t>
      </w:r>
      <w:r>
        <w:rPr>
          <w:rFonts w:ascii="Arial" w:hAnsi="Arial"/>
          <w:b/>
          <w:color w:val="182B49"/>
          <w:sz w:val="26"/>
        </w:rPr>
        <w:t>STRATEGIC ROADMAP, PROGRAM ARCHITECTURE &amp; FUNDING</w:t>
      </w:r>
    </w:p>
    <w:p>
      <w:pPr>
        <w:keepNext/>
        <w:spacing w:after="80"/>
      </w:pPr>
      <w:r>
        <w:rPr>
          <w:rFonts w:ascii="Arial" w:hAnsi="Arial"/>
          <w:i/>
          <w:color w:val="646464"/>
          <w:sz w:val="20"/>
        </w:rPr>
        <w:t>High-Level Master Planning, Financial Scaling &amp; Process Documentation</w:t>
      </w:r>
    </w:p>
    <w:p>
      <w:pPr>
        <w:spacing w:after="160"/>
      </w:pPr>
      <w:r>
        <w:rPr>
          <w:rFonts w:ascii="Arial" w:hAnsi="Arial"/>
          <w:color w:val="323232"/>
          <w:sz w:val="19"/>
        </w:rPr>
        <w:t>Macro-level program design, cross-organizational strategy alignment with leadership partners, and pursuing major grant/donor funding.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Macro Strategy &amp; Leadership Alignment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Master Program Plan Mapping (SVP, Dan, Mere, Chris)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Consolidate organizational priorities into a unified multi-year roadmap.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Pursue Major Funding ('Go After Big Money')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Target large-scale institutional grants, philanthropic capital, and major donors.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Voice-Record &amp; AI Story Synthesis of All Processes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Talk through workflows out loud and have AI compile comprehensive standard operating procedures (SOPs).</w:t>
      </w:r>
    </w:p>
    <w:p>
      <w:pPr>
        <w:spacing w:before="160" w:after="160"/>
      </w:pPr>
      <w:r>
        <w:rPr>
          <w:color w:val="DCDCDC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40"/>
      </w:pPr>
      <w:r>
        <w:rPr>
          <w:rFonts w:ascii="Arial" w:hAnsi="Arial"/>
          <w:b/>
          <w:color w:val="008080"/>
          <w:sz w:val="26"/>
        </w:rPr>
        <w:t xml:space="preserve">PROJECT 6: </w:t>
      </w:r>
      <w:r>
        <w:rPr>
          <w:rFonts w:ascii="Arial" w:hAnsi="Arial"/>
          <w:b/>
          <w:color w:val="182B49"/>
          <w:sz w:val="26"/>
        </w:rPr>
        <w:t>PERSONAL ADMINISTRATION, HEALTH &amp; LIFE OPERATIONS</w:t>
      </w:r>
    </w:p>
    <w:p>
      <w:pPr>
        <w:keepNext/>
        <w:spacing w:after="80"/>
      </w:pPr>
      <w:r>
        <w:rPr>
          <w:rFonts w:ascii="Arial" w:hAnsi="Arial"/>
          <w:i/>
          <w:color w:val="646464"/>
          <w:sz w:val="20"/>
        </w:rPr>
        <w:t>Household Maintenance, Financial Health, Digital Cleanliness &amp; Relationships</w:t>
      </w:r>
    </w:p>
    <w:p>
      <w:pPr>
        <w:spacing w:after="160"/>
      </w:pPr>
      <w:r>
        <w:rPr>
          <w:rFonts w:ascii="Arial" w:hAnsi="Arial"/>
          <w:color w:val="323232"/>
          <w:sz w:val="19"/>
        </w:rPr>
        <w:t>Personal operational maintenance, security auditing, digital consolidation, family communication, and lifestyle wellness.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Account Security &amp; Digital Setup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Audit Airbnb account for unauthorized payment/login activity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Verify recent login alerts and secure account payment methods.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Combine Gmail accounts and configure Google Voice forwarding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Streamline multi-inbox routing to centralize communications.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Build AI Personal Budget &amp; Bank Record Analyzer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Deploy local AI script to parse bank statements and track spending.</w:t>
      </w:r>
    </w:p>
    <w:p>
      <w:pPr>
        <w:keepNext/>
        <w:spacing w:before="120" w:after="80"/>
      </w:pPr>
      <w:r>
        <w:rPr>
          <w:rFonts w:ascii="Arial" w:hAnsi="Arial"/>
          <w:b/>
          <w:color w:val="182B49"/>
          <w:sz w:val="21"/>
        </w:rPr>
        <w:t>▸ Personal Errands &amp; Lifestyle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Automotive &amp; Home Maintenance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Purchase oil change supplies and perform routine vehicle service.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Personal Sales &amp; Tasks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Sell iPad, sign athletic/program waivers, and finish baking projects.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color w:val="323232"/>
          <w:sz w:val="19"/>
        </w:rPr>
        <w:t>Language &amp; Personal Connections</w:t>
      </w:r>
      <w:r>
        <w:rPr>
          <w:rFonts w:ascii="Arial" w:hAnsi="Arial"/>
          <w:color w:val="646464"/>
          <w:sz w:val="19"/>
        </w:rPr>
        <w:t xml:space="preserve"> — </w:t>
      </w:r>
      <w:r>
        <w:rPr>
          <w:rFonts w:ascii="Arial" w:hAnsi="Arial"/>
          <w:i/>
          <w:color w:val="646464"/>
          <w:sz w:val="18"/>
        </w:rPr>
        <w:t>Practice Spanish, text Daniel Hodges, and connect with Mikey / La Barra.</w:t>
      </w:r>
    </w:p>
    <w:p>
      <w:pPr>
        <w:spacing w:before="160" w:after="160"/>
      </w:pPr>
      <w:r>
        <w:rPr>
          <w:color w:val="DCDCDC"/>
        </w:rPr>
        <w:t>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