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3803" w14:textId="77777777" w:rsidR="00F00614" w:rsidRPr="00F00614" w:rsidRDefault="00F00614" w:rsidP="00F00614">
      <w:pPr>
        <w:rPr>
          <w:b/>
          <w:bCs/>
        </w:rPr>
      </w:pPr>
      <w:r w:rsidRPr="00F00614">
        <w:rPr>
          <w:b/>
          <w:bCs/>
        </w:rPr>
        <w:t>Where we are</w:t>
      </w:r>
    </w:p>
    <w:p w14:paraId="22A6B950" w14:textId="77777777" w:rsidR="00F00614" w:rsidRPr="00F00614" w:rsidRDefault="00F00614" w:rsidP="00F00614">
      <w:r w:rsidRPr="00F00614">
        <w:t xml:space="preserve">You have a working empirical instance of one edge in a much larger framework. The L1↔L3a result is the proof of concept — it cleared the pre-registration bars, </w:t>
      </w:r>
      <w:proofErr w:type="spellStart"/>
      <w:r w:rsidRPr="00F00614">
        <w:t>generalised</w:t>
      </w:r>
      <w:proofErr w:type="spellEnd"/>
      <w:r w:rsidRPr="00F00614">
        <w:t xml:space="preserve"> cleanly out of sample, and produced economically coherent flags (GFC kink, 2014 hiking cycle start, </w:t>
      </w:r>
      <w:proofErr w:type="spellStart"/>
      <w:r w:rsidRPr="00F00614">
        <w:t>Nenegate</w:t>
      </w:r>
      <w:proofErr w:type="spellEnd"/>
      <w:r w:rsidRPr="00F00614">
        <w:t>, COVID conservatism, 2022 inflation surge). More importantly, the post-2014 directional asymmetry — five out of five OOS flags positive — is a substantive finding that wouldn't surface in conventional analysis. The framework is doing real work.</w:t>
      </w:r>
    </w:p>
    <w:p w14:paraId="711FED07" w14:textId="77777777" w:rsidR="00F00614" w:rsidRPr="00F00614" w:rsidRDefault="00F00614" w:rsidP="00F00614">
      <w:pPr>
        <w:rPr>
          <w:b/>
          <w:bCs/>
        </w:rPr>
      </w:pPr>
      <w:r w:rsidRPr="00F00614">
        <w:rPr>
          <w:b/>
          <w:bCs/>
        </w:rPr>
        <w:t>What we're doing</w:t>
      </w:r>
    </w:p>
    <w:p w14:paraId="70D523DF" w14:textId="77777777" w:rsidR="00F00614" w:rsidRPr="00F00614" w:rsidRDefault="00F00614" w:rsidP="00F00614">
      <w:r w:rsidRPr="00F00614">
        <w:t xml:space="preserve">A central bank is decomposed into 30+ nodes across four levels: the reaction function and loss function (L1, L2), the instruments (L3a-e: rate, guidance, balance sheet, FX intervention, macroprudential), the macroeconomic state (L4), and the financial intermediary layer (L5: banks, NBFI, dealers, households, sovereigns). Nodes are linked by edges that fall into four dissonance types: intra-node (components within a node misalign), inter-node (peers within a level disagree), vertical (adjacent levels diverge), and temporal (a node </w:t>
      </w:r>
      <w:proofErr w:type="gramStart"/>
      <w:r w:rsidRPr="00F00614">
        <w:t>drifts</w:t>
      </w:r>
      <w:proofErr w:type="gramEnd"/>
      <w:r w:rsidRPr="00F00614">
        <w:t xml:space="preserve"> from its own historical regime).</w:t>
      </w:r>
    </w:p>
    <w:p w14:paraId="3BCE0571" w14:textId="77777777" w:rsidR="00F00614" w:rsidRPr="00F00614" w:rsidRDefault="00F00614" w:rsidP="00F00614">
      <w:r w:rsidRPr="00F00614">
        <w:t xml:space="preserve">Each edge gets a three-function treatment: a </w:t>
      </w:r>
      <w:r w:rsidRPr="00F00614">
        <w:rPr>
          <w:b/>
          <w:bCs/>
        </w:rPr>
        <w:t>correlation test</w:t>
      </w:r>
      <w:r w:rsidRPr="00F00614">
        <w:t xml:space="preserve"> as an admissibility gate, a </w:t>
      </w:r>
      <w:r w:rsidRPr="00F00614">
        <w:rPr>
          <w:b/>
          <w:bCs/>
        </w:rPr>
        <w:t>consistency function</w:t>
      </w:r>
      <w:r w:rsidRPr="00F00614">
        <w:t xml:space="preserve"> R(t) measuring the residual deviation from equilibrium, and a </w:t>
      </w:r>
      <w:r w:rsidRPr="00F00614">
        <w:rPr>
          <w:b/>
          <w:bCs/>
        </w:rPr>
        <w:t>dissonance function</w:t>
      </w:r>
      <w:r w:rsidRPr="00F00614">
        <w:t xml:space="preserve"> D(t) = |R(t)| with a calibrated threshold. We pre-registered the gate bars (R² ≥ 0.84, σ(ε)/σ(</w:t>
      </w:r>
      <w:proofErr w:type="spellStart"/>
      <w:r w:rsidRPr="00F00614">
        <w:t>i_t</w:t>
      </w:r>
      <w:proofErr w:type="spellEnd"/>
      <w:r w:rsidRPr="00F00614">
        <w:t>) ≤ 0.40) and the threshold convention (τ = 2σ from calibration window) before running anything on real data.</w:t>
      </w:r>
    </w:p>
    <w:p w14:paraId="69B39B63" w14:textId="77777777" w:rsidR="00F00614" w:rsidRPr="00F00614" w:rsidRDefault="00F00614" w:rsidP="00F00614">
      <w:r w:rsidRPr="00F00614">
        <w:t>Country pilot is South Africa (2005-2024 monthly). Subsequent expansion targets a 14-country panel — seven DM, seven EM — to test whether the framework works across vastly different monetary regimes. The L1↔L3a edge is the first of many.</w:t>
      </w:r>
    </w:p>
    <w:p w14:paraId="2A5D0EEA" w14:textId="77777777" w:rsidR="00F00614" w:rsidRPr="00F00614" w:rsidRDefault="00F00614" w:rsidP="00F00614">
      <w:pPr>
        <w:rPr>
          <w:b/>
          <w:bCs/>
        </w:rPr>
      </w:pPr>
      <w:r w:rsidRPr="00F00614">
        <w:rPr>
          <w:b/>
          <w:bCs/>
        </w:rPr>
        <w:t>What we hope to achieve</w:t>
      </w:r>
    </w:p>
    <w:p w14:paraId="4F11FAB4" w14:textId="77777777" w:rsidR="00F00614" w:rsidRPr="00F00614" w:rsidRDefault="00F00614" w:rsidP="00F00614">
      <w:r w:rsidRPr="00F00614">
        <w:t>Two distinct but reinforcing things.</w:t>
      </w:r>
    </w:p>
    <w:p w14:paraId="7FCBA11B" w14:textId="77777777" w:rsidR="00F00614" w:rsidRPr="00F00614" w:rsidRDefault="00F00614" w:rsidP="00F00614">
      <w:r w:rsidRPr="00F00614">
        <w:rPr>
          <w:b/>
          <w:bCs/>
        </w:rPr>
        <w:t>The academic contribution</w:t>
      </w:r>
      <w:r w:rsidRPr="00F00614">
        <w:t xml:space="preserve"> is a unified, falsifiable framework for measuring central bank policy coherence. The literature is fragmented — Taylor rules sit separately from term structure tests sit separately from bank lending channel work. Each has its own empirical norms. The dissonance framework imposes a common architecture: every edge is estimated under the same pre-registration discipline, with the same admissibility bars and the same flagging convention. The output is a comparable grid of dissonance signals across edges, levels, and countries. The thesis proposition is that </w:t>
      </w:r>
      <w:r w:rsidRPr="00F00614">
        <w:rPr>
          <w:i/>
          <w:iCs/>
        </w:rPr>
        <w:t>this grid carries independent predictive information for asset prices</w:t>
      </w:r>
      <w:r w:rsidRPr="00F00614">
        <w:t xml:space="preserve"> — beyond what existing factor models capture. That's the Phase 5 test still ahead.</w:t>
      </w:r>
    </w:p>
    <w:p w14:paraId="41F08138" w14:textId="77777777" w:rsidR="00F00614" w:rsidRPr="00F00614" w:rsidRDefault="00F00614" w:rsidP="00F00614">
      <w:r w:rsidRPr="00F00614">
        <w:rPr>
          <w:b/>
          <w:bCs/>
        </w:rPr>
        <w:lastRenderedPageBreak/>
        <w:t>The investment value proposition</w:t>
      </w:r>
      <w:r w:rsidRPr="00F00614">
        <w:t xml:space="preserve"> is what makes this interesting beyond the thesis. Here the framework sits at the intersection of systematic and discretionary processes — and that intersection is where most multi-asset EM houses, including </w:t>
      </w:r>
      <w:proofErr w:type="gramStart"/>
      <w:r w:rsidRPr="00F00614">
        <w:t>Ninety One</w:t>
      </w:r>
      <w:proofErr w:type="gramEnd"/>
      <w:r w:rsidRPr="00F00614">
        <w:t>, are structurally underdeveloped.</w:t>
      </w:r>
    </w:p>
    <w:p w14:paraId="429A1749" w14:textId="77777777" w:rsidR="00F00614" w:rsidRPr="00F00614" w:rsidRDefault="00F00614" w:rsidP="00F00614">
      <w:r w:rsidRPr="00F00614">
        <w:t>The systematic side does the work that humans cannot do at scale. It maintains 30+ calibrated edge models across 14 countries, updated as new data prints. It flags dissonance episodes the moment they appear in the data. It enforces a comparable framework across countries, so "SARB is acting unusually" and "</w:t>
      </w:r>
      <w:proofErr w:type="spellStart"/>
      <w:r w:rsidRPr="00F00614">
        <w:t>Banxico</w:t>
      </w:r>
      <w:proofErr w:type="spellEnd"/>
      <w:r w:rsidRPr="00F00614">
        <w:t xml:space="preserve"> is acting unusually" become quantitatively commensurable rather than narrative impressions. It records every flag, every threshold, every coefficient — building an audit trail that a discretionary process cannot match. And it surfaces patterns invisible to qualitative analysis: the post-2014 OOS asymmetry in your L1↔L3a is the canonical example. No one reading SARB statements would have spotted "all five surprise episodes were hawkish in the same direction" — but the framework did, in twenty seconds, the first time it ran on real data.</w:t>
      </w:r>
    </w:p>
    <w:p w14:paraId="2C7C3279" w14:textId="77777777" w:rsidR="00F00614" w:rsidRPr="00F00614" w:rsidRDefault="00F00614" w:rsidP="00F00614">
      <w:r w:rsidRPr="00F00614">
        <w:t xml:space="preserve">The discretionary side does the work that systems cannot do alone. It interprets </w:t>
      </w:r>
      <w:r w:rsidRPr="00F00614">
        <w:rPr>
          <w:i/>
          <w:iCs/>
        </w:rPr>
        <w:t>why</w:t>
      </w:r>
      <w:r w:rsidRPr="00F00614">
        <w:t xml:space="preserve"> a flag fires — was it political (</w:t>
      </w:r>
      <w:proofErr w:type="spellStart"/>
      <w:r w:rsidRPr="00F00614">
        <w:t>Nenegate</w:t>
      </w:r>
      <w:proofErr w:type="spellEnd"/>
      <w:r w:rsidRPr="00F00614">
        <w:t xml:space="preserve">), exogenous (COVID), structural (regime change), or noise? It decides whether a flag warrants positioning action or whether it's a known one-off. It weighs the cross-asset implications using country knowledge — that SARB hawkishness translates differently for ZAR vs SAGB vs equities than </w:t>
      </w:r>
      <w:proofErr w:type="spellStart"/>
      <w:r w:rsidRPr="00F00614">
        <w:t>Banxico</w:t>
      </w:r>
      <w:proofErr w:type="spellEnd"/>
      <w:r w:rsidRPr="00F00614">
        <w:t xml:space="preserve"> hawkishness translates for MXN vs </w:t>
      </w:r>
      <w:proofErr w:type="spellStart"/>
      <w:r w:rsidRPr="00F00614">
        <w:t>Mbonos</w:t>
      </w:r>
      <w:proofErr w:type="spellEnd"/>
      <w:r w:rsidRPr="00F00614">
        <w:t>. It builds the narrative that turns a quantitative signal into a portfolio decision.</w:t>
      </w:r>
    </w:p>
    <w:p w14:paraId="33A91576" w14:textId="77777777" w:rsidR="00F00614" w:rsidRPr="00F00614" w:rsidRDefault="00F00614" w:rsidP="00F00614">
      <w:r w:rsidRPr="00F00614">
        <w:t>The combination is where the framework earns its place. Pure-systematic processes drown in false positives because they can't distinguish signal from regime-noise. Pure-discretionary processes drown in confirmation bias because they reach for the narrative they were primed to see. Structured discretion — systematic detection grid plus discretionary interpretation layer — gives you both: the signal coverage and consistency of a quant approach, and the regional/political/idiosyncratic interpretation of a fundamental approach.</w:t>
      </w:r>
    </w:p>
    <w:p w14:paraId="78A930F9" w14:textId="77777777" w:rsidR="00F00614" w:rsidRPr="00F00614" w:rsidRDefault="00F00614" w:rsidP="00F00614">
      <w:r w:rsidRPr="00F00614">
        <w:t xml:space="preserve">For an investment analyst running an EM multi-asset book specifically, this matters in three concrete ways. First, it provides a quantitative anchor for conversations that are otherwise vibes-based: "Is SARB being conservative right now?" becomes "Three of the last four months printed positive R above τ — yes, materially conservative, and here are the historical analogues." Second, it supports systematic risk overlays without requiring committee buy-in to a black-box quant model — the framework's logic is transparent and economically interpretable at every step. Third, and most importantly, it lets you do </w:t>
      </w:r>
      <w:r w:rsidRPr="00F00614">
        <w:rPr>
          <w:i/>
          <w:iCs/>
        </w:rPr>
        <w:lastRenderedPageBreak/>
        <w:t>conditional</w:t>
      </w:r>
      <w:r w:rsidRPr="00F00614">
        <w:t xml:space="preserve"> portfolio construction: "Given the current dissonance regime, here's how we'd size the SAGB position, and here's the trigger that would force a rebalance." This is the structured-discretionary product that pure-system houses can't deliver (no interpretive layer</w:t>
      </w:r>
      <w:proofErr w:type="gramStart"/>
      <w:r w:rsidRPr="00F00614">
        <w:t>)</w:t>
      </w:r>
      <w:proofErr w:type="gramEnd"/>
      <w:r w:rsidRPr="00F00614">
        <w:t xml:space="preserve"> and pure-fundamental houses can't deliver either (no quantitative anchor).</w:t>
      </w:r>
    </w:p>
    <w:p w14:paraId="0DC8A9E2" w14:textId="77777777" w:rsidR="00F00614" w:rsidRPr="00F00614" w:rsidRDefault="00F00614" w:rsidP="00F00614">
      <w:pPr>
        <w:rPr>
          <w:b/>
          <w:bCs/>
        </w:rPr>
      </w:pPr>
      <w:r w:rsidRPr="00F00614">
        <w:rPr>
          <w:b/>
          <w:bCs/>
        </w:rPr>
        <w:t>What's next</w:t>
      </w:r>
    </w:p>
    <w:p w14:paraId="662A0C74" w14:textId="77777777" w:rsidR="00F00614" w:rsidRPr="00F00614" w:rsidRDefault="00F00614" w:rsidP="00F00614">
      <w:r w:rsidRPr="00F00614">
        <w:t>Three layers of work, sequenced.</w:t>
      </w:r>
    </w:p>
    <w:p w14:paraId="762CB7AC" w14:textId="77777777" w:rsidR="00F00614" w:rsidRPr="00F00614" w:rsidRDefault="00F00614" w:rsidP="00F00614">
      <w:r w:rsidRPr="00F00614">
        <w:rPr>
          <w:b/>
          <w:bCs/>
        </w:rPr>
        <w:t>Immediate (next 2-3 edges).</w:t>
      </w:r>
      <w:r w:rsidRPr="00F00614">
        <w:t xml:space="preserve"> Build out the rest of L3 to validate the framework on non-rule nodes. Two short pieces first: L3a corridor consistency (intra-node, mechanical) and L3b balance sheet announced-vs-delivered (intra-node, also mostly mechanical). Then the substantive next vertical: L3a → L4 (term structure / yield curve via expectations hypothesis plus term premium decomposition). The L3a → L4 edge is where the framework starts producing direct market-data dissonance signals — the residuals there are functions of observed bond yields, not modelled counterfactuals. Higher economic and trading relevance.</w:t>
      </w:r>
    </w:p>
    <w:p w14:paraId="2C8F3327" w14:textId="77777777" w:rsidR="00F00614" w:rsidRPr="00F00614" w:rsidRDefault="00F00614" w:rsidP="00F00614">
      <w:r w:rsidRPr="00F00614">
        <w:rPr>
          <w:b/>
          <w:bCs/>
        </w:rPr>
        <w:t>Medium (composite aggregation and panel expansion).</w:t>
      </w:r>
      <w:r w:rsidRPr="00F00614">
        <w:t xml:space="preserve"> Once five or six SA edges are running, build the country-level composite D_SA(t) = Σ w</w:t>
      </w:r>
      <w:r w:rsidRPr="00F00614">
        <w:rPr>
          <w:rFonts w:ascii="Cambria Math" w:hAnsi="Cambria Math" w:cs="Cambria Math"/>
        </w:rPr>
        <w:t>ₙ</w:t>
      </w:r>
      <w:r w:rsidRPr="00F00614">
        <w:t xml:space="preserve"> D</w:t>
      </w:r>
      <w:r w:rsidRPr="00F00614">
        <w:rPr>
          <w:rFonts w:ascii="Cambria Math" w:hAnsi="Cambria Math" w:cs="Cambria Math"/>
        </w:rPr>
        <w:t>ₙ</w:t>
      </w:r>
      <w:r w:rsidRPr="00F00614">
        <w:t xml:space="preserve">(t) and test whether the aggregated signal performs differently from any single edge. Then expand to a second country </w:t>
      </w:r>
      <w:r w:rsidRPr="00F00614">
        <w:rPr>
          <w:rFonts w:ascii="Aptos" w:hAnsi="Aptos" w:cs="Aptos"/>
        </w:rPr>
        <w:t>—</w:t>
      </w:r>
      <w:r w:rsidRPr="00F00614">
        <w:t xml:space="preserve"> Mexico is a natural next pilot given </w:t>
      </w:r>
      <w:proofErr w:type="spellStart"/>
      <w:r w:rsidRPr="00F00614">
        <w:t>Banxico's</w:t>
      </w:r>
      <w:proofErr w:type="spellEnd"/>
      <w:r w:rsidRPr="00F00614">
        <w:t xml:space="preserve"> similar inflation-targeting regime but very different transmission and the well-developed Mbono curve. The country-by-country expansion is mostly mechanical once the SA template </w:t>
      </w:r>
      <w:proofErr w:type="spellStart"/>
      <w:r w:rsidRPr="00F00614">
        <w:t>stabilises</w:t>
      </w:r>
      <w:proofErr w:type="spellEnd"/>
      <w:r w:rsidRPr="00F00614">
        <w:t>.</w:t>
      </w:r>
    </w:p>
    <w:p w14:paraId="0CAA27C7" w14:textId="77777777" w:rsidR="00F00614" w:rsidRPr="00F00614" w:rsidRDefault="00F00614" w:rsidP="00F00614">
      <w:r w:rsidRPr="00F00614">
        <w:rPr>
          <w:b/>
          <w:bCs/>
        </w:rPr>
        <w:t>Phase 5 (the empirical pay-off).</w:t>
      </w:r>
      <w:r w:rsidRPr="00F00614">
        <w:t xml:space="preserve"> Test whether dissonance flags predict asset returns. This is the falsifiable claim that justifies the entire project. Standard event study + panel regression on the 14-country sample. If the predictive content is there, the framework has empirical </w:t>
      </w:r>
      <w:proofErr w:type="gramStart"/>
      <w:r w:rsidRPr="00F00614">
        <w:t>legitimacy</w:t>
      </w:r>
      <w:proofErr w:type="gramEnd"/>
      <w:r w:rsidRPr="00F00614">
        <w:t xml:space="preserve"> and you have the investment hook. If it isn't, the framework remains a useful descriptive taxonomy but the trading angle dies.</w:t>
      </w:r>
    </w:p>
    <w:p w14:paraId="76C4B124" w14:textId="77777777" w:rsidR="00F00614" w:rsidRPr="00F00614" w:rsidRDefault="00F00614" w:rsidP="00F00614">
      <w:r w:rsidRPr="00F00614">
        <w:t>The realistic timeline: L3 work in the next few weeks, multi-edge composite by the time you have four or five SA edges running, second country (likely Brazil or Mexico) thereafter. The thesis structure already pre-registers this sequence, so you're on plan.</w:t>
      </w:r>
    </w:p>
    <w:p w14:paraId="40826B98" w14:textId="77777777" w:rsidR="004B4A76" w:rsidRDefault="004B4A76"/>
    <w:sectPr w:rsidR="004B4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9C"/>
    <w:rsid w:val="003B1C21"/>
    <w:rsid w:val="004B4A76"/>
    <w:rsid w:val="0065059C"/>
    <w:rsid w:val="008D2B38"/>
    <w:rsid w:val="00D80E04"/>
    <w:rsid w:val="00F0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4D2FE-13C3-4D63-A2B3-79D681B4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1104</Words>
  <Characters>6473</Characters>
  <Application>Microsoft Office Word</Application>
  <DocSecurity>0</DocSecurity>
  <Lines>98</Lines>
  <Paragraphs>20</Paragraphs>
  <ScaleCrop>false</ScaleCrop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Stoddart</dc:creator>
  <cp:keywords/>
  <dc:description/>
  <cp:lastModifiedBy>Justin Stoddart</cp:lastModifiedBy>
  <cp:revision>2</cp:revision>
  <dcterms:created xsi:type="dcterms:W3CDTF">2026-05-16T13:30:00Z</dcterms:created>
  <dcterms:modified xsi:type="dcterms:W3CDTF">2026-05-16T13:31:00Z</dcterms:modified>
</cp:coreProperties>
</file>