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09C7" w14:textId="646E505F" w:rsidR="00743BCA" w:rsidRPr="00743BCA" w:rsidRDefault="00743BCA" w:rsidP="00743BCA">
      <w:pPr>
        <w:spacing w:before="100" w:beforeAutospacing="1" w:after="100" w:afterAutospacing="1" w:line="240" w:lineRule="auto"/>
        <w:jc w:val="center"/>
        <w:rPr>
          <w:rFonts w:ascii="Aptos" w:eastAsia="Times New Roman" w:hAnsi="Aptos" w:cs="Times New Roman"/>
          <w:b/>
          <w:bCs/>
          <w:kern w:val="0"/>
          <w:sz w:val="28"/>
          <w:szCs w:val="28"/>
          <w:lang w:eastAsia="en-GB"/>
          <w14:ligatures w14:val="none"/>
        </w:rPr>
      </w:pPr>
      <w:r>
        <w:rPr>
          <w:rFonts w:ascii="Aptos" w:eastAsia="Times New Roman" w:hAnsi="Aptos" w:cs="Times New Roman"/>
          <w:b/>
          <w:bCs/>
          <w:kern w:val="0"/>
          <w:sz w:val="28"/>
          <w:szCs w:val="28"/>
          <w:lang w:eastAsia="en-GB"/>
          <w14:ligatures w14:val="none"/>
        </w:rPr>
        <w:t>Theory</w:t>
      </w:r>
    </w:p>
    <w:p w14:paraId="5DA03CFE" w14:textId="53C77C5E"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Level 3c — Forward Guidance</w:t>
      </w:r>
    </w:p>
    <w:p w14:paraId="6750C638"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Definition.</w:t>
      </w:r>
      <w:r w:rsidRPr="0032251D">
        <w:rPr>
          <w:rFonts w:ascii="Aptos" w:eastAsia="Times New Roman" w:hAnsi="Aptos" w:cs="Times New Roman"/>
          <w:kern w:val="0"/>
          <w:sz w:val="22"/>
          <w:szCs w:val="22"/>
          <w:lang w:eastAsia="en-GB"/>
          <w14:ligatures w14:val="none"/>
        </w:rPr>
        <w:t xml:space="preserve"> Forward guidance is communication by the central bank about the future path of policy. It is the practice of using words to move markets when actions alone are insufficient or constrained. Pre-2008 it was largely implicit (the cryptic Greenspan era). Post-2008 it became explicit and was elevated to a third major instrument — the policy rate moves the front of the curve, the balance sheet moves the back, and forward guidance moves the belly. It comes in several forms: open-ended qualitative ("extended period"); calendar-based ("through at least 2024"); state-contingent threshold-based ("until unemployment falls below 6.5%"); state-contingent outcome-based ("until inflation reaches 2% on a sustained basis"); and quantitative path projections (the Fed dot plot, BoE fan charts, </w:t>
      </w:r>
      <w:proofErr w:type="spellStart"/>
      <w:r w:rsidRPr="0032251D">
        <w:rPr>
          <w:rFonts w:ascii="Aptos" w:eastAsia="Times New Roman" w:hAnsi="Aptos" w:cs="Times New Roman"/>
          <w:kern w:val="0"/>
          <w:sz w:val="22"/>
          <w:szCs w:val="22"/>
          <w:lang w:eastAsia="en-GB"/>
          <w14:ligatures w14:val="none"/>
        </w:rPr>
        <w:t>Riksbank</w:t>
      </w:r>
      <w:proofErr w:type="spellEnd"/>
      <w:r w:rsidRPr="0032251D">
        <w:rPr>
          <w:rFonts w:ascii="Aptos" w:eastAsia="Times New Roman" w:hAnsi="Aptos" w:cs="Times New Roman"/>
          <w:kern w:val="0"/>
          <w:sz w:val="22"/>
          <w:szCs w:val="22"/>
          <w:lang w:eastAsia="en-GB"/>
          <w14:ligatures w14:val="none"/>
        </w:rPr>
        <w:t xml:space="preserve"> repo path).</w:t>
      </w:r>
    </w:p>
    <w:p w14:paraId="20D14C67" w14:textId="77777777" w:rsidR="00743BCA" w:rsidRPr="0032251D" w:rsidRDefault="00743BCA" w:rsidP="00743BCA">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04CF7FF">
          <v:rect id="_x0000_i1025" alt="" style="width:451.3pt;height:.05pt;mso-width-percent:0;mso-height-percent:0;mso-width-percent:0;mso-height-percent:0" o:hralign="center" o:hrstd="t" o:hr="t" fillcolor="#a0a0a0" stroked="f"/>
        </w:pict>
      </w:r>
    </w:p>
    <w:p w14:paraId="186CE124"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Theory</w:t>
      </w:r>
    </w:p>
    <w:p w14:paraId="2405CDC3"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deep theoretical foundation: monetary policy operates with long lags and through the expected path, not the current level. Woodford (2003) showed in a New Keynesian framework that what matters for output and inflation is the </w:t>
      </w:r>
      <w:r w:rsidRPr="0032251D">
        <w:rPr>
          <w:rFonts w:ascii="Aptos" w:eastAsia="Times New Roman" w:hAnsi="Aptos" w:cs="Times New Roman"/>
          <w:i/>
          <w:iCs/>
          <w:kern w:val="0"/>
          <w:sz w:val="22"/>
          <w:szCs w:val="22"/>
          <w:lang w:eastAsia="en-GB"/>
          <w14:ligatures w14:val="none"/>
        </w:rPr>
        <w:t>expected path</w:t>
      </w:r>
      <w:r w:rsidRPr="0032251D">
        <w:rPr>
          <w:rFonts w:ascii="Aptos" w:eastAsia="Times New Roman" w:hAnsi="Aptos" w:cs="Times New Roman"/>
          <w:kern w:val="0"/>
          <w:sz w:val="22"/>
          <w:szCs w:val="22"/>
          <w:lang w:eastAsia="en-GB"/>
          <w14:ligatures w14:val="none"/>
        </w:rPr>
        <w:t xml:space="preserve"> of real short rates, not the rate today.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the bank's ability to shape expectations of future policy is structurally equivalent to setting policy itself. Guidance is not a substitute for action — it is action through a different channel.</w:t>
      </w:r>
    </w:p>
    <w:p w14:paraId="0DB387B6"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Delphic vs Odyssean (Campbell, Evans, Fisher, Justiniano 2012).</w:t>
      </w:r>
      <w:r w:rsidRPr="0032251D">
        <w:rPr>
          <w:rFonts w:ascii="Aptos" w:eastAsia="Times New Roman" w:hAnsi="Aptos" w:cs="Times New Roman"/>
          <w:kern w:val="0"/>
          <w:sz w:val="22"/>
          <w:szCs w:val="22"/>
          <w:lang w:eastAsia="en-GB"/>
          <w14:ligatures w14:val="none"/>
        </w:rPr>
        <w:t xml:space="preserve"> The foundational distinction.</w:t>
      </w:r>
    </w:p>
    <w:p w14:paraId="3B6A0ABD" w14:textId="77777777" w:rsidR="00743BCA" w:rsidRPr="0032251D" w:rsidRDefault="00743BCA" w:rsidP="00743BCA">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Delphic guidance:</w:t>
      </w:r>
      <w:r w:rsidRPr="0032251D">
        <w:rPr>
          <w:rFonts w:ascii="Aptos" w:eastAsia="Times New Roman" w:hAnsi="Aptos" w:cs="Times New Roman"/>
          <w:kern w:val="0"/>
          <w:sz w:val="22"/>
          <w:szCs w:val="22"/>
          <w:lang w:eastAsia="en-GB"/>
          <w14:ligatures w14:val="none"/>
        </w:rPr>
        <w:t xml:space="preserve"> the bank shares its forecast. "We expect rates at 5% next year given our outlook." This is information about the economy, not a commitment. If the outlook changes, the path changes.</w:t>
      </w:r>
    </w:p>
    <w:p w14:paraId="6E2AC249" w14:textId="77777777" w:rsidR="00743BCA" w:rsidRPr="0032251D" w:rsidRDefault="00743BCA" w:rsidP="00743BCA">
      <w:pPr>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Odyssean guidance:</w:t>
      </w:r>
      <w:r w:rsidRPr="0032251D">
        <w:rPr>
          <w:rFonts w:ascii="Aptos" w:eastAsia="Times New Roman" w:hAnsi="Aptos" w:cs="Times New Roman"/>
          <w:kern w:val="0"/>
          <w:sz w:val="22"/>
          <w:szCs w:val="22"/>
          <w:lang w:eastAsia="en-GB"/>
          <w14:ligatures w14:val="none"/>
        </w:rPr>
        <w:t xml:space="preserve"> the bank commits to a path. "We will hold rates here through 2025 even if inflation rises." This is a binding pledge — like Odysseus tied to the mast. The bank commits to deviate from what data alone would prescribe.</w:t>
      </w:r>
    </w:p>
    <w:p w14:paraId="796C4B40"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two transmit through different channels. Delphic operates through the information effect — markets learn what the bank knows about the economy. Odyssean operates through the commitment effect — markets learn what the bank will do regardless of incoming data. Odyssean guidance is more powerful when </w:t>
      </w:r>
      <w:proofErr w:type="gramStart"/>
      <w:r w:rsidRPr="0032251D">
        <w:rPr>
          <w:rFonts w:ascii="Aptos" w:eastAsia="Times New Roman" w:hAnsi="Aptos" w:cs="Times New Roman"/>
          <w:kern w:val="0"/>
          <w:sz w:val="22"/>
          <w:szCs w:val="22"/>
          <w:lang w:eastAsia="en-GB"/>
          <w14:ligatures w14:val="none"/>
        </w:rPr>
        <w:t>believed, but</w:t>
      </w:r>
      <w:proofErr w:type="gramEnd"/>
      <w:r w:rsidRPr="0032251D">
        <w:rPr>
          <w:rFonts w:ascii="Aptos" w:eastAsia="Times New Roman" w:hAnsi="Aptos" w:cs="Times New Roman"/>
          <w:kern w:val="0"/>
          <w:sz w:val="22"/>
          <w:szCs w:val="22"/>
          <w:lang w:eastAsia="en-GB"/>
          <w14:ligatures w14:val="none"/>
        </w:rPr>
        <w:t xml:space="preserve"> only works if the bank's credibility supports the commitment.</w:t>
      </w:r>
    </w:p>
    <w:p w14:paraId="4A8FC345"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ELB rationale.</w:t>
      </w:r>
      <w:r w:rsidRPr="0032251D">
        <w:rPr>
          <w:rFonts w:ascii="Aptos" w:eastAsia="Times New Roman" w:hAnsi="Aptos" w:cs="Times New Roman"/>
          <w:kern w:val="0"/>
          <w:sz w:val="22"/>
          <w:szCs w:val="22"/>
          <w:lang w:eastAsia="en-GB"/>
          <w14:ligatures w14:val="none"/>
        </w:rPr>
        <w:t xml:space="preserve"> When the policy rate is constrained, the bank can still ease by promising to keep rates low for longer. Eggertsson-Woodford (2003) showed that at the ELB, the </w:t>
      </w:r>
      <w:r w:rsidRPr="0032251D">
        <w:rPr>
          <w:rFonts w:ascii="Aptos" w:eastAsia="Times New Roman" w:hAnsi="Aptos" w:cs="Times New Roman"/>
          <w:i/>
          <w:iCs/>
          <w:kern w:val="0"/>
          <w:sz w:val="22"/>
          <w:szCs w:val="22"/>
          <w:lang w:eastAsia="en-GB"/>
          <w14:ligatures w14:val="none"/>
        </w:rPr>
        <w:t>optimal</w:t>
      </w:r>
      <w:r w:rsidRPr="0032251D">
        <w:rPr>
          <w:rFonts w:ascii="Aptos" w:eastAsia="Times New Roman" w:hAnsi="Aptos" w:cs="Times New Roman"/>
          <w:kern w:val="0"/>
          <w:sz w:val="22"/>
          <w:szCs w:val="22"/>
          <w:lang w:eastAsia="en-GB"/>
          <w14:ligatures w14:val="none"/>
        </w:rPr>
        <w:t xml:space="preserve"> policy is to promise future easing — explicitly committing to deviation from the rule after the constraint releases. This lowers long rates today via the expectations hypothesis, providing easing without cutting the current rate.</w:t>
      </w:r>
    </w:p>
    <w:p w14:paraId="08431300"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The credibility constraint.</w:t>
      </w:r>
      <w:r w:rsidRPr="0032251D">
        <w:rPr>
          <w:rFonts w:ascii="Aptos" w:eastAsia="Times New Roman" w:hAnsi="Aptos" w:cs="Times New Roman"/>
          <w:kern w:val="0"/>
          <w:sz w:val="22"/>
          <w:szCs w:val="22"/>
          <w:lang w:eastAsia="en-GB"/>
          <w14:ligatures w14:val="none"/>
        </w:rPr>
        <w:t xml:space="preserve"> Forward guidance only works if markets believe it. A bank that has reneged on past guidance loses the ability to use it. The Fed's 2020-2021 inflation guidance under </w:t>
      </w:r>
      <w:r w:rsidRPr="0032251D">
        <w:rPr>
          <w:rFonts w:ascii="Aptos" w:eastAsia="Times New Roman" w:hAnsi="Aptos" w:cs="Times New Roman"/>
          <w:kern w:val="0"/>
          <w:sz w:val="22"/>
          <w:szCs w:val="22"/>
          <w:lang w:eastAsia="en-GB"/>
          <w14:ligatures w14:val="none"/>
        </w:rPr>
        <w:lastRenderedPageBreak/>
        <w:t>FAIT is the modern cautionary case: outcome-based guidance promising no hikes until inflation showed sustained progress, then a pivot to aggressive hiking as inflation surprised upward. The 2022 pivot damaged the credibility of subsequent guidance.</w:t>
      </w:r>
    </w:p>
    <w:p w14:paraId="103C8DD1" w14:textId="77777777" w:rsidR="00743BCA" w:rsidRPr="0032251D" w:rsidRDefault="00743BCA" w:rsidP="00743BCA">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23D2948F">
          <v:rect id="_x0000_i1026" alt="" style="width:451.3pt;height:.05pt;mso-width-percent:0;mso-height-percent:0;mso-width-percent:0;mso-height-percent:0" o:hralign="center" o:hrstd="t" o:hr="t" fillcolor="#a0a0a0" stroked="f"/>
        </w:pict>
      </w:r>
    </w:p>
    <w:p w14:paraId="7E1941D8"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Canonical specifications and parameters</w:t>
      </w:r>
    </w:p>
    <w:p w14:paraId="2A000124"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Five operational forms, with increasing specificity:</w:t>
      </w:r>
    </w:p>
    <w:p w14:paraId="5D389DB7"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Open-ended qualitative.</w:t>
      </w:r>
      <w:r w:rsidRPr="0032251D">
        <w:rPr>
          <w:rFonts w:ascii="Aptos" w:eastAsia="Times New Roman" w:hAnsi="Aptos" w:cs="Times New Roman"/>
          <w:kern w:val="0"/>
          <w:sz w:val="22"/>
          <w:szCs w:val="22"/>
          <w:lang w:eastAsia="en-GB"/>
          <w14:ligatures w14:val="none"/>
        </w:rPr>
        <w:t xml:space="preserve"> Words like "patient," "considerable time," "extended period." Vague by design. Move markets through tone interpretation. Common pre-2008 and still used.</w:t>
      </w:r>
    </w:p>
    <w:p w14:paraId="600754F0"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Calendar-based.</w:t>
      </w:r>
      <w:r w:rsidRPr="0032251D">
        <w:rPr>
          <w:rFonts w:ascii="Aptos" w:eastAsia="Times New Roman" w:hAnsi="Aptos" w:cs="Times New Roman"/>
          <w:kern w:val="0"/>
          <w:sz w:val="22"/>
          <w:szCs w:val="22"/>
          <w:lang w:eastAsia="en-GB"/>
          <w14:ligatures w14:val="none"/>
        </w:rPr>
        <w:t xml:space="preserve"> Time-specific commitments. "Through mid-2013." Mechanically powerful if believed (markets price the calendar) but inflexible — incoming data may make the calendar wrong.</w:t>
      </w:r>
    </w:p>
    <w:p w14:paraId="145264C4"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State-contingent threshold-based.</w:t>
      </w:r>
      <w:r w:rsidRPr="0032251D">
        <w:rPr>
          <w:rFonts w:ascii="Aptos" w:eastAsia="Times New Roman" w:hAnsi="Aptos" w:cs="Times New Roman"/>
          <w:kern w:val="0"/>
          <w:sz w:val="22"/>
          <w:szCs w:val="22"/>
          <w:lang w:eastAsia="en-GB"/>
          <w14:ligatures w14:val="none"/>
        </w:rPr>
        <w:t xml:space="preserve"> Tied to observable variables. The Fed's 2012 "Evans rule" — hold rates until unemployment below 6.5% OR inflation above 2.5%. Easier to evaluate ex-post; allows markets to forecast the regime change.</w:t>
      </w:r>
    </w:p>
    <w:p w14:paraId="37F0640F"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State-contingent outcome-based.</w:t>
      </w:r>
      <w:r w:rsidRPr="0032251D">
        <w:rPr>
          <w:rFonts w:ascii="Aptos" w:eastAsia="Times New Roman" w:hAnsi="Aptos" w:cs="Times New Roman"/>
          <w:kern w:val="0"/>
          <w:sz w:val="22"/>
          <w:szCs w:val="22"/>
          <w:lang w:eastAsia="en-GB"/>
          <w14:ligatures w14:val="none"/>
        </w:rPr>
        <w:t xml:space="preserve"> Tied to less observable outcomes. The Fed's 2020 FAIT framework — hold until inflation reaches 2% AND is "on track to moderately exceed for some time." Conceptually flexible but harder to monitor in real time. More vulnerable to credibility loss when the bank decides the condition is met.</w:t>
      </w:r>
    </w:p>
    <w:p w14:paraId="1C3B5769"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Quantitative path projections.</w:t>
      </w:r>
      <w:r w:rsidRPr="0032251D">
        <w:rPr>
          <w:rFonts w:ascii="Aptos" w:eastAsia="Times New Roman" w:hAnsi="Aptos" w:cs="Times New Roman"/>
          <w:kern w:val="0"/>
          <w:sz w:val="22"/>
          <w:szCs w:val="22"/>
          <w:lang w:eastAsia="en-GB"/>
          <w14:ligatures w14:val="none"/>
        </w:rPr>
        <w:t xml:space="preserve"> The Fed Summary of Economic Projections (SEP) and "dot plot" — each member's forecast of the policy rate three years out and longer run. The median dot is often treated as guidance, but </w:t>
      </w:r>
      <w:r w:rsidRPr="0032251D">
        <w:rPr>
          <w:rFonts w:ascii="Aptos" w:eastAsia="Times New Roman" w:hAnsi="Aptos" w:cs="Times New Roman"/>
          <w:i/>
          <w:iCs/>
          <w:kern w:val="0"/>
          <w:sz w:val="22"/>
          <w:szCs w:val="22"/>
          <w:lang w:eastAsia="en-GB"/>
          <w14:ligatures w14:val="none"/>
        </w:rPr>
        <w:t>dot dispersion</w:t>
      </w:r>
      <w:r w:rsidRPr="0032251D">
        <w:rPr>
          <w:rFonts w:ascii="Aptos" w:eastAsia="Times New Roman" w:hAnsi="Aptos" w:cs="Times New Roman"/>
          <w:kern w:val="0"/>
          <w:sz w:val="22"/>
          <w:szCs w:val="22"/>
          <w:lang w:eastAsia="en-GB"/>
          <w14:ligatures w14:val="none"/>
        </w:rPr>
        <w:t xml:space="preserve"> matters as much. Wide dispersion indicates committee disagreement, weakening the dot's force as a commitment.</w:t>
      </w:r>
    </w:p>
    <w:p w14:paraId="2B952752"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Key parameters in any guidance regime: </w:t>
      </w:r>
      <w:r w:rsidRPr="0032251D">
        <w:rPr>
          <w:rFonts w:ascii="Aptos" w:eastAsia="Times New Roman" w:hAnsi="Aptos" w:cs="Times New Roman"/>
          <w:i/>
          <w:iCs/>
          <w:kern w:val="0"/>
          <w:sz w:val="22"/>
          <w:szCs w:val="22"/>
          <w:lang w:eastAsia="en-GB"/>
          <w14:ligatures w14:val="none"/>
        </w:rPr>
        <w:t>horizon</w:t>
      </w:r>
      <w:r w:rsidRPr="0032251D">
        <w:rPr>
          <w:rFonts w:ascii="Aptos" w:eastAsia="Times New Roman" w:hAnsi="Aptos" w:cs="Times New Roman"/>
          <w:kern w:val="0"/>
          <w:sz w:val="22"/>
          <w:szCs w:val="22"/>
          <w:lang w:eastAsia="en-GB"/>
          <w14:ligatures w14:val="none"/>
        </w:rPr>
        <w:t xml:space="preserve"> (how far out), </w:t>
      </w:r>
      <w:r w:rsidRPr="0032251D">
        <w:rPr>
          <w:rFonts w:ascii="Aptos" w:eastAsia="Times New Roman" w:hAnsi="Aptos" w:cs="Times New Roman"/>
          <w:i/>
          <w:iCs/>
          <w:kern w:val="0"/>
          <w:sz w:val="22"/>
          <w:szCs w:val="22"/>
          <w:lang w:eastAsia="en-GB"/>
          <w14:ligatures w14:val="none"/>
        </w:rPr>
        <w:t>bindingness</w:t>
      </w:r>
      <w:r w:rsidRPr="0032251D">
        <w:rPr>
          <w:rFonts w:ascii="Aptos" w:eastAsia="Times New Roman" w:hAnsi="Aptos" w:cs="Times New Roman"/>
          <w:kern w:val="0"/>
          <w:sz w:val="22"/>
          <w:szCs w:val="22"/>
          <w:lang w:eastAsia="en-GB"/>
          <w14:ligatures w14:val="none"/>
        </w:rPr>
        <w:t xml:space="preserve"> (conditional vs unconditional), </w:t>
      </w:r>
      <w:r w:rsidRPr="0032251D">
        <w:rPr>
          <w:rFonts w:ascii="Aptos" w:eastAsia="Times New Roman" w:hAnsi="Aptos" w:cs="Times New Roman"/>
          <w:i/>
          <w:iCs/>
          <w:kern w:val="0"/>
          <w:sz w:val="22"/>
          <w:szCs w:val="22"/>
          <w:lang w:eastAsia="en-GB"/>
          <w14:ligatures w14:val="none"/>
        </w:rPr>
        <w:t>specificity</w:t>
      </w:r>
      <w:r w:rsidRPr="0032251D">
        <w:rPr>
          <w:rFonts w:ascii="Aptos" w:eastAsia="Times New Roman" w:hAnsi="Aptos" w:cs="Times New Roman"/>
          <w:kern w:val="0"/>
          <w:sz w:val="22"/>
          <w:szCs w:val="22"/>
          <w:lang w:eastAsia="en-GB"/>
          <w14:ligatures w14:val="none"/>
        </w:rPr>
        <w:t xml:space="preserve"> (words vs </w:t>
      </w:r>
      <w:proofErr w:type="gramStart"/>
      <w:r w:rsidRPr="0032251D">
        <w:rPr>
          <w:rFonts w:ascii="Aptos" w:eastAsia="Times New Roman" w:hAnsi="Aptos" w:cs="Times New Roman"/>
          <w:kern w:val="0"/>
          <w:sz w:val="22"/>
          <w:szCs w:val="22"/>
          <w:lang w:eastAsia="en-GB"/>
          <w14:ligatures w14:val="none"/>
        </w:rPr>
        <w:t>numbers</w:t>
      </w:r>
      <w:proofErr w:type="gramEnd"/>
      <w:r w:rsidRPr="0032251D">
        <w:rPr>
          <w:rFonts w:ascii="Aptos" w:eastAsia="Times New Roman" w:hAnsi="Aptos" w:cs="Times New Roman"/>
          <w:kern w:val="0"/>
          <w:sz w:val="22"/>
          <w:szCs w:val="22"/>
          <w:lang w:eastAsia="en-GB"/>
          <w14:ligatures w14:val="none"/>
        </w:rPr>
        <w:t xml:space="preserve"> vs paths), and </w:t>
      </w:r>
      <w:r w:rsidRPr="0032251D">
        <w:rPr>
          <w:rFonts w:ascii="Aptos" w:eastAsia="Times New Roman" w:hAnsi="Aptos" w:cs="Times New Roman"/>
          <w:i/>
          <w:iCs/>
          <w:kern w:val="0"/>
          <w:sz w:val="22"/>
          <w:szCs w:val="22"/>
          <w:lang w:eastAsia="en-GB"/>
          <w14:ligatures w14:val="none"/>
        </w:rPr>
        <w:t>committee unanimity</w:t>
      </w:r>
      <w:r w:rsidRPr="0032251D">
        <w:rPr>
          <w:rFonts w:ascii="Aptos" w:eastAsia="Times New Roman" w:hAnsi="Aptos" w:cs="Times New Roman"/>
          <w:kern w:val="0"/>
          <w:sz w:val="22"/>
          <w:szCs w:val="22"/>
          <w:lang w:eastAsia="en-GB"/>
          <w14:ligatures w14:val="none"/>
        </w:rPr>
        <w:t xml:space="preserve"> (dispersion). These are what an empirical NLP measurement should capture.</w:t>
      </w:r>
    </w:p>
    <w:p w14:paraId="141235E8" w14:textId="77777777" w:rsidR="00743BCA" w:rsidRPr="0032251D" w:rsidRDefault="00743BCA" w:rsidP="00743BCA">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099EEC9">
          <v:rect id="_x0000_i1027" alt="" style="width:451.3pt;height:.05pt;mso-width-percent:0;mso-height-percent:0;mso-width-percent:0;mso-height-percent:0" o:hralign="center" o:hrstd="t" o:hr="t" fillcolor="#a0a0a0" stroked="f"/>
        </w:pict>
      </w:r>
    </w:p>
    <w:p w14:paraId="19AAB2D7"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Why this matters for asset prices</w:t>
      </w:r>
    </w:p>
    <w:p w14:paraId="449BA65D"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Forward guidance moves the </w:t>
      </w:r>
      <w:r w:rsidRPr="0032251D">
        <w:rPr>
          <w:rFonts w:ascii="Aptos" w:eastAsia="Times New Roman" w:hAnsi="Aptos" w:cs="Times New Roman"/>
          <w:i/>
          <w:iCs/>
          <w:kern w:val="0"/>
          <w:sz w:val="22"/>
          <w:szCs w:val="22"/>
          <w:lang w:eastAsia="en-GB"/>
          <w14:ligatures w14:val="none"/>
        </w:rPr>
        <w:t>belly</w:t>
      </w:r>
      <w:r w:rsidRPr="0032251D">
        <w:rPr>
          <w:rFonts w:ascii="Aptos" w:eastAsia="Times New Roman" w:hAnsi="Aptos" w:cs="Times New Roman"/>
          <w:kern w:val="0"/>
          <w:sz w:val="22"/>
          <w:szCs w:val="22"/>
          <w:lang w:eastAsia="en-GB"/>
          <w14:ligatures w14:val="none"/>
        </w:rPr>
        <w:t xml:space="preserve"> of the curve — the </w:t>
      </w:r>
      <w:proofErr w:type="gramStart"/>
      <w:r w:rsidRPr="0032251D">
        <w:rPr>
          <w:rFonts w:ascii="Aptos" w:eastAsia="Times New Roman" w:hAnsi="Aptos" w:cs="Times New Roman"/>
          <w:kern w:val="0"/>
          <w:sz w:val="22"/>
          <w:szCs w:val="22"/>
          <w:lang w:eastAsia="en-GB"/>
          <w14:ligatures w14:val="none"/>
        </w:rPr>
        <w:t>1-5 year</w:t>
      </w:r>
      <w:proofErr w:type="gramEnd"/>
      <w:r w:rsidRPr="0032251D">
        <w:rPr>
          <w:rFonts w:ascii="Aptos" w:eastAsia="Times New Roman" w:hAnsi="Aptos" w:cs="Times New Roman"/>
          <w:kern w:val="0"/>
          <w:sz w:val="22"/>
          <w:szCs w:val="22"/>
          <w:lang w:eastAsia="en-GB"/>
          <w14:ligatures w14:val="none"/>
        </w:rPr>
        <w:t xml:space="preserve"> region where pricing depends most on expected future policy rates. Mechanically: the 2-year yield should equal the average expected policy rate over 24 months plus a small term premium. So a credible commitment to hold rates flat for 24 months mechanically pins the 2-year yield close to the current policy rate, regardless of where data points. This is how guidance compresses long rates without touching the policy rate.</w:t>
      </w:r>
    </w:p>
    <w:p w14:paraId="224A29D5"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Asset price consequences:</w:t>
      </w:r>
    </w:p>
    <w:p w14:paraId="1233A760"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Curve shape.</w:t>
      </w:r>
      <w:r w:rsidRPr="0032251D">
        <w:rPr>
          <w:rFonts w:ascii="Aptos" w:eastAsia="Times New Roman" w:hAnsi="Aptos" w:cs="Times New Roman"/>
          <w:kern w:val="0"/>
          <w:sz w:val="22"/>
          <w:szCs w:val="22"/>
          <w:lang w:eastAsia="en-GB"/>
          <w14:ligatures w14:val="none"/>
        </w:rPr>
        <w:t xml:space="preserve"> Guidance about future rates is the primary determinant of the 2-10 slope. Hawkish guidance (signalling more or longer tightening) flattens; dovish steepens. The slope is therefore a direct read on perceived guidance, even when no explicit numeric guidance exists.</w:t>
      </w:r>
    </w:p>
    <w:p w14:paraId="62A8BCEE"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Volatility compression.</w:t>
      </w:r>
      <w:r w:rsidRPr="0032251D">
        <w:rPr>
          <w:rFonts w:ascii="Aptos" w:eastAsia="Times New Roman" w:hAnsi="Aptos" w:cs="Times New Roman"/>
          <w:kern w:val="0"/>
          <w:sz w:val="22"/>
          <w:szCs w:val="22"/>
          <w:lang w:eastAsia="en-GB"/>
          <w14:ligatures w14:val="none"/>
        </w:rPr>
        <w:t xml:space="preserve"> Clear guidance compresses near-dated rates vol because markets have less to debate. The 2020-2021 period of explicit guidance saw extreme rates vol compression; the 2022 guidance pivot saw vol explode.</w:t>
      </w:r>
    </w:p>
    <w:p w14:paraId="7E64D2FE"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Risk asset support.</w:t>
      </w:r>
      <w:r w:rsidRPr="0032251D">
        <w:rPr>
          <w:rFonts w:ascii="Aptos" w:eastAsia="Times New Roman" w:hAnsi="Aptos" w:cs="Times New Roman"/>
          <w:kern w:val="0"/>
          <w:sz w:val="22"/>
          <w:szCs w:val="22"/>
          <w:lang w:eastAsia="en-GB"/>
          <w14:ligatures w14:val="none"/>
        </w:rPr>
        <w:t xml:space="preserve"> Lower expected long rates support discount rates for long-duration assets. Equity multiples, real estate, infrastructure — all benefit from credible dovish guidance independently of the current rate.</w:t>
      </w:r>
    </w:p>
    <w:p w14:paraId="7CFF66FC"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FX consequences.</w:t>
      </w:r>
      <w:r w:rsidRPr="0032251D">
        <w:rPr>
          <w:rFonts w:ascii="Aptos" w:eastAsia="Times New Roman" w:hAnsi="Aptos" w:cs="Times New Roman"/>
          <w:kern w:val="0"/>
          <w:sz w:val="22"/>
          <w:szCs w:val="22"/>
          <w:lang w:eastAsia="en-GB"/>
          <w14:ligatures w14:val="none"/>
        </w:rPr>
        <w:t xml:space="preserve"> Dovish guidance weakens the currency (lower expected carry); hawkish guidance strengthens. The FX market is particularly attuned to guidance because exchange rates depend on relative future paths, not current spot rate differentials.</w:t>
      </w:r>
    </w:p>
    <w:p w14:paraId="6D1ED68B"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The </w:t>
      </w:r>
      <w:r w:rsidRPr="0032251D">
        <w:rPr>
          <w:rFonts w:ascii="Aptos" w:eastAsia="Times New Roman" w:hAnsi="Aptos" w:cs="Times New Roman"/>
          <w:i/>
          <w:iCs/>
          <w:kern w:val="0"/>
          <w:sz w:val="22"/>
          <w:szCs w:val="22"/>
          <w:lang w:eastAsia="en-GB"/>
          <w14:ligatures w14:val="none"/>
        </w:rPr>
        <w:t>Bauer-Swanson decomposition</w:t>
      </w:r>
      <w:r w:rsidRPr="0032251D">
        <w:rPr>
          <w:rFonts w:ascii="Aptos" w:eastAsia="Times New Roman" w:hAnsi="Aptos" w:cs="Times New Roman"/>
          <w:kern w:val="0"/>
          <w:sz w:val="22"/>
          <w:szCs w:val="22"/>
          <w:lang w:eastAsia="en-GB"/>
          <w14:ligatures w14:val="none"/>
        </w:rPr>
        <w:t xml:space="preserve"> operationalises this: monetary policy surprises split into a target factor (the rate decision itself) and a path factor (the implied future path inferred from guidance). The path factor often has larger effects on longer-dated assets than the target factor. This is why FOMC meetings can move markets violently even when the rate decision is fully expected — the guidance moves the path factor.</w:t>
      </w:r>
    </w:p>
    <w:p w14:paraId="53197C38" w14:textId="77777777" w:rsidR="00743BCA" w:rsidRPr="0032251D" w:rsidRDefault="00743BCA" w:rsidP="00743BCA">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0C6A717C">
          <v:rect id="_x0000_i1028" alt="" style="width:451.3pt;height:.05pt;mso-width-percent:0;mso-height-percent:0;mso-width-percent:0;mso-height-percent:0" o:hralign="center" o:hrstd="t" o:hr="t" fillcolor="#a0a0a0" stroked="f"/>
        </w:pict>
      </w:r>
    </w:p>
    <w:p w14:paraId="13BF5593"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Regime and EM variation</w:t>
      </w:r>
    </w:p>
    <w:p w14:paraId="2E42AB17"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Forward guidance is more challenging in EM for four reasons.</w:t>
      </w:r>
    </w:p>
    <w:p w14:paraId="4EAA5E28"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Credibility deficit.</w:t>
      </w:r>
      <w:r w:rsidRPr="0032251D">
        <w:rPr>
          <w:rFonts w:ascii="Aptos" w:eastAsia="Times New Roman" w:hAnsi="Aptos" w:cs="Times New Roman"/>
          <w:kern w:val="0"/>
          <w:sz w:val="22"/>
          <w:szCs w:val="22"/>
          <w:lang w:eastAsia="en-GB"/>
          <w14:ligatures w14:val="none"/>
        </w:rPr>
        <w:t xml:space="preserve"> EM banks have less credibility than DM banks on average, so guidance is discounted more. The market does not assume the bank will follow through. This is the binding constraint on EM Odyssean guidance — without credibility stock, commitment guidance is just words.</w:t>
      </w:r>
    </w:p>
    <w:p w14:paraId="78EB0556"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Reaction function instability.</w:t>
      </w:r>
      <w:r w:rsidRPr="0032251D">
        <w:rPr>
          <w:rFonts w:ascii="Aptos" w:eastAsia="Times New Roman" w:hAnsi="Aptos" w:cs="Times New Roman"/>
          <w:kern w:val="0"/>
          <w:sz w:val="22"/>
          <w:szCs w:val="22"/>
          <w:lang w:eastAsia="en-GB"/>
          <w14:ligatures w14:val="none"/>
        </w:rPr>
        <w:t xml:space="preserve"> EM reaction functions are more likely to drift (political pressure, fiscal dominance episodes). Guidance presupposes a stable rule. When the rule itself is suspected to be unstable, guidance about future actions is structurally weak.</w:t>
      </w:r>
    </w:p>
    <w:p w14:paraId="6B38A827"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External constraints.</w:t>
      </w:r>
      <w:r w:rsidRPr="0032251D">
        <w:rPr>
          <w:rFonts w:ascii="Aptos" w:eastAsia="Times New Roman" w:hAnsi="Aptos" w:cs="Times New Roman"/>
          <w:kern w:val="0"/>
          <w:sz w:val="22"/>
          <w:szCs w:val="22"/>
          <w:lang w:eastAsia="en-GB"/>
          <w14:ligatures w14:val="none"/>
        </w:rPr>
        <w:t xml:space="preserve"> EM banks respond to global conditions. Guidance about the domestic path conflicts with the bank's actual responsiveness to Fed policy. </w:t>
      </w:r>
      <w:proofErr w:type="gramStart"/>
      <w:r w:rsidRPr="0032251D">
        <w:rPr>
          <w:rFonts w:ascii="Aptos" w:eastAsia="Times New Roman" w:hAnsi="Aptos" w:cs="Times New Roman"/>
          <w:kern w:val="0"/>
          <w:sz w:val="22"/>
          <w:szCs w:val="22"/>
          <w:lang w:eastAsia="en-GB"/>
          <w14:ligatures w14:val="none"/>
        </w:rPr>
        <w:t>So</w:t>
      </w:r>
      <w:proofErr w:type="gramEnd"/>
      <w:r w:rsidRPr="0032251D">
        <w:rPr>
          <w:rFonts w:ascii="Aptos" w:eastAsia="Times New Roman" w:hAnsi="Aptos" w:cs="Times New Roman"/>
          <w:kern w:val="0"/>
          <w:sz w:val="22"/>
          <w:szCs w:val="22"/>
          <w:lang w:eastAsia="en-GB"/>
          <w14:ligatures w14:val="none"/>
        </w:rPr>
        <w:t xml:space="preserve"> EM banks rarely give long-horizon Odyssean guidance — they cannot credibly promise a path that depends on what the Fed does.</w:t>
      </w:r>
    </w:p>
    <w:p w14:paraId="7797E05E"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Communication infrastructure.</w:t>
      </w:r>
      <w:r w:rsidRPr="0032251D">
        <w:rPr>
          <w:rFonts w:ascii="Aptos" w:eastAsia="Times New Roman" w:hAnsi="Aptos" w:cs="Times New Roman"/>
          <w:kern w:val="0"/>
          <w:sz w:val="22"/>
          <w:szCs w:val="22"/>
          <w:lang w:eastAsia="en-GB"/>
          <w14:ligatures w14:val="none"/>
        </w:rPr>
        <w:t xml:space="preserve"> Many EM banks have less developed communication architecture — no dot plots, less frequent press conferences, statements only in local languages, no fan charts. Even when guidance is intended, the technology for transmitting it is thinner.</w:t>
      </w:r>
    </w:p>
    <w:p w14:paraId="18876E43"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For SA specifically: SARB does not publish a dot plot or formal forward guidance. The MPC statement contains qualitative guidance ("the MPC remains data-dependent"; "risks remain to the </w:t>
      </w:r>
      <w:r w:rsidRPr="0032251D">
        <w:rPr>
          <w:rFonts w:ascii="Aptos" w:eastAsia="Times New Roman" w:hAnsi="Aptos" w:cs="Times New Roman"/>
          <w:kern w:val="0"/>
          <w:sz w:val="22"/>
          <w:szCs w:val="22"/>
          <w:lang w:eastAsia="en-GB"/>
          <w14:ligatures w14:val="none"/>
        </w:rPr>
        <w:lastRenderedPageBreak/>
        <w:t>upside") and the Governor's press conference adds tonal guidance. But there is no commitment-based guidance like the Fed offers. SARB guidance is purely Delphic in Campbell et al.'s sense — information about the bank's reading of the economy, not commitment to a path.</w:t>
      </w:r>
    </w:p>
    <w:p w14:paraId="1E9DBA69"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 xml:space="preserve">BCB publishes quarterly inflation reports with explicit policy paths — closer to DM practice. </w:t>
      </w:r>
      <w:proofErr w:type="spellStart"/>
      <w:r w:rsidRPr="0032251D">
        <w:rPr>
          <w:rFonts w:ascii="Aptos" w:eastAsia="Times New Roman" w:hAnsi="Aptos" w:cs="Times New Roman"/>
          <w:kern w:val="0"/>
          <w:sz w:val="22"/>
          <w:szCs w:val="22"/>
          <w:lang w:eastAsia="en-GB"/>
          <w14:ligatures w14:val="none"/>
        </w:rPr>
        <w:t>Banxico</w:t>
      </w:r>
      <w:proofErr w:type="spellEnd"/>
      <w:r w:rsidRPr="0032251D">
        <w:rPr>
          <w:rFonts w:ascii="Aptos" w:eastAsia="Times New Roman" w:hAnsi="Aptos" w:cs="Times New Roman"/>
          <w:kern w:val="0"/>
          <w:sz w:val="22"/>
          <w:szCs w:val="22"/>
          <w:lang w:eastAsia="en-GB"/>
          <w14:ligatures w14:val="none"/>
        </w:rPr>
        <w:t xml:space="preserve"> provides forward-looking statements but no quantitative paths. The DM panel varies: Fed dot plot since 2012, ECB qualitative state-contingent, BoE fan charts, BoJ explicit YCC as a form of price-level guidance, </w:t>
      </w:r>
      <w:proofErr w:type="spellStart"/>
      <w:r w:rsidRPr="0032251D">
        <w:rPr>
          <w:rFonts w:ascii="Aptos" w:eastAsia="Times New Roman" w:hAnsi="Aptos" w:cs="Times New Roman"/>
          <w:kern w:val="0"/>
          <w:sz w:val="22"/>
          <w:szCs w:val="22"/>
          <w:lang w:eastAsia="en-GB"/>
          <w14:ligatures w14:val="none"/>
        </w:rPr>
        <w:t>Riksbank</w:t>
      </w:r>
      <w:proofErr w:type="spellEnd"/>
      <w:r w:rsidRPr="0032251D">
        <w:rPr>
          <w:rFonts w:ascii="Aptos" w:eastAsia="Times New Roman" w:hAnsi="Aptos" w:cs="Times New Roman"/>
          <w:kern w:val="0"/>
          <w:sz w:val="22"/>
          <w:szCs w:val="22"/>
          <w:lang w:eastAsia="en-GB"/>
          <w14:ligatures w14:val="none"/>
        </w:rPr>
        <w:t xml:space="preserve"> explicit repo path projections.</w:t>
      </w:r>
    </w:p>
    <w:p w14:paraId="24051F38" w14:textId="77777777" w:rsidR="00743BCA" w:rsidRPr="0032251D" w:rsidRDefault="00743BCA" w:rsidP="00743BCA">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6A905B11">
          <v:rect id="_x0000_i1029" alt="" style="width:451.3pt;height:.05pt;mso-width-percent:0;mso-height-percent:0;mso-width-percent:0;mso-height-percent:0" o:hralign="center" o:hrstd="t" o:hr="t" fillcolor="#a0a0a0" stroked="f"/>
        </w:pict>
      </w:r>
    </w:p>
    <w:p w14:paraId="738B6F59"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Empirical pitfalls</w:t>
      </w:r>
    </w:p>
    <w:p w14:paraId="473B9887"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Identifying the guidance component.</w:t>
      </w:r>
      <w:r w:rsidRPr="0032251D">
        <w:rPr>
          <w:rFonts w:ascii="Aptos" w:eastAsia="Times New Roman" w:hAnsi="Aptos" w:cs="Times New Roman"/>
          <w:kern w:val="0"/>
          <w:sz w:val="22"/>
          <w:szCs w:val="22"/>
          <w:lang w:eastAsia="en-GB"/>
          <w14:ligatures w14:val="none"/>
        </w:rPr>
        <w:t xml:space="preserve"> Rate decisions and forward guidance often come together. The Bauer-Swanson / GSS approach uses high-frequency identification — yield changes in a 30-minute window around the FOMC decision are decomposed into target and path factors via principal components. But this requires deep, liquid OIS markets. For many EM banks, this identification is structurally impossible — the OIS market does not have enough liquidity to register a clean window response.</w:t>
      </w:r>
    </w:p>
    <w:p w14:paraId="54573BCC"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NLP measurement.</w:t>
      </w:r>
      <w:r w:rsidRPr="0032251D">
        <w:rPr>
          <w:rFonts w:ascii="Aptos" w:eastAsia="Times New Roman" w:hAnsi="Aptos" w:cs="Times New Roman"/>
          <w:kern w:val="0"/>
          <w:sz w:val="22"/>
          <w:szCs w:val="22"/>
          <w:lang w:eastAsia="en-GB"/>
          <w14:ligatures w14:val="none"/>
        </w:rPr>
        <w:t xml:space="preserve"> When there is no explicit numeric guidance, researchers use natural language processing to extract sentiment from statements and press conferences. Tools include LDA topic models, dictionary-based scores (Loughran-McDonald financial sentiment), and increasingly LLM-based extraction. All are noisy and </w:t>
      </w:r>
      <w:proofErr w:type="gramStart"/>
      <w:r w:rsidRPr="0032251D">
        <w:rPr>
          <w:rFonts w:ascii="Aptos" w:eastAsia="Times New Roman" w:hAnsi="Aptos" w:cs="Times New Roman"/>
          <w:kern w:val="0"/>
          <w:sz w:val="22"/>
          <w:szCs w:val="22"/>
          <w:lang w:eastAsia="en-GB"/>
          <w14:ligatures w14:val="none"/>
        </w:rPr>
        <w:t>method-dependent</w:t>
      </w:r>
      <w:proofErr w:type="gramEnd"/>
      <w:r w:rsidRPr="0032251D">
        <w:rPr>
          <w:rFonts w:ascii="Aptos" w:eastAsia="Times New Roman" w:hAnsi="Aptos" w:cs="Times New Roman"/>
          <w:kern w:val="0"/>
          <w:sz w:val="22"/>
          <w:szCs w:val="22"/>
          <w:lang w:eastAsia="en-GB"/>
          <w14:ligatures w14:val="none"/>
        </w:rPr>
        <w:t>. Two studies of the same statement can disagree on whether it was hawkish or dovish.</w:t>
      </w:r>
    </w:p>
    <w:p w14:paraId="319DE943"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Source disagreement.</w:t>
      </w:r>
      <w:r w:rsidRPr="0032251D">
        <w:rPr>
          <w:rFonts w:ascii="Aptos" w:eastAsia="Times New Roman" w:hAnsi="Aptos" w:cs="Times New Roman"/>
          <w:kern w:val="0"/>
          <w:sz w:val="22"/>
          <w:szCs w:val="22"/>
          <w:lang w:eastAsia="en-GB"/>
          <w14:ligatures w14:val="none"/>
        </w:rPr>
        <w:t xml:space="preserve"> When statement, press conference, and dot plot send different signals, which is "guidance"? Markets integrate all </w:t>
      </w:r>
      <w:proofErr w:type="gramStart"/>
      <w:r w:rsidRPr="0032251D">
        <w:rPr>
          <w:rFonts w:ascii="Aptos" w:eastAsia="Times New Roman" w:hAnsi="Aptos" w:cs="Times New Roman"/>
          <w:kern w:val="0"/>
          <w:sz w:val="22"/>
          <w:szCs w:val="22"/>
          <w:lang w:eastAsia="en-GB"/>
          <w14:ligatures w14:val="none"/>
        </w:rPr>
        <w:t>three</w:t>
      </w:r>
      <w:proofErr w:type="gramEnd"/>
      <w:r w:rsidRPr="0032251D">
        <w:rPr>
          <w:rFonts w:ascii="Aptos" w:eastAsia="Times New Roman" w:hAnsi="Aptos" w:cs="Times New Roman"/>
          <w:kern w:val="0"/>
          <w:sz w:val="22"/>
          <w:szCs w:val="22"/>
          <w:lang w:eastAsia="en-GB"/>
          <w14:ligatures w14:val="none"/>
        </w:rPr>
        <w:t xml:space="preserve"> but the empirical decomposition is hard. Some researchers use the press conference because it generates the largest intraday market response; others use the statement because it is the official policy document.</w:t>
      </w:r>
    </w:p>
    <w:p w14:paraId="120A7540"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Credibility variation.</w:t>
      </w:r>
      <w:r w:rsidRPr="0032251D">
        <w:rPr>
          <w:rFonts w:ascii="Aptos" w:eastAsia="Times New Roman" w:hAnsi="Aptos" w:cs="Times New Roman"/>
          <w:kern w:val="0"/>
          <w:sz w:val="22"/>
          <w:szCs w:val="22"/>
          <w:lang w:eastAsia="en-GB"/>
          <w14:ligatures w14:val="none"/>
        </w:rPr>
        <w:t xml:space="preserve"> Guidance has different effects depending on the bank's credibility stock. Estimating average effects across regimes masks regime-dependence. A high-credibility regime episode and a low-credibility regime episode of the same guidance type can produce opposite asset price responses.</w:t>
      </w:r>
    </w:p>
    <w:p w14:paraId="3640DDC9"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Selection bias.</w:t>
      </w:r>
      <w:r w:rsidRPr="0032251D">
        <w:rPr>
          <w:rFonts w:ascii="Aptos" w:eastAsia="Times New Roman" w:hAnsi="Aptos" w:cs="Times New Roman"/>
          <w:kern w:val="0"/>
          <w:sz w:val="22"/>
          <w:szCs w:val="22"/>
          <w:lang w:eastAsia="en-GB"/>
          <w14:ligatures w14:val="none"/>
        </w:rPr>
        <w:t xml:space="preserve"> Banks give explicit guidance when they want to or need to. The episodes when guidance is given are not randomly chosen. The Fed gave heaviest guidance during the ELB period — a regime when its credibility was particularly tested.</w:t>
      </w:r>
    </w:p>
    <w:p w14:paraId="71893112" w14:textId="77777777" w:rsidR="00743BCA" w:rsidRPr="0032251D" w:rsidRDefault="00743BCA" w:rsidP="00743BCA">
      <w:pPr>
        <w:spacing w:after="0" w:line="240" w:lineRule="auto"/>
        <w:rPr>
          <w:rFonts w:ascii="Aptos" w:eastAsia="Times New Roman" w:hAnsi="Aptos" w:cs="Times New Roman"/>
          <w:kern w:val="0"/>
          <w:sz w:val="22"/>
          <w:szCs w:val="22"/>
          <w:lang w:eastAsia="en-GB"/>
          <w14:ligatures w14:val="none"/>
        </w:rPr>
      </w:pPr>
      <w:r>
        <w:rPr>
          <w:rFonts w:ascii="Aptos" w:eastAsia="Times New Roman" w:hAnsi="Aptos" w:cs="Times New Roman"/>
          <w:noProof/>
          <w:kern w:val="0"/>
          <w:sz w:val="22"/>
          <w:szCs w:val="22"/>
          <w:lang w:eastAsia="en-GB"/>
        </w:rPr>
        <w:pict w14:anchorId="3F027DC8">
          <v:rect id="_x0000_i1030" alt="" style="width:451.3pt;height:.05pt;mso-width-percent:0;mso-height-percent:0;mso-width-percent:0;mso-height-percent:0" o:hralign="center" o:hrstd="t" o:hr="t" fillcolor="#a0a0a0" stroked="f"/>
        </w:pict>
      </w:r>
    </w:p>
    <w:p w14:paraId="372C8390"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b/>
          <w:bCs/>
          <w:kern w:val="0"/>
          <w:sz w:val="22"/>
          <w:szCs w:val="22"/>
          <w:lang w:eastAsia="en-GB"/>
          <w14:ligatures w14:val="none"/>
        </w:rPr>
        <w:t>Sub-node: Where dissonance lives</w:t>
      </w:r>
    </w:p>
    <w:p w14:paraId="41C00740"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Within L3c:</w:t>
      </w:r>
    </w:p>
    <w:p w14:paraId="7EE2F737"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lastRenderedPageBreak/>
        <w:t>Intra-node.</w:t>
      </w:r>
      <w:r w:rsidRPr="0032251D">
        <w:rPr>
          <w:rFonts w:ascii="Aptos" w:eastAsia="Times New Roman" w:hAnsi="Aptos" w:cs="Times New Roman"/>
          <w:kern w:val="0"/>
          <w:sz w:val="22"/>
          <w:szCs w:val="22"/>
          <w:lang w:eastAsia="en-GB"/>
          <w14:ligatures w14:val="none"/>
        </w:rPr>
        <w:t xml:space="preserve"> Tone vs content mismatch. NLP-extracted sentiment from statements should agree with explicit projections (dot plot, repo path) and press conference signals. Dissonance fires when:</w:t>
      </w:r>
    </w:p>
    <w:p w14:paraId="6432F86E" w14:textId="77777777" w:rsidR="00743BCA" w:rsidRPr="0032251D" w:rsidRDefault="00743BCA" w:rsidP="00743BCA">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Hawkish statement, dovish presser (the modal case of dot-plot/press-conference divergence)</w:t>
      </w:r>
    </w:p>
    <w:p w14:paraId="1271931E" w14:textId="77777777" w:rsidR="00743BCA" w:rsidRPr="0032251D" w:rsidRDefault="00743BCA" w:rsidP="00743BCA">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Dovish median dot, but wide dot dispersion with hawkish outliers (committee not unanimous)</w:t>
      </w:r>
    </w:p>
    <w:p w14:paraId="2A25A2BE" w14:textId="77777777" w:rsidR="00743BCA" w:rsidRPr="0032251D" w:rsidRDefault="00743BCA" w:rsidP="00743BCA">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Statement says "data-dependent," but Governor's speeches lock in a specific path</w:t>
      </w:r>
    </w:p>
    <w:p w14:paraId="00E11963" w14:textId="77777777" w:rsidR="00743BCA" w:rsidRPr="0032251D" w:rsidRDefault="00743BCA" w:rsidP="00743BCA">
      <w:pPr>
        <w:numPr>
          <w:ilvl w:val="0"/>
          <w:numId w:val="2"/>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kern w:val="0"/>
          <w:sz w:val="22"/>
          <w:szCs w:val="22"/>
          <w:lang w:eastAsia="en-GB"/>
          <w14:ligatures w14:val="none"/>
        </w:rPr>
        <w:t>Outcome-based guidance issued but conditions monitored selectively</w:t>
      </w:r>
    </w:p>
    <w:p w14:paraId="56978D95"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L1 → L3c.</w:t>
      </w:r>
      <w:r w:rsidRPr="0032251D">
        <w:rPr>
          <w:rFonts w:ascii="Aptos" w:eastAsia="Times New Roman" w:hAnsi="Aptos" w:cs="Times New Roman"/>
          <w:kern w:val="0"/>
          <w:sz w:val="22"/>
          <w:szCs w:val="22"/>
          <w:lang w:eastAsia="en-GB"/>
          <w14:ligatures w14:val="none"/>
        </w:rPr>
        <w:t xml:space="preserve"> Rule-implied path vs communicated path. Guidance should reflect the rule given the bank's state forecasts. Dissonance fires when guidance is off-rule — Delphic (the bank's state forecast differs from the rule's implied state) or Odyssean (deliberate commitment to deviate).</w:t>
      </w:r>
    </w:p>
    <w:p w14:paraId="0F1F63D3"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upward, L2 → L3c.</w:t>
      </w:r>
      <w:r w:rsidRPr="0032251D">
        <w:rPr>
          <w:rFonts w:ascii="Aptos" w:eastAsia="Times New Roman" w:hAnsi="Aptos" w:cs="Times New Roman"/>
          <w:kern w:val="0"/>
          <w:sz w:val="22"/>
          <w:szCs w:val="22"/>
          <w:lang w:eastAsia="en-GB"/>
          <w14:ligatures w14:val="none"/>
        </w:rPr>
        <w:t xml:space="preserve"> Odyssean guidance is the commitment device to override the loss function under future state realisations. Dissonance fires when guidance promises a path inconsistent with the bank's underlying loss function — credibility risk on future revisions.</w:t>
      </w:r>
    </w:p>
    <w:p w14:paraId="42455AA9"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L3c → L4a.</w:t>
      </w:r>
      <w:r w:rsidRPr="0032251D">
        <w:rPr>
          <w:rFonts w:ascii="Aptos" w:eastAsia="Times New Roman" w:hAnsi="Aptos" w:cs="Times New Roman"/>
          <w:kern w:val="0"/>
          <w:sz w:val="22"/>
          <w:szCs w:val="22"/>
          <w:lang w:eastAsia="en-GB"/>
          <w14:ligatures w14:val="none"/>
        </w:rPr>
        <w:t xml:space="preserve"> Guidance should move the belly of the curve. Dissonance fires when guidance shifts but the belly does not follow — markets do not believe the guidance.</w:t>
      </w:r>
    </w:p>
    <w:p w14:paraId="79B3EA65"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L3c → L4d (volatility surface).</w:t>
      </w:r>
      <w:r w:rsidRPr="0032251D">
        <w:rPr>
          <w:rFonts w:ascii="Aptos" w:eastAsia="Times New Roman" w:hAnsi="Aptos" w:cs="Times New Roman"/>
          <w:kern w:val="0"/>
          <w:sz w:val="22"/>
          <w:szCs w:val="22"/>
          <w:lang w:eastAsia="en-GB"/>
          <w14:ligatures w14:val="none"/>
        </w:rPr>
        <w:t xml:space="preserve"> Clear guidance compresses near-term rates vol. Dissonance fires when guidance is issued but vol stays elevated — market reads the guidance as uncertain.</w:t>
      </w:r>
    </w:p>
    <w:p w14:paraId="06341F34" w14:textId="77777777" w:rsidR="00743BCA" w:rsidRPr="0032251D" w:rsidRDefault="00743BCA" w:rsidP="00743BCA">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32251D">
        <w:rPr>
          <w:rFonts w:ascii="Aptos" w:eastAsia="Times New Roman" w:hAnsi="Aptos" w:cs="Times New Roman"/>
          <w:i/>
          <w:iCs/>
          <w:kern w:val="0"/>
          <w:sz w:val="22"/>
          <w:szCs w:val="22"/>
          <w:lang w:eastAsia="en-GB"/>
          <w14:ligatures w14:val="none"/>
        </w:rPr>
        <w:t>Vertical downward, L3c → L6 (expectations).</w:t>
      </w:r>
      <w:r w:rsidRPr="0032251D">
        <w:rPr>
          <w:rFonts w:ascii="Aptos" w:eastAsia="Times New Roman" w:hAnsi="Aptos" w:cs="Times New Roman"/>
          <w:kern w:val="0"/>
          <w:sz w:val="22"/>
          <w:szCs w:val="22"/>
          <w:lang w:eastAsia="en-GB"/>
          <w14:ligatures w14:val="none"/>
        </w:rPr>
        <w:t xml:space="preserve"> Direct mapping — guidance is meant to shape expectations. Dissonance fires when stated guidance is not reflected in expectations data — the credibility deficit made operational.</w:t>
      </w:r>
    </w:p>
    <w:p w14:paraId="54067689" w14:textId="189DC0C5" w:rsidR="004B4A76" w:rsidRDefault="00743BCA" w:rsidP="00743BCA">
      <w:r w:rsidRPr="0032251D">
        <w:rPr>
          <w:rFonts w:ascii="Aptos" w:eastAsia="Times New Roman" w:hAnsi="Aptos" w:cs="Times New Roman"/>
          <w:kern w:val="0"/>
          <w:sz w:val="22"/>
          <w:szCs w:val="22"/>
          <w:lang w:eastAsia="en-GB"/>
          <w14:ligatures w14:val="none"/>
        </w:rPr>
        <w:t xml:space="preserve">The L3c node is the bank's </w:t>
      </w:r>
      <w:r w:rsidRPr="0032251D">
        <w:rPr>
          <w:rFonts w:ascii="Aptos" w:eastAsia="Times New Roman" w:hAnsi="Aptos" w:cs="Times New Roman"/>
          <w:i/>
          <w:iCs/>
          <w:kern w:val="0"/>
          <w:sz w:val="22"/>
          <w:szCs w:val="22"/>
          <w:lang w:eastAsia="en-GB"/>
          <w14:ligatures w14:val="none"/>
        </w:rPr>
        <w:t>expectations management instrument</w:t>
      </w:r>
      <w:r w:rsidRPr="0032251D">
        <w:rPr>
          <w:rFonts w:ascii="Aptos" w:eastAsia="Times New Roman" w:hAnsi="Aptos" w:cs="Times New Roman"/>
          <w:kern w:val="0"/>
          <w:sz w:val="22"/>
          <w:szCs w:val="22"/>
          <w:lang w:eastAsia="en-GB"/>
          <w14:ligatures w14:val="none"/>
        </w:rPr>
        <w:t>. Without credibility it does not work; with it, it can substitute for the policy rate and the balance sheet entirely. Dissonance at L3c means the bank is saying one thing while markets price another — a direct, immediate credibility signal that often precedes regime change.</w:t>
      </w:r>
    </w:p>
    <w:sectPr w:rsidR="004B4A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C48"/>
    <w:multiLevelType w:val="multilevel"/>
    <w:tmpl w:val="922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54FE"/>
    <w:multiLevelType w:val="multilevel"/>
    <w:tmpl w:val="B8A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046067">
    <w:abstractNumId w:val="0"/>
  </w:num>
  <w:num w:numId="2" w16cid:durableId="1734766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5C6"/>
    <w:rsid w:val="00236FC6"/>
    <w:rsid w:val="003B1C21"/>
    <w:rsid w:val="004B4A76"/>
    <w:rsid w:val="00743BCA"/>
    <w:rsid w:val="00D80E04"/>
    <w:rsid w:val="00FE3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F5D9"/>
  <w15:chartTrackingRefBased/>
  <w15:docId w15:val="{0D8D5C4B-5308-4841-BC86-A1FB530E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BCA"/>
    <w:rPr>
      <w:lang w:val="en-ZA"/>
    </w:rPr>
  </w:style>
  <w:style w:type="paragraph" w:styleId="Heading1">
    <w:name w:val="heading 1"/>
    <w:basedOn w:val="Normal"/>
    <w:next w:val="Normal"/>
    <w:link w:val="Heading1Char"/>
    <w:uiPriority w:val="9"/>
    <w:qFormat/>
    <w:rsid w:val="00FE3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5C6"/>
    <w:rPr>
      <w:rFonts w:eastAsiaTheme="majorEastAsia" w:cstheme="majorBidi"/>
      <w:color w:val="272727" w:themeColor="text1" w:themeTint="D8"/>
    </w:rPr>
  </w:style>
  <w:style w:type="paragraph" w:styleId="Title">
    <w:name w:val="Title"/>
    <w:basedOn w:val="Normal"/>
    <w:next w:val="Normal"/>
    <w:link w:val="TitleChar"/>
    <w:uiPriority w:val="10"/>
    <w:qFormat/>
    <w:rsid w:val="00FE3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5C6"/>
    <w:pPr>
      <w:spacing w:before="160"/>
      <w:jc w:val="center"/>
    </w:pPr>
    <w:rPr>
      <w:i/>
      <w:iCs/>
      <w:color w:val="404040" w:themeColor="text1" w:themeTint="BF"/>
    </w:rPr>
  </w:style>
  <w:style w:type="character" w:customStyle="1" w:styleId="QuoteChar">
    <w:name w:val="Quote Char"/>
    <w:basedOn w:val="DefaultParagraphFont"/>
    <w:link w:val="Quote"/>
    <w:uiPriority w:val="29"/>
    <w:rsid w:val="00FE35C6"/>
    <w:rPr>
      <w:i/>
      <w:iCs/>
      <w:color w:val="404040" w:themeColor="text1" w:themeTint="BF"/>
    </w:rPr>
  </w:style>
  <w:style w:type="paragraph" w:styleId="ListParagraph">
    <w:name w:val="List Paragraph"/>
    <w:basedOn w:val="Normal"/>
    <w:uiPriority w:val="34"/>
    <w:qFormat/>
    <w:rsid w:val="00FE35C6"/>
    <w:pPr>
      <w:ind w:left="720"/>
      <w:contextualSpacing/>
    </w:pPr>
  </w:style>
  <w:style w:type="character" w:styleId="IntenseEmphasis">
    <w:name w:val="Intense Emphasis"/>
    <w:basedOn w:val="DefaultParagraphFont"/>
    <w:uiPriority w:val="21"/>
    <w:qFormat/>
    <w:rsid w:val="00FE35C6"/>
    <w:rPr>
      <w:i/>
      <w:iCs/>
      <w:color w:val="0F4761" w:themeColor="accent1" w:themeShade="BF"/>
    </w:rPr>
  </w:style>
  <w:style w:type="paragraph" w:styleId="IntenseQuote">
    <w:name w:val="Intense Quote"/>
    <w:basedOn w:val="Normal"/>
    <w:next w:val="Normal"/>
    <w:link w:val="IntenseQuoteChar"/>
    <w:uiPriority w:val="30"/>
    <w:qFormat/>
    <w:rsid w:val="00FE3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5C6"/>
    <w:rPr>
      <w:i/>
      <w:iCs/>
      <w:color w:val="0F4761" w:themeColor="accent1" w:themeShade="BF"/>
    </w:rPr>
  </w:style>
  <w:style w:type="character" w:styleId="IntenseReference">
    <w:name w:val="Intense Reference"/>
    <w:basedOn w:val="DefaultParagraphFont"/>
    <w:uiPriority w:val="32"/>
    <w:qFormat/>
    <w:rsid w:val="00FE35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1952</Words>
  <Characters>10683</Characters>
  <Application>Microsoft Office Word</Application>
  <DocSecurity>0</DocSecurity>
  <Lines>169</Lines>
  <Paragraphs>63</Paragraphs>
  <ScaleCrop>false</ScaleCrop>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2</cp:revision>
  <dcterms:created xsi:type="dcterms:W3CDTF">2026-05-16T09:38:00Z</dcterms:created>
  <dcterms:modified xsi:type="dcterms:W3CDTF">2026-05-16T09:39:00Z</dcterms:modified>
</cp:coreProperties>
</file>