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01709" w14:textId="77777777" w:rsidR="00387169" w:rsidRPr="006735C1" w:rsidRDefault="00387169" w:rsidP="00387169">
      <w:pPr>
        <w:spacing w:before="100" w:beforeAutospacing="1" w:after="100" w:afterAutospacing="1" w:line="240" w:lineRule="auto"/>
        <w:jc w:val="center"/>
        <w:rPr>
          <w:rFonts w:ascii="Aptos" w:eastAsia="Times New Roman" w:hAnsi="Aptos" w:cs="Times New Roman"/>
          <w:b/>
          <w:bCs/>
          <w:kern w:val="0"/>
          <w:sz w:val="28"/>
          <w:szCs w:val="28"/>
          <w:lang w:eastAsia="en-GB"/>
          <w14:ligatures w14:val="none"/>
        </w:rPr>
      </w:pPr>
      <w:r>
        <w:rPr>
          <w:rFonts w:ascii="Aptos" w:eastAsia="Times New Roman" w:hAnsi="Aptos" w:cs="Times New Roman"/>
          <w:b/>
          <w:bCs/>
          <w:kern w:val="0"/>
          <w:sz w:val="28"/>
          <w:szCs w:val="28"/>
          <w:lang w:eastAsia="en-GB"/>
          <w14:ligatures w14:val="none"/>
        </w:rPr>
        <w:t>Theory</w:t>
      </w:r>
    </w:p>
    <w:p w14:paraId="5940A5C9"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b/>
          <w:bCs/>
          <w:kern w:val="0"/>
          <w:sz w:val="22"/>
          <w:szCs w:val="22"/>
          <w:lang w:eastAsia="en-GB"/>
          <w14:ligatures w14:val="none"/>
        </w:rPr>
        <w:t>Level 3a — The Policy Rate</w:t>
      </w:r>
    </w:p>
    <w:p w14:paraId="2024F10E" w14:textId="77777777" w:rsidR="00387169" w:rsidRPr="00B8458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Definition.</w:t>
      </w:r>
      <w:r w:rsidRPr="001F2E56">
        <w:rPr>
          <w:rFonts w:ascii="Aptos" w:eastAsia="Times New Roman" w:hAnsi="Aptos" w:cs="Times New Roman"/>
          <w:kern w:val="0"/>
          <w:sz w:val="22"/>
          <w:szCs w:val="22"/>
          <w:lang w:eastAsia="en-GB"/>
          <w14:ligatures w14:val="none"/>
        </w:rPr>
        <w:t xml:space="preserve"> The policy rate is the interest rate the central bank charges or pays on overnight funds between itself and the banking system. It is the single price the bank directly controls. In the US, it is the federal funds target range. In SA, the repo rate. In the eurozone, the deposit facility rate. In Brazil, SELIC. The mechanism: the bank is the monopoly supplier of bank reserves, and by controlling the price (or quantity) of reserves it controls the marginal cost of bank funding. The policy rate is therefore not just a number — it is the price of liquidity in the banking system.</w:t>
      </w:r>
    </w:p>
    <w:p w14:paraId="4440622E"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b/>
          <w:bCs/>
          <w:kern w:val="0"/>
          <w:sz w:val="22"/>
          <w:szCs w:val="22"/>
          <w:lang w:eastAsia="en-GB"/>
          <w14:ligatures w14:val="none"/>
        </w:rPr>
        <w:t>Sub-node: Theory</w:t>
      </w:r>
    </w:p>
    <w:p w14:paraId="75034C1C"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Three foundations sit underneath the policy rate as the dominant monetary instrument.</w:t>
      </w:r>
    </w:p>
    <w:p w14:paraId="1A8BC05D"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1F2E56">
        <w:rPr>
          <w:rFonts w:ascii="Aptos" w:eastAsia="Times New Roman" w:hAnsi="Aptos" w:cs="Times New Roman"/>
          <w:i/>
          <w:iCs/>
          <w:kern w:val="0"/>
          <w:sz w:val="22"/>
          <w:szCs w:val="22"/>
          <w:lang w:eastAsia="en-GB"/>
          <w14:ligatures w14:val="none"/>
        </w:rPr>
        <w:t>Wicksellian</w:t>
      </w:r>
      <w:proofErr w:type="spellEnd"/>
      <w:r w:rsidRPr="001F2E56">
        <w:rPr>
          <w:rFonts w:ascii="Aptos" w:eastAsia="Times New Roman" w:hAnsi="Aptos" w:cs="Times New Roman"/>
          <w:i/>
          <w:iCs/>
          <w:kern w:val="0"/>
          <w:sz w:val="22"/>
          <w:szCs w:val="22"/>
          <w:lang w:eastAsia="en-GB"/>
          <w14:ligatures w14:val="none"/>
        </w:rPr>
        <w:t xml:space="preserve"> rate-setting.</w:t>
      </w:r>
      <w:r w:rsidRPr="001F2E56">
        <w:rPr>
          <w:rFonts w:ascii="Aptos" w:eastAsia="Times New Roman" w:hAnsi="Aptos" w:cs="Times New Roman"/>
          <w:kern w:val="0"/>
          <w:sz w:val="22"/>
          <w:szCs w:val="22"/>
          <w:lang w:eastAsia="en-GB"/>
          <w14:ligatures w14:val="none"/>
        </w:rPr>
        <w:t xml:space="preserve"> Wicksell distinguished the "natural rate" — the equilibrium rate consistent with stable inflation and full employment — from the "market rate" — what the bank </w:t>
      </w:r>
      <w:proofErr w:type="gramStart"/>
      <w:r w:rsidRPr="001F2E56">
        <w:rPr>
          <w:rFonts w:ascii="Aptos" w:eastAsia="Times New Roman" w:hAnsi="Aptos" w:cs="Times New Roman"/>
          <w:kern w:val="0"/>
          <w:sz w:val="22"/>
          <w:szCs w:val="22"/>
          <w:lang w:eastAsia="en-GB"/>
          <w14:ligatures w14:val="none"/>
        </w:rPr>
        <w:t>actually sets</w:t>
      </w:r>
      <w:proofErr w:type="gramEnd"/>
      <w:r w:rsidRPr="001F2E56">
        <w:rPr>
          <w:rFonts w:ascii="Aptos" w:eastAsia="Times New Roman" w:hAnsi="Aptos" w:cs="Times New Roman"/>
          <w:kern w:val="0"/>
          <w:sz w:val="22"/>
          <w:szCs w:val="22"/>
          <w:lang w:eastAsia="en-GB"/>
          <w14:ligatures w14:val="none"/>
        </w:rPr>
        <w:t xml:space="preserve">. When the market rate sits below the natural rate, inflation accelerates; above it, inflation decelerates. The bank's job is to set the market rate near the natural rate. Modern central banking is structurally </w:t>
      </w:r>
      <w:proofErr w:type="spellStart"/>
      <w:r w:rsidRPr="001F2E56">
        <w:rPr>
          <w:rFonts w:ascii="Aptos" w:eastAsia="Times New Roman" w:hAnsi="Aptos" w:cs="Times New Roman"/>
          <w:kern w:val="0"/>
          <w:sz w:val="22"/>
          <w:szCs w:val="22"/>
          <w:lang w:eastAsia="en-GB"/>
          <w14:ligatures w14:val="none"/>
        </w:rPr>
        <w:t>Wicksellian</w:t>
      </w:r>
      <w:proofErr w:type="spellEnd"/>
      <w:r w:rsidRPr="001F2E56">
        <w:rPr>
          <w:rFonts w:ascii="Aptos" w:eastAsia="Times New Roman" w:hAnsi="Aptos" w:cs="Times New Roman"/>
          <w:kern w:val="0"/>
          <w:sz w:val="22"/>
          <w:szCs w:val="22"/>
          <w:lang w:eastAsia="en-GB"/>
          <w14:ligatures w14:val="none"/>
        </w:rPr>
        <w:t>: the bank does not target money quantities; it sets the price of money and lets equilibrium adjust.</w:t>
      </w:r>
    </w:p>
    <w:p w14:paraId="7E5F82BA"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The expectations hypothesis.</w:t>
      </w:r>
      <w:r w:rsidRPr="001F2E56">
        <w:rPr>
          <w:rFonts w:ascii="Aptos" w:eastAsia="Times New Roman" w:hAnsi="Aptos" w:cs="Times New Roman"/>
          <w:kern w:val="0"/>
          <w:sz w:val="22"/>
          <w:szCs w:val="22"/>
          <w:lang w:eastAsia="en-GB"/>
          <w14:ligatures w14:val="none"/>
        </w:rPr>
        <w:t xml:space="preserve"> Long rates are weighted averages of expected future short rates plus a term premium. </w:t>
      </w:r>
      <w:proofErr w:type="gramStart"/>
      <w:r w:rsidRPr="001F2E56">
        <w:rPr>
          <w:rFonts w:ascii="Aptos" w:eastAsia="Times New Roman" w:hAnsi="Aptos" w:cs="Times New Roman"/>
          <w:kern w:val="0"/>
          <w:sz w:val="22"/>
          <w:szCs w:val="22"/>
          <w:lang w:eastAsia="en-GB"/>
          <w14:ligatures w14:val="none"/>
        </w:rPr>
        <w:t>So</w:t>
      </w:r>
      <w:proofErr w:type="gramEnd"/>
      <w:r w:rsidRPr="001F2E56">
        <w:rPr>
          <w:rFonts w:ascii="Aptos" w:eastAsia="Times New Roman" w:hAnsi="Aptos" w:cs="Times New Roman"/>
          <w:kern w:val="0"/>
          <w:sz w:val="22"/>
          <w:szCs w:val="22"/>
          <w:lang w:eastAsia="en-GB"/>
          <w14:ligatures w14:val="none"/>
        </w:rPr>
        <w:t xml:space="preserve"> a single overnight rate, properly communicated about its future path, transmits across the entire yield curve. Woodford (2003) showed in a New Keynesian framework that what matters for output and inflation is the </w:t>
      </w:r>
      <w:r w:rsidRPr="001F2E56">
        <w:rPr>
          <w:rFonts w:ascii="Aptos" w:eastAsia="Times New Roman" w:hAnsi="Aptos" w:cs="Times New Roman"/>
          <w:i/>
          <w:iCs/>
          <w:kern w:val="0"/>
          <w:sz w:val="22"/>
          <w:szCs w:val="22"/>
          <w:lang w:eastAsia="en-GB"/>
          <w14:ligatures w14:val="none"/>
        </w:rPr>
        <w:t>expected path</w:t>
      </w:r>
      <w:r w:rsidRPr="001F2E56">
        <w:rPr>
          <w:rFonts w:ascii="Aptos" w:eastAsia="Times New Roman" w:hAnsi="Aptos" w:cs="Times New Roman"/>
          <w:kern w:val="0"/>
          <w:sz w:val="22"/>
          <w:szCs w:val="22"/>
          <w:lang w:eastAsia="en-GB"/>
          <w14:ligatures w14:val="none"/>
        </w:rPr>
        <w:t xml:space="preserve"> of real short rates, not the level today. The bank does not need a tool for every maturity — one short rate plus credible communication about the path suffices.</w:t>
      </w:r>
    </w:p>
    <w:p w14:paraId="31271CB2"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Price-targeting vs quantity-targeting.</w:t>
      </w:r>
      <w:r w:rsidRPr="001F2E56">
        <w:rPr>
          <w:rFonts w:ascii="Aptos" w:eastAsia="Times New Roman" w:hAnsi="Aptos" w:cs="Times New Roman"/>
          <w:kern w:val="0"/>
          <w:sz w:val="22"/>
          <w:szCs w:val="22"/>
          <w:lang w:eastAsia="en-GB"/>
          <w14:ligatures w14:val="none"/>
        </w:rPr>
        <w:t xml:space="preserve"> Pre-1980s many central banks targeted money aggregates (M1, M2). The Volcker Fed shifted explicitly to a price target. The reason: financial innovation made the money-demand relation unstable, breaking the money-multiplier link. Price targeting is also more transparent and more accountable — markets can see what the bank is doing in real time.</w:t>
      </w:r>
    </w:p>
    <w:p w14:paraId="4484ADB5" w14:textId="77777777" w:rsidR="00387169" w:rsidRPr="001F2E56" w:rsidRDefault="00387169" w:rsidP="00387169">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68F6F78A">
          <v:rect id="_x0000_i1025" alt="" style="width:451.3pt;height:.05pt;mso-width-percent:0;mso-height-percent:0;mso-width-percent:0;mso-height-percent:0" o:hralign="center" o:hrstd="t" o:hr="t" fillcolor="#a0a0a0" stroked="f"/>
        </w:pict>
      </w:r>
    </w:p>
    <w:p w14:paraId="3108D8D0"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b/>
          <w:bCs/>
          <w:kern w:val="0"/>
          <w:sz w:val="22"/>
          <w:szCs w:val="22"/>
          <w:lang w:eastAsia="en-GB"/>
          <w14:ligatures w14:val="none"/>
        </w:rPr>
        <w:t>Sub-node: Canonical specifications and parameters</w:t>
      </w:r>
    </w:p>
    <w:p w14:paraId="3B727828"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 xml:space="preserve">The policy rate is implemented operationally through a </w:t>
      </w:r>
      <w:r w:rsidRPr="001F2E56">
        <w:rPr>
          <w:rFonts w:ascii="Aptos" w:eastAsia="Times New Roman" w:hAnsi="Aptos" w:cs="Times New Roman"/>
          <w:i/>
          <w:iCs/>
          <w:kern w:val="0"/>
          <w:sz w:val="22"/>
          <w:szCs w:val="22"/>
          <w:lang w:eastAsia="en-GB"/>
          <w14:ligatures w14:val="none"/>
        </w:rPr>
        <w:t>corridor system</w:t>
      </w:r>
      <w:r w:rsidRPr="001F2E56">
        <w:rPr>
          <w:rFonts w:ascii="Aptos" w:eastAsia="Times New Roman" w:hAnsi="Aptos" w:cs="Times New Roman"/>
          <w:kern w:val="0"/>
          <w:sz w:val="22"/>
          <w:szCs w:val="22"/>
          <w:lang w:eastAsia="en-GB"/>
          <w14:ligatures w14:val="none"/>
        </w:rPr>
        <w:t>. Three rates define the corridor:</w:t>
      </w:r>
    </w:p>
    <w:p w14:paraId="31787325"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Floor:</w:t>
      </w:r>
      <w:r w:rsidRPr="001F2E56">
        <w:rPr>
          <w:rFonts w:ascii="Aptos" w:eastAsia="Times New Roman" w:hAnsi="Aptos" w:cs="Times New Roman"/>
          <w:kern w:val="0"/>
          <w:sz w:val="22"/>
          <w:szCs w:val="22"/>
          <w:lang w:eastAsia="en-GB"/>
          <w14:ligatures w14:val="none"/>
        </w:rPr>
        <w:t xml:space="preserve"> interest paid on reserves (Fed IORB, ECB deposit facility rate, SARB lower standing facility). Banks will not lend reserves below this; it is the lowest rate in the system.</w:t>
      </w:r>
    </w:p>
    <w:p w14:paraId="74E61965"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Mid (or target):</w:t>
      </w:r>
      <w:r w:rsidRPr="001F2E56">
        <w:rPr>
          <w:rFonts w:ascii="Aptos" w:eastAsia="Times New Roman" w:hAnsi="Aptos" w:cs="Times New Roman"/>
          <w:kern w:val="0"/>
          <w:sz w:val="22"/>
          <w:szCs w:val="22"/>
          <w:lang w:eastAsia="en-GB"/>
          <w14:ligatures w14:val="none"/>
        </w:rPr>
        <w:t xml:space="preserve"> the announced policy rate. In normal times, the rate at which interbank lending clears.</w:t>
      </w:r>
    </w:p>
    <w:p w14:paraId="3A69386B"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lastRenderedPageBreak/>
        <w:t>Ceiling:</w:t>
      </w:r>
      <w:r w:rsidRPr="001F2E56">
        <w:rPr>
          <w:rFonts w:ascii="Aptos" w:eastAsia="Times New Roman" w:hAnsi="Aptos" w:cs="Times New Roman"/>
          <w:kern w:val="0"/>
          <w:sz w:val="22"/>
          <w:szCs w:val="22"/>
          <w:lang w:eastAsia="en-GB"/>
          <w14:ligatures w14:val="none"/>
        </w:rPr>
        <w:t xml:space="preserve"> the discount window or standing lending facility. Banks will not pay more than this for overnight liquidity.</w:t>
      </w:r>
    </w:p>
    <w:p w14:paraId="71A63D1B"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The corridor width matters operationally. A narrow corridor pins overnight market rates tightly to the target. A wide corridor lets effective rates drift within the band. SARB runs a ±50bp corridor; the Fed effectively runs a near-zero corridor in the post-2008 ample-reserves regime, with IORB and ON-RRP pinning the range.</w:t>
      </w:r>
    </w:p>
    <w:p w14:paraId="118325A7"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 xml:space="preserve">There are two operational regimes. Pre-2008, banks ran </w:t>
      </w:r>
      <w:r w:rsidRPr="001F2E56">
        <w:rPr>
          <w:rFonts w:ascii="Aptos" w:eastAsia="Times New Roman" w:hAnsi="Aptos" w:cs="Times New Roman"/>
          <w:i/>
          <w:iCs/>
          <w:kern w:val="0"/>
          <w:sz w:val="22"/>
          <w:szCs w:val="22"/>
          <w:lang w:eastAsia="en-GB"/>
          <w14:ligatures w14:val="none"/>
        </w:rPr>
        <w:t>scarce-reserves</w:t>
      </w:r>
      <w:r w:rsidRPr="001F2E56">
        <w:rPr>
          <w:rFonts w:ascii="Aptos" w:eastAsia="Times New Roman" w:hAnsi="Aptos" w:cs="Times New Roman"/>
          <w:kern w:val="0"/>
          <w:sz w:val="22"/>
          <w:szCs w:val="22"/>
          <w:lang w:eastAsia="en-GB"/>
          <w14:ligatures w14:val="none"/>
        </w:rPr>
        <w:t xml:space="preserve"> systems where reserves were a binding constraint; the bank set the price by adjusting reserve quantities through open market operations. Post-2008, </w:t>
      </w:r>
      <w:r w:rsidRPr="001F2E56">
        <w:rPr>
          <w:rFonts w:ascii="Aptos" w:eastAsia="Times New Roman" w:hAnsi="Aptos" w:cs="Times New Roman"/>
          <w:i/>
          <w:iCs/>
          <w:kern w:val="0"/>
          <w:sz w:val="22"/>
          <w:szCs w:val="22"/>
          <w:lang w:eastAsia="en-GB"/>
          <w14:ligatures w14:val="none"/>
        </w:rPr>
        <w:t>abundant-reserves</w:t>
      </w:r>
      <w:r w:rsidRPr="001F2E56">
        <w:rPr>
          <w:rFonts w:ascii="Aptos" w:eastAsia="Times New Roman" w:hAnsi="Aptos" w:cs="Times New Roman"/>
          <w:kern w:val="0"/>
          <w:sz w:val="22"/>
          <w:szCs w:val="22"/>
          <w:lang w:eastAsia="en-GB"/>
          <w14:ligatures w14:val="none"/>
        </w:rPr>
        <w:t xml:space="preserve"> systems mean reserves are no longer scarce; the policy rate is set by the rate paid on reserves directly. Most DM banks now run abundant-reserves systems; many EM banks remain in scarce-reserves regimes.</w:t>
      </w:r>
    </w:p>
    <w:p w14:paraId="6F48406C"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 xml:space="preserve">The other key parameter </w:t>
      </w:r>
      <w:proofErr w:type="gramStart"/>
      <w:r w:rsidRPr="001F2E56">
        <w:rPr>
          <w:rFonts w:ascii="Aptos" w:eastAsia="Times New Roman" w:hAnsi="Aptos" w:cs="Times New Roman"/>
          <w:kern w:val="0"/>
          <w:sz w:val="22"/>
          <w:szCs w:val="22"/>
          <w:lang w:eastAsia="en-GB"/>
          <w14:ligatures w14:val="none"/>
        </w:rPr>
        <w:t>set:</w:t>
      </w:r>
      <w:proofErr w:type="gramEnd"/>
      <w:r w:rsidRPr="001F2E56">
        <w:rPr>
          <w:rFonts w:ascii="Aptos" w:eastAsia="Times New Roman" w:hAnsi="Aptos" w:cs="Times New Roman"/>
          <w:kern w:val="0"/>
          <w:sz w:val="22"/>
          <w:szCs w:val="22"/>
          <w:lang w:eastAsia="en-GB"/>
          <w14:ligatures w14:val="none"/>
        </w:rPr>
        <w:t xml:space="preserve"> </w:t>
      </w:r>
      <w:r w:rsidRPr="001F2E56">
        <w:rPr>
          <w:rFonts w:ascii="Aptos" w:eastAsia="Times New Roman" w:hAnsi="Aptos" w:cs="Times New Roman"/>
          <w:i/>
          <w:iCs/>
          <w:kern w:val="0"/>
          <w:sz w:val="22"/>
          <w:szCs w:val="22"/>
          <w:lang w:eastAsia="en-GB"/>
          <w14:ligatures w14:val="none"/>
        </w:rPr>
        <w:t>pass-through coefficients.</w:t>
      </w:r>
      <w:r w:rsidRPr="001F2E56">
        <w:rPr>
          <w:rFonts w:ascii="Aptos" w:eastAsia="Times New Roman" w:hAnsi="Aptos" w:cs="Times New Roman"/>
          <w:kern w:val="0"/>
          <w:sz w:val="22"/>
          <w:szCs w:val="22"/>
          <w:lang w:eastAsia="en-GB"/>
          <w14:ligatures w14:val="none"/>
        </w:rPr>
        <w:t xml:space="preserve"> How much of a policy rate move passes through to interbank rates, deposit rates (the "deposit beta"), and lending rates. Pass-through is the empirical bridge between the policy rate and what borrowers and savers </w:t>
      </w:r>
      <w:proofErr w:type="gramStart"/>
      <w:r w:rsidRPr="001F2E56">
        <w:rPr>
          <w:rFonts w:ascii="Aptos" w:eastAsia="Times New Roman" w:hAnsi="Aptos" w:cs="Times New Roman"/>
          <w:kern w:val="0"/>
          <w:sz w:val="22"/>
          <w:szCs w:val="22"/>
          <w:lang w:eastAsia="en-GB"/>
          <w14:ligatures w14:val="none"/>
        </w:rPr>
        <w:t>actually face</w:t>
      </w:r>
      <w:proofErr w:type="gramEnd"/>
      <w:r w:rsidRPr="001F2E56">
        <w:rPr>
          <w:rFonts w:ascii="Aptos" w:eastAsia="Times New Roman" w:hAnsi="Aptos" w:cs="Times New Roman"/>
          <w:kern w:val="0"/>
          <w:sz w:val="22"/>
          <w:szCs w:val="22"/>
          <w:lang w:eastAsia="en-GB"/>
          <w14:ligatures w14:val="none"/>
        </w:rPr>
        <w:t>. It varies across banks, loan types, and cycles.</w:t>
      </w:r>
    </w:p>
    <w:p w14:paraId="41DC5763" w14:textId="77777777" w:rsidR="00387169" w:rsidRPr="001F2E56" w:rsidRDefault="00387169" w:rsidP="00387169">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65834A17">
          <v:rect id="_x0000_i1026" alt="" style="width:451.3pt;height:.05pt;mso-width-percent:0;mso-height-percent:0;mso-width-percent:0;mso-height-percent:0" o:hralign="center" o:hrstd="t" o:hr="t" fillcolor="#a0a0a0" stroked="f"/>
        </w:pict>
      </w:r>
    </w:p>
    <w:p w14:paraId="3D113706"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b/>
          <w:bCs/>
          <w:kern w:val="0"/>
          <w:sz w:val="22"/>
          <w:szCs w:val="22"/>
          <w:lang w:eastAsia="en-GB"/>
          <w14:ligatures w14:val="none"/>
        </w:rPr>
        <w:t>Sub-node: Why this matters for asset prices</w:t>
      </w:r>
    </w:p>
    <w:p w14:paraId="5878B4A6"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The policy rate is the foundation of every other interest rate, hence every other asset price. The transmission has two distinct channels.</w:t>
      </w:r>
    </w:p>
    <w:p w14:paraId="29B72B7C"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The mechanical channel — front end.</w:t>
      </w:r>
      <w:r w:rsidRPr="001F2E56">
        <w:rPr>
          <w:rFonts w:ascii="Aptos" w:eastAsia="Times New Roman" w:hAnsi="Aptos" w:cs="Times New Roman"/>
          <w:kern w:val="0"/>
          <w:sz w:val="22"/>
          <w:szCs w:val="22"/>
          <w:lang w:eastAsia="en-GB"/>
          <w14:ligatures w14:val="none"/>
        </w:rPr>
        <w:t xml:space="preserve"> The policy rate pins the very short end of the curve directly. A 25bp move re-prices 1-month, 3-month, 6-month rates almost instantly. This is automatic, fast, and effectively guaranteed if the corridor is functioning.</w:t>
      </w:r>
    </w:p>
    <w:p w14:paraId="730BEC17"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The expectations channel — the rest of the curve.</w:t>
      </w:r>
      <w:r w:rsidRPr="001F2E56">
        <w:rPr>
          <w:rFonts w:ascii="Aptos" w:eastAsia="Times New Roman" w:hAnsi="Aptos" w:cs="Times New Roman"/>
          <w:kern w:val="0"/>
          <w:sz w:val="22"/>
          <w:szCs w:val="22"/>
          <w:lang w:eastAsia="en-GB"/>
          <w14:ligatures w14:val="none"/>
        </w:rPr>
        <w:t xml:space="preserve"> The 2-year, 5-year, 10-year rates are weighted averages of expected future policy rates plus term premia. Markets infer the future path from the current decision plus communication. </w:t>
      </w:r>
      <w:proofErr w:type="gramStart"/>
      <w:r w:rsidRPr="001F2E56">
        <w:rPr>
          <w:rFonts w:ascii="Aptos" w:eastAsia="Times New Roman" w:hAnsi="Aptos" w:cs="Times New Roman"/>
          <w:kern w:val="0"/>
          <w:sz w:val="22"/>
          <w:szCs w:val="22"/>
          <w:lang w:eastAsia="en-GB"/>
          <w14:ligatures w14:val="none"/>
        </w:rPr>
        <w:t>So</w:t>
      </w:r>
      <w:proofErr w:type="gramEnd"/>
      <w:r w:rsidRPr="001F2E56">
        <w:rPr>
          <w:rFonts w:ascii="Aptos" w:eastAsia="Times New Roman" w:hAnsi="Aptos" w:cs="Times New Roman"/>
          <w:kern w:val="0"/>
          <w:sz w:val="22"/>
          <w:szCs w:val="22"/>
          <w:lang w:eastAsia="en-GB"/>
          <w14:ligatures w14:val="none"/>
        </w:rPr>
        <w:t xml:space="preserve"> a 25bp move at the front end is partly a level move and partly a </w:t>
      </w:r>
      <w:r w:rsidRPr="001F2E56">
        <w:rPr>
          <w:rFonts w:ascii="Aptos" w:eastAsia="Times New Roman" w:hAnsi="Aptos" w:cs="Times New Roman"/>
          <w:i/>
          <w:iCs/>
          <w:kern w:val="0"/>
          <w:sz w:val="22"/>
          <w:szCs w:val="22"/>
          <w:lang w:eastAsia="en-GB"/>
          <w14:ligatures w14:val="none"/>
        </w:rPr>
        <w:t>signal</w:t>
      </w:r>
      <w:r w:rsidRPr="001F2E56">
        <w:rPr>
          <w:rFonts w:ascii="Aptos" w:eastAsia="Times New Roman" w:hAnsi="Aptos" w:cs="Times New Roman"/>
          <w:kern w:val="0"/>
          <w:sz w:val="22"/>
          <w:szCs w:val="22"/>
          <w:lang w:eastAsia="en-GB"/>
          <w14:ligatures w14:val="none"/>
        </w:rPr>
        <w:t xml:space="preserve"> about the path ahead. The signal often does more work than the level — a hawkish hike (signalling more hikes) lifts the long end more than a dovish hike (signalling we are nearly done).</w:t>
      </w:r>
    </w:p>
    <w:p w14:paraId="2B6D2977"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This is why the same nominal rate decision can have very different asset-price consequences depending on its communication. The mechanical effect is the level; the consequential effect is the path.</w:t>
      </w:r>
    </w:p>
    <w:p w14:paraId="15DC7E7E"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 xml:space="preserve">For EM specifically there is a third channel: </w:t>
      </w:r>
      <w:r w:rsidRPr="001F2E56">
        <w:rPr>
          <w:rFonts w:ascii="Aptos" w:eastAsia="Times New Roman" w:hAnsi="Aptos" w:cs="Times New Roman"/>
          <w:i/>
          <w:iCs/>
          <w:kern w:val="0"/>
          <w:sz w:val="22"/>
          <w:szCs w:val="22"/>
          <w:lang w:eastAsia="en-GB"/>
          <w14:ligatures w14:val="none"/>
        </w:rPr>
        <w:t>the FX/carry channel.</w:t>
      </w:r>
      <w:r w:rsidRPr="001F2E56">
        <w:rPr>
          <w:rFonts w:ascii="Aptos" w:eastAsia="Times New Roman" w:hAnsi="Aptos" w:cs="Times New Roman"/>
          <w:kern w:val="0"/>
          <w:sz w:val="22"/>
          <w:szCs w:val="22"/>
          <w:lang w:eastAsia="en-GB"/>
          <w14:ligatures w14:val="none"/>
        </w:rPr>
        <w:t xml:space="preserve"> Higher rates attract foreign capital seeking yield, strengthening the currency and easing inflation pressure independently of domestic demand. </w:t>
      </w:r>
      <w:proofErr w:type="gramStart"/>
      <w:r w:rsidRPr="001F2E56">
        <w:rPr>
          <w:rFonts w:ascii="Aptos" w:eastAsia="Times New Roman" w:hAnsi="Aptos" w:cs="Times New Roman"/>
          <w:kern w:val="0"/>
          <w:sz w:val="22"/>
          <w:szCs w:val="22"/>
          <w:lang w:eastAsia="en-GB"/>
          <w14:ligatures w14:val="none"/>
        </w:rPr>
        <w:t>So</w:t>
      </w:r>
      <w:proofErr w:type="gramEnd"/>
      <w:r w:rsidRPr="001F2E56">
        <w:rPr>
          <w:rFonts w:ascii="Aptos" w:eastAsia="Times New Roman" w:hAnsi="Aptos" w:cs="Times New Roman"/>
          <w:kern w:val="0"/>
          <w:sz w:val="22"/>
          <w:szCs w:val="22"/>
          <w:lang w:eastAsia="en-GB"/>
          <w14:ligatures w14:val="none"/>
        </w:rPr>
        <w:t xml:space="preserve"> in EM the policy rate is both a domestic-transmission tool and an FX tool, even when not framed as such.</w:t>
      </w:r>
    </w:p>
    <w:p w14:paraId="46ED6D75" w14:textId="77777777" w:rsidR="00387169" w:rsidRPr="001F2E56" w:rsidRDefault="00387169" w:rsidP="00387169">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78BE2FD7">
          <v:rect id="_x0000_i1027" alt="" style="width:451.3pt;height:.05pt;mso-width-percent:0;mso-height-percent:0;mso-width-percent:0;mso-height-percent:0" o:hralign="center" o:hrstd="t" o:hr="t" fillcolor="#a0a0a0" stroked="f"/>
        </w:pict>
      </w:r>
    </w:p>
    <w:p w14:paraId="1D8CF880"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b/>
          <w:bCs/>
          <w:kern w:val="0"/>
          <w:sz w:val="22"/>
          <w:szCs w:val="22"/>
          <w:lang w:eastAsia="en-GB"/>
          <w14:ligatures w14:val="none"/>
        </w:rPr>
        <w:lastRenderedPageBreak/>
        <w:t>Sub-node: Regime and EM variation</w:t>
      </w:r>
    </w:p>
    <w:p w14:paraId="4425F58E"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Three differences worth flagging across the panel.</w:t>
      </w:r>
    </w:p>
    <w:p w14:paraId="7F4A251E"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Corridor structure.</w:t>
      </w:r>
      <w:r w:rsidRPr="001F2E56">
        <w:rPr>
          <w:rFonts w:ascii="Aptos" w:eastAsia="Times New Roman" w:hAnsi="Aptos" w:cs="Times New Roman"/>
          <w:kern w:val="0"/>
          <w:sz w:val="22"/>
          <w:szCs w:val="22"/>
          <w:lang w:eastAsia="en-GB"/>
          <w14:ligatures w14:val="none"/>
        </w:rPr>
        <w:t xml:space="preserve"> DM banks typically run tight corridors; EM banks often run wider. SARB's ±50bp corridor is generous; BCB sets SELIC as a weighted average of all daily repo operations rather than a single point target. Wider corridors weaken the pin-down of overnight rates to the target and complicate pass-through measurement.</w:t>
      </w:r>
    </w:p>
    <w:p w14:paraId="5A7EFC9D"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Pass-through asymmetry.</w:t>
      </w:r>
      <w:r w:rsidRPr="001F2E56">
        <w:rPr>
          <w:rFonts w:ascii="Aptos" w:eastAsia="Times New Roman" w:hAnsi="Aptos" w:cs="Times New Roman"/>
          <w:kern w:val="0"/>
          <w:sz w:val="22"/>
          <w:szCs w:val="22"/>
          <w:lang w:eastAsia="en-GB"/>
          <w14:ligatures w14:val="none"/>
        </w:rPr>
        <w:t xml:space="preserve"> EM lending rates are often less responsive to policy rate changes than DM. Reasons: less bank competition, more fixed-rate loan structures, sometimes regulatory rate controls. The implication: EM banks may need to over-move to get domestic traction, and the rate is a blunter tool.</w:t>
      </w:r>
    </w:p>
    <w:p w14:paraId="54ADF1AB"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ELB constraint.</w:t>
      </w:r>
      <w:r w:rsidRPr="001F2E56">
        <w:rPr>
          <w:rFonts w:ascii="Aptos" w:eastAsia="Times New Roman" w:hAnsi="Aptos" w:cs="Times New Roman"/>
          <w:kern w:val="0"/>
          <w:sz w:val="22"/>
          <w:szCs w:val="22"/>
          <w:lang w:eastAsia="en-GB"/>
          <w14:ligatures w14:val="none"/>
        </w:rPr>
        <w:t xml:space="preserve"> For DM banks since 2008, the effective lower bound makes the policy rate a non-symmetric instrument — cuts are constrained, hikes are not. The policy rate loses primacy at the </w:t>
      </w:r>
      <w:proofErr w:type="gramStart"/>
      <w:r w:rsidRPr="001F2E56">
        <w:rPr>
          <w:rFonts w:ascii="Aptos" w:eastAsia="Times New Roman" w:hAnsi="Aptos" w:cs="Times New Roman"/>
          <w:kern w:val="0"/>
          <w:sz w:val="22"/>
          <w:szCs w:val="22"/>
          <w:lang w:eastAsia="en-GB"/>
          <w14:ligatures w14:val="none"/>
        </w:rPr>
        <w:t>ELB</w:t>
      </w:r>
      <w:proofErr w:type="gramEnd"/>
      <w:r w:rsidRPr="001F2E56">
        <w:rPr>
          <w:rFonts w:ascii="Aptos" w:eastAsia="Times New Roman" w:hAnsi="Aptos" w:cs="Times New Roman"/>
          <w:kern w:val="0"/>
          <w:sz w:val="22"/>
          <w:szCs w:val="22"/>
          <w:lang w:eastAsia="en-GB"/>
          <w14:ligatures w14:val="none"/>
        </w:rPr>
        <w:t xml:space="preserve"> and alternative instruments (balance sheet, forward guidance) take over. EM banks have generally not hit the ELB; their rate space has stayed conventionally usable.</w:t>
      </w:r>
    </w:p>
    <w:p w14:paraId="301D16C5" w14:textId="77777777" w:rsidR="00387169" w:rsidRPr="001F2E56" w:rsidRDefault="00387169" w:rsidP="00387169">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333E42FE">
          <v:rect id="_x0000_i1028" alt="" style="width:451.3pt;height:.05pt;mso-width-percent:0;mso-height-percent:0;mso-width-percent:0;mso-height-percent:0" o:hralign="center" o:hrstd="t" o:hr="t" fillcolor="#a0a0a0" stroked="f"/>
        </w:pict>
      </w:r>
    </w:p>
    <w:p w14:paraId="66FF61C0"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b/>
          <w:bCs/>
          <w:kern w:val="0"/>
          <w:sz w:val="22"/>
          <w:szCs w:val="22"/>
          <w:lang w:eastAsia="en-GB"/>
          <w14:ligatures w14:val="none"/>
        </w:rPr>
        <w:t>Sub-node: Empirical pitfalls</w:t>
      </w:r>
    </w:p>
    <w:p w14:paraId="6E55E8F3"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Which rate is "the" policy rate?</w:t>
      </w:r>
      <w:r w:rsidRPr="001F2E56">
        <w:rPr>
          <w:rFonts w:ascii="Aptos" w:eastAsia="Times New Roman" w:hAnsi="Aptos" w:cs="Times New Roman"/>
          <w:kern w:val="0"/>
          <w:sz w:val="22"/>
          <w:szCs w:val="22"/>
          <w:lang w:eastAsia="en-GB"/>
          <w14:ligatures w14:val="none"/>
        </w:rPr>
        <w:t xml:space="preserve"> Fed: midpoint of target range, or IORB, or effective fed funds? ECB: DFR, MRO, or MLF? For estimation, this choice matters — different rates give different answers, especially at regime breaks (2008 ample-reserves shift; 2022 ECB DFR-as-primary shift).</w:t>
      </w:r>
    </w:p>
    <w:p w14:paraId="70D6A930"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Announced vs effective rate.</w:t>
      </w:r>
      <w:r w:rsidRPr="001F2E56">
        <w:rPr>
          <w:rFonts w:ascii="Aptos" w:eastAsia="Times New Roman" w:hAnsi="Aptos" w:cs="Times New Roman"/>
          <w:kern w:val="0"/>
          <w:sz w:val="22"/>
          <w:szCs w:val="22"/>
          <w:lang w:eastAsia="en-GB"/>
          <w14:ligatures w14:val="none"/>
        </w:rPr>
        <w:t xml:space="preserve"> The announced rate is the bank's decision; the effective rate is what </w:t>
      </w:r>
      <w:proofErr w:type="gramStart"/>
      <w:r w:rsidRPr="001F2E56">
        <w:rPr>
          <w:rFonts w:ascii="Aptos" w:eastAsia="Times New Roman" w:hAnsi="Aptos" w:cs="Times New Roman"/>
          <w:kern w:val="0"/>
          <w:sz w:val="22"/>
          <w:szCs w:val="22"/>
          <w:lang w:eastAsia="en-GB"/>
          <w14:ligatures w14:val="none"/>
        </w:rPr>
        <w:t>actually trades</w:t>
      </w:r>
      <w:proofErr w:type="gramEnd"/>
      <w:r w:rsidRPr="001F2E56">
        <w:rPr>
          <w:rFonts w:ascii="Aptos" w:eastAsia="Times New Roman" w:hAnsi="Aptos" w:cs="Times New Roman"/>
          <w:kern w:val="0"/>
          <w:sz w:val="22"/>
          <w:szCs w:val="22"/>
          <w:lang w:eastAsia="en-GB"/>
          <w14:ligatures w14:val="none"/>
        </w:rPr>
        <w:t xml:space="preserve"> in overnight markets. These can diverge meaningfully when the corridor is wide, when reserves are scarce, or when market stress drives rates to the floor or ceiling. €STR traded persistently below the announced ECB rate through 2015–2022; SOFR has occasionally spiked through the upper bound at quarter-ends.</w:t>
      </w:r>
    </w:p>
    <w:p w14:paraId="76257A77"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Pass-through measurement.</w:t>
      </w:r>
      <w:r w:rsidRPr="001F2E56">
        <w:rPr>
          <w:rFonts w:ascii="Aptos" w:eastAsia="Times New Roman" w:hAnsi="Aptos" w:cs="Times New Roman"/>
          <w:kern w:val="0"/>
          <w:sz w:val="22"/>
          <w:szCs w:val="22"/>
          <w:lang w:eastAsia="en-GB"/>
          <w14:ligatures w14:val="none"/>
        </w:rPr>
        <w:t xml:space="preserve"> Deposit beta and loan beta require granular bank-level data. They are unstable across cycles — Drechsler, </w:t>
      </w:r>
      <w:proofErr w:type="spellStart"/>
      <w:r w:rsidRPr="001F2E56">
        <w:rPr>
          <w:rFonts w:ascii="Aptos" w:eastAsia="Times New Roman" w:hAnsi="Aptos" w:cs="Times New Roman"/>
          <w:kern w:val="0"/>
          <w:sz w:val="22"/>
          <w:szCs w:val="22"/>
          <w:lang w:eastAsia="en-GB"/>
          <w14:ligatures w14:val="none"/>
        </w:rPr>
        <w:t>Savov</w:t>
      </w:r>
      <w:proofErr w:type="spellEnd"/>
      <w:r w:rsidRPr="001F2E56">
        <w:rPr>
          <w:rFonts w:ascii="Aptos" w:eastAsia="Times New Roman" w:hAnsi="Aptos" w:cs="Times New Roman"/>
          <w:kern w:val="0"/>
          <w:sz w:val="22"/>
          <w:szCs w:val="22"/>
          <w:lang w:eastAsia="en-GB"/>
          <w14:ligatures w14:val="none"/>
        </w:rPr>
        <w:t xml:space="preserve"> &amp; Schnabl (2017) showed deposit beta varies systematically with bank market power, not just policy regime. Pre-2008 and post-2008 pass-through structures differ. Real-time identification is hard; ex-post estimation masks the dynamic adjustment.</w:t>
      </w:r>
    </w:p>
    <w:p w14:paraId="16D813F4" w14:textId="77777777" w:rsidR="00387169" w:rsidRPr="001F2E56" w:rsidRDefault="00387169" w:rsidP="00387169">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769CD5B9">
          <v:rect id="_x0000_i1029" alt="" style="width:451.3pt;height:.05pt;mso-width-percent:0;mso-height-percent:0;mso-width-percent:0;mso-height-percent:0" o:hralign="center" o:hrstd="t" o:hr="t" fillcolor="#a0a0a0" stroked="f"/>
        </w:pict>
      </w:r>
    </w:p>
    <w:p w14:paraId="7A8240B1"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b/>
          <w:bCs/>
          <w:kern w:val="0"/>
          <w:sz w:val="22"/>
          <w:szCs w:val="22"/>
          <w:lang w:eastAsia="en-GB"/>
          <w14:ligatures w14:val="none"/>
        </w:rPr>
        <w:t>Sub-node: Where dissonance lives</w:t>
      </w:r>
    </w:p>
    <w:p w14:paraId="71F8CA52"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Within L3a, dissonance is multi-dimensional.</w:t>
      </w:r>
    </w:p>
    <w:p w14:paraId="7076AE16"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Intra-node.</w:t>
      </w:r>
      <w:r w:rsidRPr="001F2E56">
        <w:rPr>
          <w:rFonts w:ascii="Aptos" w:eastAsia="Times New Roman" w:hAnsi="Aptos" w:cs="Times New Roman"/>
          <w:kern w:val="0"/>
          <w:sz w:val="22"/>
          <w:szCs w:val="22"/>
          <w:lang w:eastAsia="en-GB"/>
          <w14:ligatures w14:val="none"/>
        </w:rPr>
        <w:t xml:space="preserve"> Components of the rate node disagree. Announced rate vs effective overnight rate vs near-term FRA/OIS vs standing facility utilisation. Equilibrium: all pin to the same number. </w:t>
      </w:r>
      <w:r w:rsidRPr="001F2E56">
        <w:rPr>
          <w:rFonts w:ascii="Aptos" w:eastAsia="Times New Roman" w:hAnsi="Aptos" w:cs="Times New Roman"/>
          <w:kern w:val="0"/>
          <w:sz w:val="22"/>
          <w:szCs w:val="22"/>
          <w:lang w:eastAsia="en-GB"/>
          <w14:ligatures w14:val="none"/>
        </w:rPr>
        <w:lastRenderedPageBreak/>
        <w:t>Dissonance fires when overnight rates drift from the announced target (corridor pinning failure), when standing facility usage spikes (banks cannot or will not fund at the policy rate), or when near-term FRAs price a path the bank has not signalled (market disbelieves the rule).</w:t>
      </w:r>
    </w:p>
    <w:p w14:paraId="14017D67"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Vertical upward, L1 → L3a.</w:t>
      </w:r>
      <w:r w:rsidRPr="001F2E56">
        <w:rPr>
          <w:rFonts w:ascii="Aptos" w:eastAsia="Times New Roman" w:hAnsi="Aptos" w:cs="Times New Roman"/>
          <w:kern w:val="0"/>
          <w:sz w:val="22"/>
          <w:szCs w:val="22"/>
          <w:lang w:eastAsia="en-GB"/>
          <w14:ligatures w14:val="none"/>
        </w:rPr>
        <w:t xml:space="preserve"> The Taylor residual </w:t>
      </w:r>
      <w:proofErr w:type="spellStart"/>
      <w:r w:rsidRPr="001F2E56">
        <w:rPr>
          <w:rFonts w:ascii="Aptos" w:eastAsia="Times New Roman" w:hAnsi="Aptos" w:cs="Times New Roman"/>
          <w:kern w:val="0"/>
          <w:sz w:val="22"/>
          <w:szCs w:val="22"/>
          <w:lang w:eastAsia="en-GB"/>
          <w14:ligatures w14:val="none"/>
        </w:rPr>
        <w:t>ε_t</w:t>
      </w:r>
      <w:proofErr w:type="spellEnd"/>
      <w:r w:rsidRPr="001F2E56">
        <w:rPr>
          <w:rFonts w:ascii="Aptos" w:eastAsia="Times New Roman" w:hAnsi="Aptos" w:cs="Times New Roman"/>
          <w:kern w:val="0"/>
          <w:sz w:val="22"/>
          <w:szCs w:val="22"/>
          <w:lang w:eastAsia="en-GB"/>
          <w14:ligatures w14:val="none"/>
        </w:rPr>
        <w:t xml:space="preserve"> = </w:t>
      </w:r>
      <w:proofErr w:type="spellStart"/>
      <w:r w:rsidRPr="001F2E56">
        <w:rPr>
          <w:rFonts w:ascii="Aptos" w:eastAsia="Times New Roman" w:hAnsi="Aptos" w:cs="Times New Roman"/>
          <w:kern w:val="0"/>
          <w:sz w:val="22"/>
          <w:szCs w:val="22"/>
          <w:lang w:eastAsia="en-GB"/>
          <w14:ligatures w14:val="none"/>
        </w:rPr>
        <w:t>i_t</w:t>
      </w:r>
      <w:proofErr w:type="spellEnd"/>
      <w:r w:rsidRPr="001F2E56">
        <w:rPr>
          <w:rFonts w:ascii="Aptos" w:eastAsia="Times New Roman" w:hAnsi="Aptos" w:cs="Times New Roman"/>
          <w:kern w:val="0"/>
          <w:sz w:val="22"/>
          <w:szCs w:val="22"/>
          <w:lang w:eastAsia="en-GB"/>
          <w14:ligatures w14:val="none"/>
        </w:rPr>
        <w:t xml:space="preserve"> − </w:t>
      </w:r>
      <w:proofErr w:type="spellStart"/>
      <w:r w:rsidRPr="001F2E56">
        <w:rPr>
          <w:rFonts w:ascii="Aptos" w:eastAsia="Times New Roman" w:hAnsi="Aptos" w:cs="Times New Roman"/>
          <w:kern w:val="0"/>
          <w:sz w:val="22"/>
          <w:szCs w:val="22"/>
          <w:lang w:eastAsia="en-GB"/>
          <w14:ligatures w14:val="none"/>
        </w:rPr>
        <w:t>i</w:t>
      </w:r>
      <w:proofErr w:type="spellEnd"/>
      <w:r w:rsidRPr="001F2E56">
        <w:rPr>
          <w:rFonts w:ascii="Aptos" w:eastAsia="Times New Roman" w:hAnsi="Aptos" w:cs="Times New Roman"/>
          <w:kern w:val="0"/>
          <w:sz w:val="22"/>
          <w:szCs w:val="22"/>
          <w:lang w:eastAsia="en-GB"/>
          <w14:ligatures w14:val="none"/>
        </w:rPr>
        <w:t>*_t. The bank choosing not to follow its own rule. Already developed in detail.</w:t>
      </w:r>
    </w:p>
    <w:p w14:paraId="18349231"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Vertical downward, L3a → L4a.</w:t>
      </w:r>
      <w:r w:rsidRPr="001F2E56">
        <w:rPr>
          <w:rFonts w:ascii="Aptos" w:eastAsia="Times New Roman" w:hAnsi="Aptos" w:cs="Times New Roman"/>
          <w:kern w:val="0"/>
          <w:sz w:val="22"/>
          <w:szCs w:val="22"/>
          <w:lang w:eastAsia="en-GB"/>
          <w14:ligatures w14:val="none"/>
        </w:rPr>
        <w:t xml:space="preserve"> The policy rate sets the front end; the curve embeds the inferred path. Dissonance fires when the front re-prices but the slope, curvature, or longer-dated expectations are inconsistent with the rule.</w:t>
      </w:r>
    </w:p>
    <w:p w14:paraId="33D91700" w14:textId="77777777" w:rsidR="00387169" w:rsidRPr="001F2E5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Vertical downward, L3a → L5a.</w:t>
      </w:r>
      <w:r w:rsidRPr="001F2E56">
        <w:rPr>
          <w:rFonts w:ascii="Aptos" w:eastAsia="Times New Roman" w:hAnsi="Aptos" w:cs="Times New Roman"/>
          <w:kern w:val="0"/>
          <w:sz w:val="22"/>
          <w:szCs w:val="22"/>
          <w:lang w:eastAsia="en-GB"/>
          <w14:ligatures w14:val="none"/>
        </w:rPr>
        <w:t xml:space="preserve"> Pass-through. The rate moves; bank lending rates should follow with stable beta. Dissonance fires when the spread between policy rate and effective borrowing rates widens significantly — transmission impaired through the bank lending channel.</w:t>
      </w:r>
    </w:p>
    <w:p w14:paraId="2A54337E" w14:textId="77777777" w:rsidR="00387169" w:rsidRPr="00B84586" w:rsidRDefault="00387169" w:rsidP="00387169">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 xml:space="preserve">The L3a node is the </w:t>
      </w:r>
      <w:r w:rsidRPr="001F2E56">
        <w:rPr>
          <w:rFonts w:ascii="Aptos" w:eastAsia="Times New Roman" w:hAnsi="Aptos" w:cs="Times New Roman"/>
          <w:i/>
          <w:iCs/>
          <w:kern w:val="0"/>
          <w:sz w:val="22"/>
          <w:szCs w:val="22"/>
          <w:lang w:eastAsia="en-GB"/>
          <w14:ligatures w14:val="none"/>
        </w:rPr>
        <w:t>price of liquidity</w:t>
      </w:r>
      <w:r w:rsidRPr="001F2E56">
        <w:rPr>
          <w:rFonts w:ascii="Aptos" w:eastAsia="Times New Roman" w:hAnsi="Aptos" w:cs="Times New Roman"/>
          <w:kern w:val="0"/>
          <w:sz w:val="22"/>
          <w:szCs w:val="22"/>
          <w:lang w:eastAsia="en-GB"/>
          <w14:ligatures w14:val="none"/>
        </w:rPr>
        <w:t xml:space="preserve"> in the banking system. Dissonance at L3a means the bank has lost some control over that price, or that the price the bank set is not the price the system is operating on. Markets pricing through that loss of control is the asset-price consequence.</w:t>
      </w:r>
    </w:p>
    <w:p w14:paraId="4230B949" w14:textId="77777777" w:rsidR="004B4A76" w:rsidRDefault="004B4A76"/>
    <w:sectPr w:rsidR="004B4A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46D"/>
    <w:rsid w:val="00236FC6"/>
    <w:rsid w:val="00387169"/>
    <w:rsid w:val="003B1C21"/>
    <w:rsid w:val="0040746D"/>
    <w:rsid w:val="004B4A76"/>
    <w:rsid w:val="00D80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DC97EF-AAE3-46B8-8B38-92885A791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169"/>
    <w:rPr>
      <w:lang w:val="en-ZA"/>
    </w:rPr>
  </w:style>
  <w:style w:type="paragraph" w:styleId="Heading1">
    <w:name w:val="heading 1"/>
    <w:basedOn w:val="Normal"/>
    <w:next w:val="Normal"/>
    <w:link w:val="Heading1Char"/>
    <w:uiPriority w:val="9"/>
    <w:qFormat/>
    <w:rsid w:val="0040746D"/>
    <w:pPr>
      <w:keepNext/>
      <w:keepLines/>
      <w:spacing w:before="360" w:after="80"/>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40746D"/>
    <w:pPr>
      <w:keepNext/>
      <w:keepLines/>
      <w:spacing w:before="160" w:after="80"/>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40746D"/>
    <w:pPr>
      <w:keepNext/>
      <w:keepLines/>
      <w:spacing w:before="160" w:after="80"/>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40746D"/>
    <w:pPr>
      <w:keepNext/>
      <w:keepLines/>
      <w:spacing w:before="80" w:after="40"/>
      <w:outlineLvl w:val="3"/>
    </w:pPr>
    <w:rPr>
      <w:rFonts w:eastAsiaTheme="majorEastAsia" w:cstheme="majorBidi"/>
      <w:i/>
      <w:iCs/>
      <w:color w:val="0F4761" w:themeColor="accent1" w:themeShade="BF"/>
      <w:lang w:val="en-US"/>
    </w:rPr>
  </w:style>
  <w:style w:type="paragraph" w:styleId="Heading5">
    <w:name w:val="heading 5"/>
    <w:basedOn w:val="Normal"/>
    <w:next w:val="Normal"/>
    <w:link w:val="Heading5Char"/>
    <w:uiPriority w:val="9"/>
    <w:semiHidden/>
    <w:unhideWhenUsed/>
    <w:qFormat/>
    <w:rsid w:val="0040746D"/>
    <w:pPr>
      <w:keepNext/>
      <w:keepLines/>
      <w:spacing w:before="80" w:after="40"/>
      <w:outlineLvl w:val="4"/>
    </w:pPr>
    <w:rPr>
      <w:rFonts w:eastAsiaTheme="majorEastAsia" w:cstheme="majorBidi"/>
      <w:color w:val="0F4761" w:themeColor="accent1" w:themeShade="BF"/>
      <w:lang w:val="en-US"/>
    </w:rPr>
  </w:style>
  <w:style w:type="paragraph" w:styleId="Heading6">
    <w:name w:val="heading 6"/>
    <w:basedOn w:val="Normal"/>
    <w:next w:val="Normal"/>
    <w:link w:val="Heading6Char"/>
    <w:uiPriority w:val="9"/>
    <w:semiHidden/>
    <w:unhideWhenUsed/>
    <w:qFormat/>
    <w:rsid w:val="0040746D"/>
    <w:pPr>
      <w:keepNext/>
      <w:keepLines/>
      <w:spacing w:before="40" w:after="0"/>
      <w:outlineLvl w:val="5"/>
    </w:pPr>
    <w:rPr>
      <w:rFonts w:eastAsiaTheme="majorEastAsia" w:cstheme="majorBidi"/>
      <w:i/>
      <w:iCs/>
      <w:color w:val="595959" w:themeColor="text1" w:themeTint="A6"/>
      <w:lang w:val="en-US"/>
    </w:rPr>
  </w:style>
  <w:style w:type="paragraph" w:styleId="Heading7">
    <w:name w:val="heading 7"/>
    <w:basedOn w:val="Normal"/>
    <w:next w:val="Normal"/>
    <w:link w:val="Heading7Char"/>
    <w:uiPriority w:val="9"/>
    <w:semiHidden/>
    <w:unhideWhenUsed/>
    <w:qFormat/>
    <w:rsid w:val="0040746D"/>
    <w:pPr>
      <w:keepNext/>
      <w:keepLines/>
      <w:spacing w:before="40" w:after="0"/>
      <w:outlineLvl w:val="6"/>
    </w:pPr>
    <w:rPr>
      <w:rFonts w:eastAsiaTheme="majorEastAsia" w:cstheme="majorBidi"/>
      <w:color w:val="595959" w:themeColor="text1" w:themeTint="A6"/>
      <w:lang w:val="en-US"/>
    </w:rPr>
  </w:style>
  <w:style w:type="paragraph" w:styleId="Heading8">
    <w:name w:val="heading 8"/>
    <w:basedOn w:val="Normal"/>
    <w:next w:val="Normal"/>
    <w:link w:val="Heading8Char"/>
    <w:uiPriority w:val="9"/>
    <w:semiHidden/>
    <w:unhideWhenUsed/>
    <w:qFormat/>
    <w:rsid w:val="0040746D"/>
    <w:pPr>
      <w:keepNext/>
      <w:keepLines/>
      <w:spacing w:after="0"/>
      <w:outlineLvl w:val="7"/>
    </w:pPr>
    <w:rPr>
      <w:rFonts w:eastAsiaTheme="majorEastAsia" w:cstheme="majorBidi"/>
      <w:i/>
      <w:iCs/>
      <w:color w:val="272727" w:themeColor="text1" w:themeTint="D8"/>
      <w:lang w:val="en-US"/>
    </w:rPr>
  </w:style>
  <w:style w:type="paragraph" w:styleId="Heading9">
    <w:name w:val="heading 9"/>
    <w:basedOn w:val="Normal"/>
    <w:next w:val="Normal"/>
    <w:link w:val="Heading9Char"/>
    <w:uiPriority w:val="9"/>
    <w:semiHidden/>
    <w:unhideWhenUsed/>
    <w:qFormat/>
    <w:rsid w:val="0040746D"/>
    <w:pPr>
      <w:keepNext/>
      <w:keepLines/>
      <w:spacing w:after="0"/>
      <w:outlineLvl w:val="8"/>
    </w:pPr>
    <w:rPr>
      <w:rFonts w:eastAsiaTheme="majorEastAsia" w:cstheme="majorBidi"/>
      <w:color w:val="272727" w:themeColor="text1" w:themeTint="D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4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4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4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4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4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46D"/>
    <w:rPr>
      <w:rFonts w:eastAsiaTheme="majorEastAsia" w:cstheme="majorBidi"/>
      <w:color w:val="272727" w:themeColor="text1" w:themeTint="D8"/>
    </w:rPr>
  </w:style>
  <w:style w:type="paragraph" w:styleId="Title">
    <w:name w:val="Title"/>
    <w:basedOn w:val="Normal"/>
    <w:next w:val="Normal"/>
    <w:link w:val="TitleChar"/>
    <w:uiPriority w:val="10"/>
    <w:qFormat/>
    <w:rsid w:val="0040746D"/>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407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46D"/>
    <w:pPr>
      <w:numPr>
        <w:ilvl w:val="1"/>
      </w:numPr>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407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46D"/>
    <w:pPr>
      <w:spacing w:before="160"/>
      <w:jc w:val="center"/>
    </w:pPr>
    <w:rPr>
      <w:i/>
      <w:iCs/>
      <w:color w:val="404040" w:themeColor="text1" w:themeTint="BF"/>
      <w:lang w:val="en-US"/>
    </w:rPr>
  </w:style>
  <w:style w:type="character" w:customStyle="1" w:styleId="QuoteChar">
    <w:name w:val="Quote Char"/>
    <w:basedOn w:val="DefaultParagraphFont"/>
    <w:link w:val="Quote"/>
    <w:uiPriority w:val="29"/>
    <w:rsid w:val="0040746D"/>
    <w:rPr>
      <w:i/>
      <w:iCs/>
      <w:color w:val="404040" w:themeColor="text1" w:themeTint="BF"/>
    </w:rPr>
  </w:style>
  <w:style w:type="paragraph" w:styleId="ListParagraph">
    <w:name w:val="List Paragraph"/>
    <w:basedOn w:val="Normal"/>
    <w:uiPriority w:val="34"/>
    <w:qFormat/>
    <w:rsid w:val="0040746D"/>
    <w:pPr>
      <w:ind w:left="720"/>
      <w:contextualSpacing/>
    </w:pPr>
    <w:rPr>
      <w:lang w:val="en-US"/>
    </w:rPr>
  </w:style>
  <w:style w:type="character" w:styleId="IntenseEmphasis">
    <w:name w:val="Intense Emphasis"/>
    <w:basedOn w:val="DefaultParagraphFont"/>
    <w:uiPriority w:val="21"/>
    <w:qFormat/>
    <w:rsid w:val="0040746D"/>
    <w:rPr>
      <w:i/>
      <w:iCs/>
      <w:color w:val="0F4761" w:themeColor="accent1" w:themeShade="BF"/>
    </w:rPr>
  </w:style>
  <w:style w:type="paragraph" w:styleId="IntenseQuote">
    <w:name w:val="Intense Quote"/>
    <w:basedOn w:val="Normal"/>
    <w:next w:val="Normal"/>
    <w:link w:val="IntenseQuoteChar"/>
    <w:uiPriority w:val="30"/>
    <w:qFormat/>
    <w:rsid w:val="004074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US"/>
    </w:rPr>
  </w:style>
  <w:style w:type="character" w:customStyle="1" w:styleId="IntenseQuoteChar">
    <w:name w:val="Intense Quote Char"/>
    <w:basedOn w:val="DefaultParagraphFont"/>
    <w:link w:val="IntenseQuote"/>
    <w:uiPriority w:val="30"/>
    <w:rsid w:val="0040746D"/>
    <w:rPr>
      <w:i/>
      <w:iCs/>
      <w:color w:val="0F4761" w:themeColor="accent1" w:themeShade="BF"/>
    </w:rPr>
  </w:style>
  <w:style w:type="character" w:styleId="IntenseReference">
    <w:name w:val="Intense Reference"/>
    <w:basedOn w:val="DefaultParagraphFont"/>
    <w:uiPriority w:val="32"/>
    <w:qFormat/>
    <w:rsid w:val="004074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1378</Words>
  <Characters>7538</Characters>
  <Application>Microsoft Office Word</Application>
  <DocSecurity>0</DocSecurity>
  <Lines>118</Lines>
  <Paragraphs>38</Paragraphs>
  <ScaleCrop>false</ScaleCrop>
  <Company/>
  <LinksUpToDate>false</LinksUpToDate>
  <CharactersWithSpaces>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Stoddart</dc:creator>
  <cp:keywords/>
  <dc:description/>
  <cp:lastModifiedBy>Justin Stoddart</cp:lastModifiedBy>
  <cp:revision>2</cp:revision>
  <dcterms:created xsi:type="dcterms:W3CDTF">2026-05-16T09:38:00Z</dcterms:created>
  <dcterms:modified xsi:type="dcterms:W3CDTF">2026-05-16T09:41:00Z</dcterms:modified>
</cp:coreProperties>
</file>