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609C" w14:textId="79461240" w:rsidR="009F15B2" w:rsidRPr="009F15B2" w:rsidRDefault="009F15B2" w:rsidP="009F15B2">
      <w:pPr>
        <w:spacing w:before="100" w:beforeAutospacing="1" w:after="100" w:afterAutospacing="1" w:line="240" w:lineRule="auto"/>
        <w:jc w:val="center"/>
        <w:rPr>
          <w:rFonts w:ascii="Aptos" w:eastAsia="Times New Roman" w:hAnsi="Aptos" w:cs="Times New Roman"/>
          <w:b/>
          <w:bCs/>
          <w:kern w:val="0"/>
          <w:lang w:eastAsia="en-GB"/>
          <w14:ligatures w14:val="none"/>
        </w:rPr>
      </w:pPr>
      <w:r w:rsidRPr="009F15B2">
        <w:rPr>
          <w:rFonts w:ascii="Aptos" w:eastAsia="Times New Roman" w:hAnsi="Aptos" w:cs="Times New Roman"/>
          <w:b/>
          <w:bCs/>
          <w:kern w:val="0"/>
          <w:lang w:eastAsia="en-GB"/>
          <w14:ligatures w14:val="none"/>
        </w:rPr>
        <w:t>Theory</w:t>
      </w:r>
    </w:p>
    <w:p w14:paraId="01C616A4" w14:textId="5D7CEFE1"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4a — The Yield Curve</w:t>
      </w:r>
    </w:p>
    <w:p w14:paraId="275F3F83"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yield curve is the schedule of yields on government bonds plotted across maturities — typically 3m, 2y, 5y, 10y, 30y. It is the most-watched object in monetary economics because it integrates everything the framework cares about into a single observable: the current policy rate (front end), expectations of future policy rates (belly, long-end), term premia (long-end), inflation expectations, liquidity and convenience yield, and — in EM — sovereign credit and currency risk premia. Unlike L1-L3 nodes which describe what the bank does, L4a is what the </w:t>
      </w:r>
      <w:r w:rsidRPr="0032251D">
        <w:rPr>
          <w:rFonts w:ascii="Aptos" w:eastAsia="Times New Roman" w:hAnsi="Aptos" w:cs="Times New Roman"/>
          <w:i/>
          <w:iCs/>
          <w:kern w:val="0"/>
          <w:sz w:val="22"/>
          <w:szCs w:val="22"/>
          <w:lang w:eastAsia="en-GB"/>
          <w14:ligatures w14:val="none"/>
        </w:rPr>
        <w:t>market prices</w:t>
      </w:r>
      <w:r w:rsidRPr="0032251D">
        <w:rPr>
          <w:rFonts w:ascii="Aptos" w:eastAsia="Times New Roman" w:hAnsi="Aptos" w:cs="Times New Roman"/>
          <w:kern w:val="0"/>
          <w:sz w:val="22"/>
          <w:szCs w:val="22"/>
          <w:lang w:eastAsia="en-GB"/>
          <w14:ligatures w14:val="none"/>
        </w:rPr>
        <w:t xml:space="preserve"> in response. It is the first node in the framework that is observable continuously at high frequency, and the most heavily traded sovereign market on Earth.</w:t>
      </w:r>
    </w:p>
    <w:p w14:paraId="0C144555" w14:textId="77777777" w:rsidR="009F15B2" w:rsidRPr="0032251D" w:rsidRDefault="009F15B2" w:rsidP="009F15B2">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CCB8694">
          <v:rect id="_x0000_i1025" alt="" style="width:451.3pt;height:.05pt;mso-width-percent:0;mso-height-percent:0;mso-width-percent:0;mso-height-percent:0" o:hralign="center" o:hrstd="t" o:hr="t" fillcolor="#a0a0a0" stroked="f"/>
        </w:pict>
      </w:r>
    </w:p>
    <w:p w14:paraId="00B495F7"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2AE9CE2B"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Three theoretical foundations underlie the yield curve.</w:t>
      </w:r>
    </w:p>
    <w:p w14:paraId="66970C41"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expectations hypothesis (EH).</w:t>
      </w:r>
      <w:r w:rsidRPr="0032251D">
        <w:rPr>
          <w:rFonts w:ascii="Aptos" w:eastAsia="Times New Roman" w:hAnsi="Aptos" w:cs="Times New Roman"/>
          <w:kern w:val="0"/>
          <w:sz w:val="22"/>
          <w:szCs w:val="22"/>
          <w:lang w:eastAsia="en-GB"/>
          <w14:ligatures w14:val="none"/>
        </w:rPr>
        <w:t xml:space="preserve"> Long yields are weighted averages of expected future short rates plus a term premium. In pure form: long yield = average expected short rates over the maturity. In modified form: long yield = average expected short + term premium. Modern empirics reject the pure EH (Campbell-Shiller 1991; Fama-Bliss 1987) — excess returns on long bonds are predictable, implying time-varying term premia.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the modified version is the workhorse: long yield = expected average short rate + term premium, where both components vary over time and respond to different shocks.</w:t>
      </w:r>
    </w:p>
    <w:p w14:paraId="4BBE0DA4"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preference (Hicks 1939).</w:t>
      </w:r>
      <w:r w:rsidRPr="0032251D">
        <w:rPr>
          <w:rFonts w:ascii="Aptos" w:eastAsia="Times New Roman" w:hAnsi="Aptos" w:cs="Times New Roman"/>
          <w:kern w:val="0"/>
          <w:sz w:val="22"/>
          <w:szCs w:val="22"/>
          <w:lang w:eastAsia="en-GB"/>
          <w14:ligatures w14:val="none"/>
        </w:rPr>
        <w:t xml:space="preserve"> Investors prefer liquidity, so demand a premium for holding long bonds rather than rolling overnight. The term premium is positive on average — this is the empirical regularity. But it varies meaningfully across time and can turn negative (it did in 2019-2021 when balance sheet operations compressed it heavily).</w:t>
      </w:r>
    </w:p>
    <w:p w14:paraId="551E1DA6"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Preferred habitat (Modigliani-Sutch 1966; </w:t>
      </w:r>
      <w:proofErr w:type="spellStart"/>
      <w:r w:rsidRPr="0032251D">
        <w:rPr>
          <w:rFonts w:ascii="Aptos" w:eastAsia="Times New Roman" w:hAnsi="Aptos" w:cs="Times New Roman"/>
          <w:i/>
          <w:iCs/>
          <w:kern w:val="0"/>
          <w:sz w:val="22"/>
          <w:szCs w:val="22"/>
          <w:lang w:eastAsia="en-GB"/>
          <w14:ligatures w14:val="none"/>
        </w:rPr>
        <w:t>Vayanos</w:t>
      </w:r>
      <w:proofErr w:type="spellEnd"/>
      <w:r w:rsidRPr="0032251D">
        <w:rPr>
          <w:rFonts w:ascii="Aptos" w:eastAsia="Times New Roman" w:hAnsi="Aptos" w:cs="Times New Roman"/>
          <w:i/>
          <w:iCs/>
          <w:kern w:val="0"/>
          <w:sz w:val="22"/>
          <w:szCs w:val="22"/>
          <w:lang w:eastAsia="en-GB"/>
          <w14:ligatures w14:val="none"/>
        </w:rPr>
        <w:t>-Vila 2021).</w:t>
      </w:r>
      <w:r w:rsidRPr="0032251D">
        <w:rPr>
          <w:rFonts w:ascii="Aptos" w:eastAsia="Times New Roman" w:hAnsi="Aptos" w:cs="Times New Roman"/>
          <w:kern w:val="0"/>
          <w:sz w:val="22"/>
          <w:szCs w:val="22"/>
          <w:lang w:eastAsia="en-GB"/>
          <w14:ligatures w14:val="none"/>
        </w:rPr>
        <w:t xml:space="preserve"> Different investors have different preferred maturities — insurers and pensions want long-dated assets, banks want short. Markets are partially segmented; the supply of bonds at each maturity matters because investors do not freely substitute across maturities. This is what makes balance sheet operations work — by removing duration from specific maturities, the central bank changes relative supply and hence relative price.</w:t>
      </w:r>
    </w:p>
    <w:p w14:paraId="7F6457AC"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These three foundations are complementary. The EH gives the level decomposition (expected short + term premium). Liquidity preference gives the sign of the average term premium. Preferred habitat gives the maturity-specific responsiveness to supply shocks.</w:t>
      </w:r>
    </w:p>
    <w:p w14:paraId="478450AE"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Underlying all three is the Fisher relationship: nominal yield = real yield + expected inflation + inflation risk premium. The yield curve is therefore not one curve but at least three jointly determined ones — nominal, real, and break-even inflation.</w:t>
      </w:r>
    </w:p>
    <w:p w14:paraId="3A17EBF8" w14:textId="77777777" w:rsidR="009F15B2" w:rsidRPr="0032251D" w:rsidRDefault="009F15B2" w:rsidP="009F15B2">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lastRenderedPageBreak/>
        <w:pict w14:anchorId="76F688B8">
          <v:rect id="_x0000_i1026" alt="" style="width:451.3pt;height:.05pt;mso-width-percent:0;mso-height-percent:0;mso-width-percent:0;mso-height-percent:0" o:hralign="center" o:hrstd="t" o:hr="t" fillcolor="#a0a0a0" stroked="f"/>
        </w:pict>
      </w:r>
    </w:p>
    <w:p w14:paraId="42C44AE2"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decomposition and components</w:t>
      </w:r>
    </w:p>
    <w:p w14:paraId="7F798602"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dominant operational framework decomposes any long yield into two components:</w:t>
      </w:r>
    </w:p>
    <w:p w14:paraId="7416E69F"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Long yield = Expected average short rate + Term premium</w:t>
      </w:r>
    </w:p>
    <w:p w14:paraId="2D9A512E"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Each component responds to different shocks. The expected short rate component reflects perceived monetary policy path — moves on rate decisions, forward guidance, and data prints that update the rule. The term premium reflects compensation for duration risk — moves on supply shocks (Treasury issuance, QT), uncertainty about future rates and inflation, and convenience yield dynamics.</w:t>
      </w:r>
    </w:p>
    <w:p w14:paraId="14292F73"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Workhorse estimation models.</w:t>
      </w:r>
    </w:p>
    <w:p w14:paraId="0B0E0B2C" w14:textId="77777777" w:rsidR="009F15B2" w:rsidRPr="0032251D" w:rsidRDefault="009F15B2" w:rsidP="009F15B2">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Adrian-Crump-Moench (ACM, 2013)</w:t>
      </w:r>
      <w:r w:rsidRPr="0032251D">
        <w:rPr>
          <w:rFonts w:ascii="Aptos" w:eastAsia="Times New Roman" w:hAnsi="Aptos" w:cs="Times New Roman"/>
          <w:kern w:val="0"/>
          <w:sz w:val="22"/>
          <w:szCs w:val="22"/>
          <w:lang w:eastAsia="en-GB"/>
          <w14:ligatures w14:val="none"/>
        </w:rPr>
        <w:t>: affine model with five factors, available daily from NY Fed. The most-cited US Treasury term premium estimate.</w:t>
      </w:r>
    </w:p>
    <w:p w14:paraId="34CF59E5" w14:textId="77777777" w:rsidR="009F15B2" w:rsidRPr="0032251D" w:rsidRDefault="009F15B2" w:rsidP="009F15B2">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Kim-Wright (2005)</w:t>
      </w:r>
      <w:r w:rsidRPr="0032251D">
        <w:rPr>
          <w:rFonts w:ascii="Aptos" w:eastAsia="Times New Roman" w:hAnsi="Aptos" w:cs="Times New Roman"/>
          <w:kern w:val="0"/>
          <w:sz w:val="22"/>
          <w:szCs w:val="22"/>
          <w:lang w:eastAsia="en-GB"/>
          <w14:ligatures w14:val="none"/>
        </w:rPr>
        <w:t>: three-factor latent variable model, used by BoE and others.</w:t>
      </w:r>
    </w:p>
    <w:p w14:paraId="11B887E7" w14:textId="77777777" w:rsidR="009F15B2" w:rsidRPr="0032251D" w:rsidRDefault="009F15B2" w:rsidP="009F15B2">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D'Amico-Kim-Wei (2018)</w:t>
      </w:r>
      <w:r w:rsidRPr="0032251D">
        <w:rPr>
          <w:rFonts w:ascii="Aptos" w:eastAsia="Times New Roman" w:hAnsi="Aptos" w:cs="Times New Roman"/>
          <w:kern w:val="0"/>
          <w:sz w:val="22"/>
          <w:szCs w:val="22"/>
          <w:lang w:eastAsia="en-GB"/>
          <w14:ligatures w14:val="none"/>
        </w:rPr>
        <w:t>: incorporating balance sheet operation effects explicitly.</w:t>
      </w:r>
    </w:p>
    <w:p w14:paraId="6F4256FF"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 practical caveat: ACM and Kim-Wright sometimes give meaningfully different decompositions of the same yield. Term premium estimates are model-dependent, which limits how cleanly the decomposition can be used in empirical work.</w:t>
      </w:r>
    </w:p>
    <w:p w14:paraId="5F1069AC"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Curve shape diagnostics.</w:t>
      </w:r>
    </w:p>
    <w:p w14:paraId="13B2E133" w14:textId="77777777" w:rsidR="009F15B2" w:rsidRPr="0032251D" w:rsidRDefault="009F15B2" w:rsidP="009F15B2">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Slope</w:t>
      </w:r>
      <w:r w:rsidRPr="0032251D">
        <w:rPr>
          <w:rFonts w:ascii="Aptos" w:eastAsia="Times New Roman" w:hAnsi="Aptos" w:cs="Times New Roman"/>
          <w:kern w:val="0"/>
          <w:sz w:val="22"/>
          <w:szCs w:val="22"/>
          <w:lang w:eastAsia="en-GB"/>
          <w14:ligatures w14:val="none"/>
        </w:rPr>
        <w:t>: 2s10s, 5s30s, 3m10y — each captures different aspects of policy expectations</w:t>
      </w:r>
    </w:p>
    <w:p w14:paraId="507622B7" w14:textId="77777777" w:rsidR="009F15B2" w:rsidRPr="0032251D" w:rsidRDefault="009F15B2" w:rsidP="009F15B2">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Curvature</w:t>
      </w:r>
      <w:r w:rsidRPr="0032251D">
        <w:rPr>
          <w:rFonts w:ascii="Aptos" w:eastAsia="Times New Roman" w:hAnsi="Aptos" w:cs="Times New Roman"/>
          <w:kern w:val="0"/>
          <w:sz w:val="22"/>
          <w:szCs w:val="22"/>
          <w:lang w:eastAsia="en-GB"/>
          <w14:ligatures w14:val="none"/>
        </w:rPr>
        <w:t xml:space="preserve"> ("butterfly"): the 2-5-10 relationship; curvature spikes around regime transitions</w:t>
      </w:r>
    </w:p>
    <w:p w14:paraId="5F1EA15E" w14:textId="77777777" w:rsidR="009F15B2" w:rsidRPr="0032251D" w:rsidRDefault="009F15B2" w:rsidP="009F15B2">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Convexity</w:t>
      </w:r>
      <w:r w:rsidRPr="0032251D">
        <w:rPr>
          <w:rFonts w:ascii="Aptos" w:eastAsia="Times New Roman" w:hAnsi="Aptos" w:cs="Times New Roman"/>
          <w:kern w:val="0"/>
          <w:sz w:val="22"/>
          <w:szCs w:val="22"/>
          <w:lang w:eastAsia="en-GB"/>
          <w14:ligatures w14:val="none"/>
        </w:rPr>
        <w:t>: shape of the very long end, sensitive to duration positioning and supply</w:t>
      </w:r>
    </w:p>
    <w:p w14:paraId="352179A7" w14:textId="77777777" w:rsidR="009F15B2" w:rsidRPr="0032251D" w:rsidRDefault="009F15B2" w:rsidP="009F15B2">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Liquidity basis</w:t>
      </w:r>
      <w:r w:rsidRPr="0032251D">
        <w:rPr>
          <w:rFonts w:ascii="Aptos" w:eastAsia="Times New Roman" w:hAnsi="Aptos" w:cs="Times New Roman"/>
          <w:kern w:val="0"/>
          <w:sz w:val="22"/>
          <w:szCs w:val="22"/>
          <w:lang w:eastAsia="en-GB"/>
          <w14:ligatures w14:val="none"/>
        </w:rPr>
        <w:t>: on-the-run vs off-the-run spreads; Treasury-OIS basis (collateral premium)</w:t>
      </w:r>
    </w:p>
    <w:p w14:paraId="6044C1B9"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 decomposition.</w:t>
      </w:r>
      <w:r w:rsidRPr="0032251D">
        <w:rPr>
          <w:rFonts w:ascii="Aptos" w:eastAsia="Times New Roman" w:hAnsi="Aptos" w:cs="Times New Roman"/>
          <w:kern w:val="0"/>
          <w:sz w:val="22"/>
          <w:szCs w:val="22"/>
          <w:lang w:eastAsia="en-GB"/>
          <w14:ligatures w14:val="none"/>
        </w:rPr>
        <w:t xml:space="preserve"> Convenience yield is the non-pecuniary benefit of holding safe assets — Treasuries, bunds, dollar cash. Sources: collateral value (accepted in repo, derivatives), liquidity (sellable at scale), regulatory utility (LCR, capital relief), and flight-to-quality demand. Krishnamurthy-Vissing-Jorgensen (2012) estimated the average US Treasury convenience yield at 73bp. It is variable and spikes in stress.</w:t>
      </w:r>
    </w:p>
    <w:p w14:paraId="48C8D00A"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w:t>
      </w:r>
      <w:proofErr w:type="gramStart"/>
      <w:r w:rsidRPr="0032251D">
        <w:rPr>
          <w:rFonts w:ascii="Aptos" w:eastAsia="Times New Roman" w:hAnsi="Aptos" w:cs="Times New Roman"/>
          <w:kern w:val="0"/>
          <w:sz w:val="22"/>
          <w:szCs w:val="22"/>
          <w:lang w:eastAsia="en-GB"/>
          <w14:ligatures w14:val="none"/>
        </w:rPr>
        <w:t>fully-expanded</w:t>
      </w:r>
      <w:proofErr w:type="gramEnd"/>
      <w:r w:rsidRPr="0032251D">
        <w:rPr>
          <w:rFonts w:ascii="Aptos" w:eastAsia="Times New Roman" w:hAnsi="Aptos" w:cs="Times New Roman"/>
          <w:kern w:val="0"/>
          <w:sz w:val="22"/>
          <w:szCs w:val="22"/>
          <w:lang w:eastAsia="en-GB"/>
          <w14:ligatures w14:val="none"/>
        </w:rPr>
        <w:t xml:space="preserve"> decomposition:</w:t>
      </w:r>
    </w:p>
    <w:p w14:paraId="5AE1F6CF"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Nominal yield = Real expected short rate + Expected inflation + Inflation risk premium + Term premium − Convenience yield</w:t>
      </w:r>
    </w:p>
    <w:p w14:paraId="29C6419C"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This is the structural equation that links every node in the framework to the yield curve.</w:t>
      </w:r>
    </w:p>
    <w:p w14:paraId="35CFD26B" w14:textId="77777777" w:rsidR="009F15B2" w:rsidRPr="0032251D" w:rsidRDefault="009F15B2" w:rsidP="009F15B2">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AE7FA72">
          <v:rect id="_x0000_i1027" alt="" style="width:451.3pt;height:.05pt;mso-width-percent:0;mso-height-percent:0;mso-width-percent:0;mso-height-percent:0" o:hralign="center" o:hrstd="t" o:hr="t" fillcolor="#a0a0a0" stroked="f"/>
        </w:pict>
      </w:r>
    </w:p>
    <w:p w14:paraId="00C8170F"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lastRenderedPageBreak/>
        <w:t>Sub-node: Why this matters for asset prices</w:t>
      </w:r>
    </w:p>
    <w:p w14:paraId="1729592B"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yield curve is foundational because it is the discount rate input for every other asset.</w:t>
      </w:r>
    </w:p>
    <w:p w14:paraId="284E7B60"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Direct effects.</w:t>
      </w:r>
    </w:p>
    <w:p w14:paraId="65DFCC0E" w14:textId="77777777" w:rsidR="009F15B2" w:rsidRPr="0032251D" w:rsidRDefault="009F15B2" w:rsidP="009F15B2">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Government bond prices, mechanically</w:t>
      </w:r>
    </w:p>
    <w:p w14:paraId="55A423CB" w14:textId="77777777" w:rsidR="009F15B2" w:rsidRPr="0032251D" w:rsidRDefault="009F15B2" w:rsidP="009F15B2">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Mortgage rates (long Treasuries + MBS spread)</w:t>
      </w:r>
    </w:p>
    <w:p w14:paraId="14FDF7B8" w14:textId="77777777" w:rsidR="009F15B2" w:rsidRPr="0032251D" w:rsidRDefault="009F15B2" w:rsidP="009F15B2">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Corporate bond yields (Treasury + credit spread)</w:t>
      </w:r>
    </w:p>
    <w:p w14:paraId="6E150091" w14:textId="77777777" w:rsidR="009F15B2" w:rsidRPr="0032251D" w:rsidRDefault="009F15B2" w:rsidP="009F15B2">
      <w:pPr>
        <w:numPr>
          <w:ilvl w:val="0"/>
          <w:numId w:val="3"/>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Discount rates for cash-flow assets (equities, real estate, infrastructure)</w:t>
      </w:r>
    </w:p>
    <w:p w14:paraId="36C3B9C1"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Asymmetric effects across the curve.</w:t>
      </w:r>
      <w:r w:rsidRPr="0032251D">
        <w:rPr>
          <w:rFonts w:ascii="Aptos" w:eastAsia="Times New Roman" w:hAnsi="Aptos" w:cs="Times New Roman"/>
          <w:kern w:val="0"/>
          <w:sz w:val="22"/>
          <w:szCs w:val="22"/>
          <w:lang w:eastAsia="en-GB"/>
          <w14:ligatures w14:val="none"/>
        </w:rPr>
        <w:t xml:space="preserve"> A 25bp move at the front re-prices money market funds and front-end credit. A 25bp move at 10y re-prices mortgages, growth equity valuations, pension liability discount rates, and long-duration credit. Same nominal move, very different asset price consequences depending on which part of the curve moved.</w:t>
      </w:r>
    </w:p>
    <w:p w14:paraId="0DB9FD5A"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decomposition matters for interpretation.</w:t>
      </w:r>
      <w:r w:rsidRPr="0032251D">
        <w:rPr>
          <w:rFonts w:ascii="Aptos" w:eastAsia="Times New Roman" w:hAnsi="Aptos" w:cs="Times New Roman"/>
          <w:kern w:val="0"/>
          <w:sz w:val="22"/>
          <w:szCs w:val="22"/>
          <w:lang w:eastAsia="en-GB"/>
          <w14:ligatures w14:val="none"/>
        </w:rPr>
        <w:t xml:space="preserve"> The same headline move in the 10y yield can mean opposite things depending on which component drove it. A rise driven by expected short rates is hawkish — markets think the bank will hike more. A rise driven by term premium is something else entirely — fiscal worry, inflation uncertainty, QT supply pressure, or convenience yield compression — and policy stance has not changed. A risk analyst looking only at the headline yield misses this distinction; positioning depends on the component breakdown.</w:t>
      </w:r>
    </w:p>
    <w:p w14:paraId="3339302D"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Curve shape signals.</w:t>
      </w:r>
      <w:r w:rsidRPr="0032251D">
        <w:rPr>
          <w:rFonts w:ascii="Aptos" w:eastAsia="Times New Roman" w:hAnsi="Aptos" w:cs="Times New Roman"/>
          <w:kern w:val="0"/>
          <w:sz w:val="22"/>
          <w:szCs w:val="22"/>
          <w:lang w:eastAsia="en-GB"/>
          <w14:ligatures w14:val="none"/>
        </w:rPr>
        <w:t xml:space="preserve"> Steep curve = expected rate hikes or high term premium. Flat curve = expected rate cuts soon or low term premium. Inverted curve = expected rate cuts (historically predicts recession, with caveats — inversion since 2022 has not produced US recession on the historical schedule).</w:t>
      </w:r>
    </w:p>
    <w:p w14:paraId="33F9F6F4"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investment managers three practitioner points: first, curve positioning (</w:t>
      </w:r>
      <w:proofErr w:type="spellStart"/>
      <w:r w:rsidRPr="0032251D">
        <w:rPr>
          <w:rFonts w:ascii="Aptos" w:eastAsia="Times New Roman" w:hAnsi="Aptos" w:cs="Times New Roman"/>
          <w:kern w:val="0"/>
          <w:sz w:val="22"/>
          <w:szCs w:val="22"/>
          <w:lang w:eastAsia="en-GB"/>
          <w14:ligatures w14:val="none"/>
        </w:rPr>
        <w:t>steepeners</w:t>
      </w:r>
      <w:proofErr w:type="spellEnd"/>
      <w:r w:rsidRPr="0032251D">
        <w:rPr>
          <w:rFonts w:ascii="Aptos" w:eastAsia="Times New Roman" w:hAnsi="Aptos" w:cs="Times New Roman"/>
          <w:kern w:val="0"/>
          <w:sz w:val="22"/>
          <w:szCs w:val="22"/>
          <w:lang w:eastAsia="en-GB"/>
          <w14:ligatures w14:val="none"/>
        </w:rPr>
        <w:t xml:space="preserve"> vs flatteners) depends critically on which component is moving — same trade can win or lose depending on what drove the curve shift; second, term premium exposure is increasingly a strategic allocation decision (passive long-duration positions are concentrated term premium bets, often unhedged); third, in EM, yields trade against global convenience yield — when US Treasuries become more "convenient," EM yields widen even without domestic deterioration. This is the cleanest framework for understanding the 2013 taper tantrum, March 2020 dollar shortage, and similar episodes.</w:t>
      </w:r>
    </w:p>
    <w:p w14:paraId="1783C8DB" w14:textId="77777777" w:rsidR="009F15B2" w:rsidRPr="0032251D" w:rsidRDefault="009F15B2" w:rsidP="009F15B2">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07FCE24">
          <v:rect id="_x0000_i1028" alt="" style="width:451.3pt;height:.05pt;mso-width-percent:0;mso-height-percent:0;mso-width-percent:0;mso-height-percent:0" o:hralign="center" o:hrstd="t" o:hr="t" fillcolor="#a0a0a0" stroked="f"/>
        </w:pict>
      </w:r>
    </w:p>
    <w:p w14:paraId="35BD47B6"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3974D5E7"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EM yield curves differ from DM in seven structural ways.</w:t>
      </w:r>
    </w:p>
    <w:p w14:paraId="523ECF04"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risk premium.</w:t>
      </w:r>
      <w:r w:rsidRPr="0032251D">
        <w:rPr>
          <w:rFonts w:ascii="Aptos" w:eastAsia="Times New Roman" w:hAnsi="Aptos" w:cs="Times New Roman"/>
          <w:kern w:val="0"/>
          <w:sz w:val="22"/>
          <w:szCs w:val="22"/>
          <w:lang w:eastAsia="en-GB"/>
          <w14:ligatures w14:val="none"/>
        </w:rPr>
        <w:t xml:space="preserve"> EM long yields embed higher inflation risk premia. Long BEIs in EM are less anchored. SARB's 10y inflation-linked yields suggest BEI of 5-6%, vs </w:t>
      </w:r>
      <w:proofErr w:type="spellStart"/>
      <w:r w:rsidRPr="0032251D">
        <w:rPr>
          <w:rFonts w:ascii="Aptos" w:eastAsia="Times New Roman" w:hAnsi="Aptos" w:cs="Times New Roman"/>
          <w:kern w:val="0"/>
          <w:sz w:val="22"/>
          <w:szCs w:val="22"/>
          <w:lang w:eastAsia="en-GB"/>
          <w14:ligatures w14:val="none"/>
        </w:rPr>
        <w:t>Fed's</w:t>
      </w:r>
      <w:proofErr w:type="spellEnd"/>
      <w:r w:rsidRPr="0032251D">
        <w:rPr>
          <w:rFonts w:ascii="Aptos" w:eastAsia="Times New Roman" w:hAnsi="Aptos" w:cs="Times New Roman"/>
          <w:kern w:val="0"/>
          <w:sz w:val="22"/>
          <w:szCs w:val="22"/>
          <w:lang w:eastAsia="en-GB"/>
          <w14:ligatures w14:val="none"/>
        </w:rPr>
        <w:t xml:space="preserve"> of 2-2.5% — most of which is inflation risk premium rather than central tendency.</w:t>
      </w:r>
    </w:p>
    <w:p w14:paraId="4E98ACF6"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Sovereign credit premium.</w:t>
      </w:r>
      <w:r w:rsidRPr="0032251D">
        <w:rPr>
          <w:rFonts w:ascii="Aptos" w:eastAsia="Times New Roman" w:hAnsi="Aptos" w:cs="Times New Roman"/>
          <w:kern w:val="0"/>
          <w:sz w:val="22"/>
          <w:szCs w:val="22"/>
          <w:lang w:eastAsia="en-GB"/>
          <w14:ligatures w14:val="none"/>
        </w:rPr>
        <w:t xml:space="preserve"> EM sovereign yields include credit risk in their own currency. Theoretically zero for a sovereign issuing in its own currency (it can print), but markets price it because of denomination risk, default willingness, and fiscal sustainability. SA 10y trades 4-6% above US 10y; not all of that is rate differential — credit and currency premia are embedded.</w:t>
      </w:r>
    </w:p>
    <w:p w14:paraId="52303168"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Convenience yield exposure.</w:t>
      </w:r>
      <w:r w:rsidRPr="0032251D">
        <w:rPr>
          <w:rFonts w:ascii="Aptos" w:eastAsia="Times New Roman" w:hAnsi="Aptos" w:cs="Times New Roman"/>
          <w:kern w:val="0"/>
          <w:sz w:val="22"/>
          <w:szCs w:val="22"/>
          <w:lang w:eastAsia="en-GB"/>
          <w14:ligatures w14:val="none"/>
        </w:rPr>
        <w:t xml:space="preserve"> EM local-currency bonds trade against global convenience yield. When global safe-asset demand spikes (flight to quality), EM curves widen even without domestic deterioration. This is a cross-currency convenience yield mechanism that DM markets do not face symmetrically.</w:t>
      </w:r>
    </w:p>
    <w:p w14:paraId="1DE44D08"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Liquidity premium.</w:t>
      </w:r>
      <w:r w:rsidRPr="0032251D">
        <w:rPr>
          <w:rFonts w:ascii="Aptos" w:eastAsia="Times New Roman" w:hAnsi="Aptos" w:cs="Times New Roman"/>
          <w:kern w:val="0"/>
          <w:sz w:val="22"/>
          <w:szCs w:val="22"/>
          <w:lang w:eastAsia="en-GB"/>
          <w14:ligatures w14:val="none"/>
        </w:rPr>
        <w:t xml:space="preserve"> EM bond markets are thinner. Liquidity premia are larger and more variable. On-the-run vs off-the-run spreads in SA can be 10-20bp; in the US 1-3bp.</w:t>
      </w:r>
    </w:p>
    <w:p w14:paraId="5A6BF51C"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Foreign holder share.</w:t>
      </w:r>
      <w:r w:rsidRPr="0032251D">
        <w:rPr>
          <w:rFonts w:ascii="Aptos" w:eastAsia="Times New Roman" w:hAnsi="Aptos" w:cs="Times New Roman"/>
          <w:kern w:val="0"/>
          <w:sz w:val="22"/>
          <w:szCs w:val="22"/>
          <w:lang w:eastAsia="en-GB"/>
          <w14:ligatures w14:val="none"/>
        </w:rPr>
        <w:t xml:space="preserve"> EM bond markets have variable foreign holder share, which drives sensitivity to global flows. SA foreign holder share peaked above 40% pre-2018; now around 20%. The decline matters because foreign-held positioning is what gets sold first in stress.</w:t>
      </w:r>
    </w:p>
    <w:p w14:paraId="7AA71EC4"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Maturity coverage.</w:t>
      </w:r>
      <w:r w:rsidRPr="0032251D">
        <w:rPr>
          <w:rFonts w:ascii="Aptos" w:eastAsia="Times New Roman" w:hAnsi="Aptos" w:cs="Times New Roman"/>
          <w:kern w:val="0"/>
          <w:sz w:val="22"/>
          <w:szCs w:val="22"/>
          <w:lang w:eastAsia="en-GB"/>
          <w14:ligatures w14:val="none"/>
        </w:rPr>
        <w:t xml:space="preserve"> EM curves often do not extend as far as DM. SA's longest benchmark (R2053) is shorter than the US 30y; many EMs have no liquid 20y+ bonds. This complicates fixed-income hedging for long-duration liabilities.</w:t>
      </w:r>
    </w:p>
    <w:p w14:paraId="78543F1C"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Reaction function transmission.</w:t>
      </w:r>
      <w:r w:rsidRPr="0032251D">
        <w:rPr>
          <w:rFonts w:ascii="Aptos" w:eastAsia="Times New Roman" w:hAnsi="Aptos" w:cs="Times New Roman"/>
          <w:kern w:val="0"/>
          <w:sz w:val="22"/>
          <w:szCs w:val="22"/>
          <w:lang w:eastAsia="en-GB"/>
          <w14:ligatures w14:val="none"/>
        </w:rPr>
        <w:t xml:space="preserve"> EM curves price the bank's FX-sensitive reaction function.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they are more FX-responsive than DM curves — a USD-ZAR shock moves the SA curve through both expected-rate and term-premium channels simultaneously.</w:t>
      </w:r>
    </w:p>
    <w:p w14:paraId="53060364"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SA specifically.</w:t>
      </w:r>
      <w:r w:rsidRPr="0032251D">
        <w:rPr>
          <w:rFonts w:ascii="Aptos" w:eastAsia="Times New Roman" w:hAnsi="Aptos" w:cs="Times New Roman"/>
          <w:kern w:val="0"/>
          <w:sz w:val="22"/>
          <w:szCs w:val="22"/>
          <w:lang w:eastAsia="en-GB"/>
          <w14:ligatures w14:val="none"/>
        </w:rPr>
        <w:t xml:space="preserve"> The R-bond curve trades via benchmark names — R186, R208, R213, R2030, R2032, R2035, R2040, R2044, R2048, R2053. Inflation-linked bonds — I-series, I2025 through I2050. ZAR forwards and FRA/swap curves provide alternative reads. The R2030 and R2035 are the key liquidity benchmarks. Foreign </w:t>
      </w:r>
      <w:proofErr w:type="gramStart"/>
      <w:r w:rsidRPr="0032251D">
        <w:rPr>
          <w:rFonts w:ascii="Aptos" w:eastAsia="Times New Roman" w:hAnsi="Aptos" w:cs="Times New Roman"/>
          <w:kern w:val="0"/>
          <w:sz w:val="22"/>
          <w:szCs w:val="22"/>
          <w:lang w:eastAsia="en-GB"/>
          <w14:ligatures w14:val="none"/>
        </w:rPr>
        <w:t>holder</w:t>
      </w:r>
      <w:proofErr w:type="gramEnd"/>
      <w:r w:rsidRPr="0032251D">
        <w:rPr>
          <w:rFonts w:ascii="Aptos" w:eastAsia="Times New Roman" w:hAnsi="Aptos" w:cs="Times New Roman"/>
          <w:kern w:val="0"/>
          <w:sz w:val="22"/>
          <w:szCs w:val="22"/>
          <w:lang w:eastAsia="en-GB"/>
          <w14:ligatures w14:val="none"/>
        </w:rPr>
        <w:t xml:space="preserve"> share collapse 2018-2024 changed the curve's transmission characteristics — less foreign positioning means less stress-vol but also less anchoring during global episodes.</w:t>
      </w:r>
    </w:p>
    <w:p w14:paraId="28BCF4A9" w14:textId="77777777" w:rsidR="009F15B2" w:rsidRPr="0032251D" w:rsidRDefault="009F15B2" w:rsidP="009F15B2">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214161E">
          <v:rect id="_x0000_i1029" alt="" style="width:451.3pt;height:.05pt;mso-width-percent:0;mso-height-percent:0;mso-width-percent:0;mso-height-percent:0" o:hralign="center" o:hrstd="t" o:hr="t" fillcolor="#a0a0a0" stroked="f"/>
        </w:pict>
      </w:r>
    </w:p>
    <w:p w14:paraId="7402CF5C"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Measurement choices</w:t>
      </w:r>
    </w:p>
    <w:p w14:paraId="2AD9DFB4"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market nodes, measurement is operationally rich. Key choices:</w:t>
      </w:r>
    </w:p>
    <w:p w14:paraId="0367C9CC"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Bond vs swap curve.</w:t>
      </w:r>
      <w:r w:rsidRPr="0032251D">
        <w:rPr>
          <w:rFonts w:ascii="Aptos" w:eastAsia="Times New Roman" w:hAnsi="Aptos" w:cs="Times New Roman"/>
          <w:kern w:val="0"/>
          <w:sz w:val="22"/>
          <w:szCs w:val="22"/>
          <w:lang w:eastAsia="en-GB"/>
          <w14:ligatures w14:val="none"/>
        </w:rPr>
        <w:t xml:space="preserve"> Bond curves include sovereign credit; swap curves include bank credit. For monetary policy transmission, swap curves are sometimes cleaner; for sovereign analysis, bond curves are right. The Treasury-OIS basis itself carries information about collateral pricing and dealer balance sheet stress.</w:t>
      </w:r>
    </w:p>
    <w:p w14:paraId="3FB53C93"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On-the-run vs off-the-run.</w:t>
      </w:r>
      <w:r w:rsidRPr="0032251D">
        <w:rPr>
          <w:rFonts w:ascii="Aptos" w:eastAsia="Times New Roman" w:hAnsi="Aptos" w:cs="Times New Roman"/>
          <w:kern w:val="0"/>
          <w:sz w:val="22"/>
          <w:szCs w:val="22"/>
          <w:lang w:eastAsia="en-GB"/>
          <w14:ligatures w14:val="none"/>
        </w:rPr>
        <w:t xml:space="preserve"> On-the-run bonds trade with a liquidity premium. For "the 10y yield" — use which? The on-the-run vs off-the-run basis is 1-3bp in the US, larger in EM.</w:t>
      </w:r>
    </w:p>
    <w:p w14:paraId="26E1A65A"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Zero-coupon vs par yield.</w:t>
      </w:r>
      <w:r w:rsidRPr="0032251D">
        <w:rPr>
          <w:rFonts w:ascii="Aptos" w:eastAsia="Times New Roman" w:hAnsi="Aptos" w:cs="Times New Roman"/>
          <w:kern w:val="0"/>
          <w:sz w:val="22"/>
          <w:szCs w:val="22"/>
          <w:lang w:eastAsia="en-GB"/>
          <w14:ligatures w14:val="none"/>
        </w:rPr>
        <w:t xml:space="preserve"> Zero-coupon yields are theoretically right but require interpolation from observed coupon bonds. Par yields are observable but mix coupon and principal effects. ACM uses zero-coupon. Most market practitioners use par.</w:t>
      </w:r>
    </w:p>
    <w:p w14:paraId="39B78118"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Term premium model.</w:t>
      </w:r>
      <w:r w:rsidRPr="0032251D">
        <w:rPr>
          <w:rFonts w:ascii="Aptos" w:eastAsia="Times New Roman" w:hAnsi="Aptos" w:cs="Times New Roman"/>
          <w:kern w:val="0"/>
          <w:sz w:val="22"/>
          <w:szCs w:val="22"/>
          <w:lang w:eastAsia="en-GB"/>
          <w14:ligatures w14:val="none"/>
        </w:rPr>
        <w:t xml:space="preserve"> ACM vs Kim-Wright vs others. Same data, different decompositions. Cross-check across models is good practice; using one model exclusively risks model-specific artefacts driving conclusions.</w:t>
      </w:r>
    </w:p>
    <w:p w14:paraId="4FE04A9D"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Real yield estimation.</w:t>
      </w:r>
      <w:r w:rsidRPr="0032251D">
        <w:rPr>
          <w:rFonts w:ascii="Aptos" w:eastAsia="Times New Roman" w:hAnsi="Aptos" w:cs="Times New Roman"/>
          <w:kern w:val="0"/>
          <w:sz w:val="22"/>
          <w:szCs w:val="22"/>
          <w:lang w:eastAsia="en-GB"/>
          <w14:ligatures w14:val="none"/>
        </w:rPr>
        <w:t xml:space="preserve"> Real yields from inflation-linked bonds include a liquidity premium that distorts the BEI decomposition. The Treasury-TIPS basis swap (which neutralises the liquidity premium) can adjust this but is itself a small market.</w:t>
      </w:r>
    </w:p>
    <w:p w14:paraId="6A9B3B27"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Curve construction method.</w:t>
      </w:r>
      <w:r w:rsidRPr="0032251D">
        <w:rPr>
          <w:rFonts w:ascii="Aptos" w:eastAsia="Times New Roman" w:hAnsi="Aptos" w:cs="Times New Roman"/>
          <w:kern w:val="0"/>
          <w:sz w:val="22"/>
          <w:szCs w:val="22"/>
          <w:lang w:eastAsia="en-GB"/>
          <w14:ligatures w14:val="none"/>
        </w:rPr>
        <w:t xml:space="preserve"> Nelson-Siegel-Svensson vs spline methods give different fits, especially at the wings. Daily curve estimates can differ across providers (Bloomberg, Refinitiv, FRBs).</w:t>
      </w:r>
    </w:p>
    <w:p w14:paraId="60394A5E"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Maturity benchmark choice.</w:t>
      </w:r>
      <w:r w:rsidRPr="0032251D">
        <w:rPr>
          <w:rFonts w:ascii="Aptos" w:eastAsia="Times New Roman" w:hAnsi="Aptos" w:cs="Times New Roman"/>
          <w:kern w:val="0"/>
          <w:sz w:val="22"/>
          <w:szCs w:val="22"/>
          <w:lang w:eastAsia="en-GB"/>
          <w14:ligatures w14:val="none"/>
        </w:rPr>
        <w:t xml:space="preserve"> "10y" can be a constant-maturity construct (smoother, theoretical) or a specific bond (tradable, exposed to roll dynamics). Different empirical questions warrant different choices.</w:t>
      </w:r>
    </w:p>
    <w:p w14:paraId="10E6D404"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Stale-price problem.</w:t>
      </w:r>
      <w:r w:rsidRPr="0032251D">
        <w:rPr>
          <w:rFonts w:ascii="Aptos" w:eastAsia="Times New Roman" w:hAnsi="Aptos" w:cs="Times New Roman"/>
          <w:kern w:val="0"/>
          <w:sz w:val="22"/>
          <w:szCs w:val="22"/>
          <w:lang w:eastAsia="en-GB"/>
          <w14:ligatures w14:val="none"/>
        </w:rPr>
        <w:t xml:space="preserve"> Especially relevant for EM curves with thinner liquidity. End-of-day yields may not reflect tradeable prices; intraday or VWAP measures are more reliable for high-frequency identification.</w:t>
      </w:r>
    </w:p>
    <w:p w14:paraId="02604518" w14:textId="77777777" w:rsidR="009F15B2" w:rsidRPr="0032251D" w:rsidRDefault="009F15B2" w:rsidP="009F15B2">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7A14AF8">
          <v:rect id="_x0000_i1030" alt="" style="width:451.3pt;height:.05pt;mso-width-percent:0;mso-height-percent:0;mso-width-percent:0;mso-height-percent:0" o:hralign="center" o:hrstd="t" o:hr="t" fillcolor="#a0a0a0" stroked="f"/>
        </w:pict>
      </w:r>
    </w:p>
    <w:p w14:paraId="42476091"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47507305"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L4a:</w:t>
      </w:r>
    </w:p>
    <w:p w14:paraId="74595736"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Curve shape components — slope, curvature, term premium estimate, Treasury-OIS basis, on-the-run vs off-the-run — should imply a consistent regime read. Dissonance fires when:</w:t>
      </w:r>
    </w:p>
    <w:p w14:paraId="2273AF00" w14:textId="77777777" w:rsidR="009F15B2" w:rsidRPr="0032251D" w:rsidRDefault="009F15B2" w:rsidP="009F15B2">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Slope and term premium imply contradictory regime reads (steepening with falling term premium is unusual; usually steepening reflects expectations of more hikes or rising term premium, not both)</w:t>
      </w:r>
    </w:p>
    <w:p w14:paraId="4B0D5A8E" w14:textId="77777777" w:rsidR="009F15B2" w:rsidRPr="0032251D" w:rsidRDefault="009F15B2" w:rsidP="009F15B2">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Curvature spikes outside historical ranges — typically a regime-transition signature</w:t>
      </w:r>
    </w:p>
    <w:p w14:paraId="5A57E555" w14:textId="77777777" w:rsidR="009F15B2" w:rsidRPr="0032251D" w:rsidRDefault="009F15B2" w:rsidP="009F15B2">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Treasury-OIS basis widens — collateral / dealer balance sheet stress, market plumbing breaking</w:t>
      </w:r>
    </w:p>
    <w:p w14:paraId="7905CF5C" w14:textId="77777777" w:rsidR="009F15B2" w:rsidRPr="0032251D" w:rsidRDefault="009F15B2" w:rsidP="009F15B2">
      <w:pPr>
        <w:numPr>
          <w:ilvl w:val="0"/>
          <w:numId w:val="4"/>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Real yields and BEIs move inconsistent with nominal yield decomposition — the Fisher relationship straining</w:t>
      </w:r>
    </w:p>
    <w:p w14:paraId="6EF0E252"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Incoming relationships.</w:t>
      </w:r>
      <w:r w:rsidRPr="0032251D">
        <w:rPr>
          <w:rFonts w:ascii="Aptos" w:eastAsia="Times New Roman" w:hAnsi="Aptos" w:cs="Times New Roman"/>
          <w:kern w:val="0"/>
          <w:sz w:val="22"/>
          <w:szCs w:val="22"/>
          <w:lang w:eastAsia="en-GB"/>
          <w14:ligatures w14:val="none"/>
        </w:rPr>
        <w:t xml:space="preserve"> The yield curve is the consolidator of L1, L3a, L3b, L3c effects. Dissonance from above flows into L4a as the integrated market read:</w:t>
      </w:r>
    </w:p>
    <w:p w14:paraId="2A276531" w14:textId="77777777" w:rsidR="009F15B2" w:rsidRPr="0032251D" w:rsidRDefault="009F15B2" w:rsidP="009F15B2">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L1 → L4a: curve prices a different reaction function from the estimated one</w:t>
      </w:r>
    </w:p>
    <w:p w14:paraId="4461D6F3" w14:textId="77777777" w:rsidR="009F15B2" w:rsidRPr="0032251D" w:rsidRDefault="009F15B2" w:rsidP="009F15B2">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L3a → L4a: front re-prices but slope/curvature inconsistent with the rule (front-back disagreement)</w:t>
      </w:r>
    </w:p>
    <w:p w14:paraId="7880136C" w14:textId="77777777" w:rsidR="009F15B2" w:rsidRPr="0032251D" w:rsidRDefault="009F15B2" w:rsidP="009F15B2">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L3b → L4a: balance sheet operations not producing the expected term premium response</w:t>
      </w:r>
    </w:p>
    <w:p w14:paraId="64760CB2" w14:textId="77777777" w:rsidR="009F15B2" w:rsidRPr="0032251D" w:rsidRDefault="009F15B2" w:rsidP="009F15B2">
      <w:pPr>
        <w:numPr>
          <w:ilvl w:val="0"/>
          <w:numId w:val="5"/>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L3c → L4a: guidance moves but belly does not follow (credibility leak visible in the curve)</w:t>
      </w:r>
    </w:p>
    <w:p w14:paraId="1FD1E940"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Peer relationships within L4.</w:t>
      </w:r>
      <w:r w:rsidRPr="0032251D">
        <w:rPr>
          <w:rFonts w:ascii="Aptos" w:eastAsia="Times New Roman" w:hAnsi="Aptos" w:cs="Times New Roman"/>
          <w:kern w:val="0"/>
          <w:sz w:val="22"/>
          <w:szCs w:val="22"/>
          <w:lang w:eastAsia="en-GB"/>
          <w14:ligatures w14:val="none"/>
        </w:rPr>
        <w:t xml:space="preserve"> The yield curve, FX (L4b), inflation-linked (L4c), and volatility surface (L4d) jointly characterise the market regime. Dissonance fires when the curve disagrees with what FX, BEIs, or vol are simultaneously pricing — e.g., yield curve steepening with FX strengthening and vol falling, when the framework says these should move together.</w:t>
      </w:r>
    </w:p>
    <w:p w14:paraId="52EDF4E5"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Outgoing relationships.</w:t>
      </w:r>
      <w:r w:rsidRPr="0032251D">
        <w:rPr>
          <w:rFonts w:ascii="Aptos" w:eastAsia="Times New Roman" w:hAnsi="Aptos" w:cs="Times New Roman"/>
          <w:kern w:val="0"/>
          <w:sz w:val="22"/>
          <w:szCs w:val="22"/>
          <w:lang w:eastAsia="en-GB"/>
          <w14:ligatures w14:val="none"/>
        </w:rPr>
        <w:t xml:space="preserve"> The yield curve is the input to discount rates (L8), financial conditions (L7), bank NIM (L5a), and asset prices (L9). Dissonance fires when curve moves do not translate downstream — segmentation in transmission, or curve disconnecting from what other prices are implying.</w:t>
      </w:r>
    </w:p>
    <w:p w14:paraId="0DD8DB52" w14:textId="77777777" w:rsidR="009F15B2" w:rsidRPr="0032251D" w:rsidRDefault="009F15B2" w:rsidP="009F15B2">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L4a node is the </w:t>
      </w:r>
      <w:r w:rsidRPr="0032251D">
        <w:rPr>
          <w:rFonts w:ascii="Aptos" w:eastAsia="Times New Roman" w:hAnsi="Aptos" w:cs="Times New Roman"/>
          <w:i/>
          <w:iCs/>
          <w:kern w:val="0"/>
          <w:sz w:val="22"/>
          <w:szCs w:val="22"/>
          <w:lang w:eastAsia="en-GB"/>
          <w14:ligatures w14:val="none"/>
        </w:rPr>
        <w:t>market integrator</w:t>
      </w:r>
      <w:r w:rsidRPr="0032251D">
        <w:rPr>
          <w:rFonts w:ascii="Aptos" w:eastAsia="Times New Roman" w:hAnsi="Aptos" w:cs="Times New Roman"/>
          <w:kern w:val="0"/>
          <w:sz w:val="22"/>
          <w:szCs w:val="22"/>
          <w:lang w:eastAsia="en-GB"/>
          <w14:ligatures w14:val="none"/>
        </w:rPr>
        <w:t xml:space="preserve">. It is where every L1-L3 dissonance ultimately manifests as a tradable price, and where measurement is richest. Dissonance at L4a is rarely an origin point — it is usually the consequence of dissonance somewhere else in the framework, made visible in the most-watched market. For empirical work, the yield curve is therefore both the </w:t>
      </w:r>
      <w:r w:rsidRPr="0032251D">
        <w:rPr>
          <w:rFonts w:ascii="Aptos" w:eastAsia="Times New Roman" w:hAnsi="Aptos" w:cs="Times New Roman"/>
          <w:i/>
          <w:iCs/>
          <w:kern w:val="0"/>
          <w:sz w:val="22"/>
          <w:szCs w:val="22"/>
          <w:lang w:eastAsia="en-GB"/>
          <w14:ligatures w14:val="none"/>
        </w:rPr>
        <w:t>output</w:t>
      </w:r>
      <w:r w:rsidRPr="0032251D">
        <w:rPr>
          <w:rFonts w:ascii="Aptos" w:eastAsia="Times New Roman" w:hAnsi="Aptos" w:cs="Times New Roman"/>
          <w:kern w:val="0"/>
          <w:sz w:val="22"/>
          <w:szCs w:val="22"/>
          <w:lang w:eastAsia="en-GB"/>
          <w14:ligatures w14:val="none"/>
        </w:rPr>
        <w:t xml:space="preserve"> (where stress shows up) and the </w:t>
      </w:r>
      <w:r w:rsidRPr="0032251D">
        <w:rPr>
          <w:rFonts w:ascii="Aptos" w:eastAsia="Times New Roman" w:hAnsi="Aptos" w:cs="Times New Roman"/>
          <w:i/>
          <w:iCs/>
          <w:kern w:val="0"/>
          <w:sz w:val="22"/>
          <w:szCs w:val="22"/>
          <w:lang w:eastAsia="en-GB"/>
          <w14:ligatures w14:val="none"/>
        </w:rPr>
        <w:t>measurement instrument</w:t>
      </w:r>
      <w:r w:rsidRPr="0032251D">
        <w:rPr>
          <w:rFonts w:ascii="Aptos" w:eastAsia="Times New Roman" w:hAnsi="Aptos" w:cs="Times New Roman"/>
          <w:kern w:val="0"/>
          <w:sz w:val="22"/>
          <w:szCs w:val="22"/>
          <w:lang w:eastAsia="en-GB"/>
          <w14:ligatures w14:val="none"/>
        </w:rPr>
        <w:t xml:space="preserve"> (the cleanest read on integrated stance and credibility). It is the most informationally dense node in the framework.</w:t>
      </w:r>
    </w:p>
    <w:p w14:paraId="4219DF61" w14:textId="77777777" w:rsidR="004B4A76" w:rsidRDefault="004B4A76"/>
    <w:sectPr w:rsidR="004B4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1382E"/>
    <w:multiLevelType w:val="multilevel"/>
    <w:tmpl w:val="0D1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47B7B"/>
    <w:multiLevelType w:val="multilevel"/>
    <w:tmpl w:val="015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8094B"/>
    <w:multiLevelType w:val="multilevel"/>
    <w:tmpl w:val="602A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50324C"/>
    <w:multiLevelType w:val="multilevel"/>
    <w:tmpl w:val="ABF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95846"/>
    <w:multiLevelType w:val="multilevel"/>
    <w:tmpl w:val="7AC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403750">
    <w:abstractNumId w:val="2"/>
  </w:num>
  <w:num w:numId="2" w16cid:durableId="584606786">
    <w:abstractNumId w:val="0"/>
  </w:num>
  <w:num w:numId="3" w16cid:durableId="1480923530">
    <w:abstractNumId w:val="4"/>
  </w:num>
  <w:num w:numId="4" w16cid:durableId="1337080009">
    <w:abstractNumId w:val="3"/>
  </w:num>
  <w:num w:numId="5" w16cid:durableId="1101530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A9"/>
    <w:rsid w:val="003B1C21"/>
    <w:rsid w:val="004B4A76"/>
    <w:rsid w:val="008D2B38"/>
    <w:rsid w:val="009A66A9"/>
    <w:rsid w:val="009F15B2"/>
    <w:rsid w:val="00D8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6DD9"/>
  <w15:chartTrackingRefBased/>
  <w15:docId w15:val="{889EA04A-0FB8-43AA-ABF9-71A57FBF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5B2"/>
    <w:rPr>
      <w:lang w:val="en-ZA"/>
    </w:rPr>
  </w:style>
  <w:style w:type="paragraph" w:styleId="Heading1">
    <w:name w:val="heading 1"/>
    <w:basedOn w:val="Normal"/>
    <w:next w:val="Normal"/>
    <w:link w:val="Heading1Char"/>
    <w:uiPriority w:val="9"/>
    <w:qFormat/>
    <w:rsid w:val="009A6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6A9"/>
    <w:rPr>
      <w:rFonts w:eastAsiaTheme="majorEastAsia" w:cstheme="majorBidi"/>
      <w:color w:val="272727" w:themeColor="text1" w:themeTint="D8"/>
    </w:rPr>
  </w:style>
  <w:style w:type="paragraph" w:styleId="Title">
    <w:name w:val="Title"/>
    <w:basedOn w:val="Normal"/>
    <w:next w:val="Normal"/>
    <w:link w:val="TitleChar"/>
    <w:uiPriority w:val="10"/>
    <w:qFormat/>
    <w:rsid w:val="009A6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6A9"/>
    <w:pPr>
      <w:spacing w:before="160"/>
      <w:jc w:val="center"/>
    </w:pPr>
    <w:rPr>
      <w:i/>
      <w:iCs/>
      <w:color w:val="404040" w:themeColor="text1" w:themeTint="BF"/>
    </w:rPr>
  </w:style>
  <w:style w:type="character" w:customStyle="1" w:styleId="QuoteChar">
    <w:name w:val="Quote Char"/>
    <w:basedOn w:val="DefaultParagraphFont"/>
    <w:link w:val="Quote"/>
    <w:uiPriority w:val="29"/>
    <w:rsid w:val="009A66A9"/>
    <w:rPr>
      <w:i/>
      <w:iCs/>
      <w:color w:val="404040" w:themeColor="text1" w:themeTint="BF"/>
    </w:rPr>
  </w:style>
  <w:style w:type="paragraph" w:styleId="ListParagraph">
    <w:name w:val="List Paragraph"/>
    <w:basedOn w:val="Normal"/>
    <w:uiPriority w:val="34"/>
    <w:qFormat/>
    <w:rsid w:val="009A66A9"/>
    <w:pPr>
      <w:ind w:left="720"/>
      <w:contextualSpacing/>
    </w:pPr>
  </w:style>
  <w:style w:type="character" w:styleId="IntenseEmphasis">
    <w:name w:val="Intense Emphasis"/>
    <w:basedOn w:val="DefaultParagraphFont"/>
    <w:uiPriority w:val="21"/>
    <w:qFormat/>
    <w:rsid w:val="009A66A9"/>
    <w:rPr>
      <w:i/>
      <w:iCs/>
      <w:color w:val="0F4761" w:themeColor="accent1" w:themeShade="BF"/>
    </w:rPr>
  </w:style>
  <w:style w:type="paragraph" w:styleId="IntenseQuote">
    <w:name w:val="Intense Quote"/>
    <w:basedOn w:val="Normal"/>
    <w:next w:val="Normal"/>
    <w:link w:val="IntenseQuoteChar"/>
    <w:uiPriority w:val="30"/>
    <w:qFormat/>
    <w:rsid w:val="009A6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6A9"/>
    <w:rPr>
      <w:i/>
      <w:iCs/>
      <w:color w:val="0F4761" w:themeColor="accent1" w:themeShade="BF"/>
    </w:rPr>
  </w:style>
  <w:style w:type="character" w:styleId="IntenseReference">
    <w:name w:val="Intense Reference"/>
    <w:basedOn w:val="DefaultParagraphFont"/>
    <w:uiPriority w:val="32"/>
    <w:qFormat/>
    <w:rsid w:val="009A6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1945</Words>
  <Characters>12042</Characters>
  <Application>Microsoft Office Word</Application>
  <DocSecurity>0</DocSecurity>
  <Lines>200</Lines>
  <Paragraphs>84</Paragraphs>
  <ScaleCrop>false</ScaleCrop>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2026-05-16T14:07:00Z</dcterms:created>
  <dcterms:modified xsi:type="dcterms:W3CDTF">2026-05-16T14:09:00Z</dcterms:modified>
</cp:coreProperties>
</file>