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7BAE" w14:textId="030229FD" w:rsidR="004B4A76" w:rsidRPr="005469E4" w:rsidRDefault="005469E4" w:rsidP="005469E4">
      <w:pPr>
        <w:jc w:val="center"/>
        <w:rPr>
          <w:b/>
          <w:bCs/>
        </w:rPr>
      </w:pPr>
      <w:r w:rsidRPr="005469E4">
        <w:rPr>
          <w:b/>
          <w:bCs/>
        </w:rPr>
        <w:t>Theory</w:t>
      </w:r>
    </w:p>
    <w:p w14:paraId="63241AE0" w14:textId="77777777" w:rsidR="005469E4" w:rsidRPr="005469E4" w:rsidRDefault="005469E4" w:rsidP="005469E4">
      <w:pPr>
        <w:jc w:val="center"/>
        <w:rPr>
          <w:b/>
          <w:bCs/>
          <w:sz w:val="22"/>
          <w:szCs w:val="22"/>
        </w:rPr>
      </w:pPr>
      <w:r w:rsidRPr="005469E4">
        <w:rPr>
          <w:b/>
          <w:bCs/>
          <w:sz w:val="22"/>
          <w:szCs w:val="22"/>
        </w:rPr>
        <w:t>L3a ↔ L3c — Policy Rate ↔ Forward Guidance</w:t>
      </w:r>
    </w:p>
    <w:p w14:paraId="7B27F57D" w14:textId="57490E19" w:rsidR="005469E4" w:rsidRPr="005469E4" w:rsidRDefault="005469E4" w:rsidP="005469E4">
      <w:pPr>
        <w:rPr>
          <w:sz w:val="22"/>
          <w:szCs w:val="22"/>
        </w:rPr>
      </w:pPr>
      <w:r w:rsidRPr="005469E4">
        <w:rPr>
          <w:sz w:val="22"/>
          <w:szCs w:val="22"/>
        </w:rPr>
        <w:t xml:space="preserve">Both instruments are active for SARB. The edge fires on </w:t>
      </w:r>
      <w:r w:rsidRPr="005469E4">
        <w:rPr>
          <w:b/>
          <w:bCs/>
          <w:sz w:val="22"/>
          <w:szCs w:val="22"/>
        </w:rPr>
        <w:t>credibility</w:t>
      </w:r>
      <w:r w:rsidRPr="005469E4">
        <w:rPr>
          <w:sz w:val="22"/>
          <w:szCs w:val="22"/>
        </w:rPr>
        <w:t xml:space="preserve"> — does the bank do what it says it will do, and is what it says coherent with what it just did? Three observations should land before we walk through the four steps.</w:t>
      </w:r>
    </w:p>
    <w:p w14:paraId="4701AEC0" w14:textId="77777777" w:rsidR="005469E4" w:rsidRPr="005469E4" w:rsidRDefault="005469E4" w:rsidP="005469E4">
      <w:pPr>
        <w:rPr>
          <w:sz w:val="22"/>
          <w:szCs w:val="22"/>
        </w:rPr>
      </w:pPr>
      <w:r w:rsidRPr="005469E4">
        <w:rPr>
          <w:b/>
          <w:bCs/>
          <w:sz w:val="22"/>
          <w:szCs w:val="22"/>
        </w:rPr>
        <w:t>First</w:t>
      </w:r>
      <w:r w:rsidRPr="005469E4">
        <w:rPr>
          <w:sz w:val="22"/>
          <w:szCs w:val="22"/>
        </w:rPr>
        <w:t xml:space="preserve">, the architecture changes shape from a peer comparison of </w:t>
      </w:r>
      <w:r w:rsidRPr="005469E4">
        <w:rPr>
          <w:i/>
          <w:iCs/>
          <w:sz w:val="22"/>
          <w:szCs w:val="22"/>
        </w:rPr>
        <w:t>like with like</w:t>
      </w:r>
      <w:r w:rsidRPr="005469E4">
        <w:rPr>
          <w:sz w:val="22"/>
          <w:szCs w:val="22"/>
        </w:rPr>
        <w:t xml:space="preserve"> (rate and balance sheet, both stance instruments on different axes) to a peer comparison of </w:t>
      </w:r>
      <w:r w:rsidRPr="005469E4">
        <w:rPr>
          <w:i/>
          <w:iCs/>
          <w:sz w:val="22"/>
          <w:szCs w:val="22"/>
        </w:rPr>
        <w:t>action and communication about that action</w:t>
      </w:r>
      <w:r w:rsidRPr="005469E4">
        <w:rPr>
          <w:sz w:val="22"/>
          <w:szCs w:val="22"/>
        </w:rPr>
        <w:t xml:space="preserve">. The two sides are mechanically related — the bank's current rate decision is one observation; its statement and presser at the same meeting are the second observation, and the </w:t>
      </w:r>
      <w:r w:rsidRPr="005469E4">
        <w:rPr>
          <w:i/>
          <w:iCs/>
          <w:sz w:val="22"/>
          <w:szCs w:val="22"/>
        </w:rPr>
        <w:t>prior</w:t>
      </w:r>
      <w:r w:rsidRPr="005469E4">
        <w:rPr>
          <w:sz w:val="22"/>
          <w:szCs w:val="22"/>
        </w:rPr>
        <w:t xml:space="preserve"> meeting's guidance is a third. That third anchor is what makes this edge the framework's cleanest single credibility signal.</w:t>
      </w:r>
    </w:p>
    <w:p w14:paraId="2699DCC9" w14:textId="77777777" w:rsidR="005469E4" w:rsidRPr="005469E4" w:rsidRDefault="005469E4" w:rsidP="005469E4">
      <w:pPr>
        <w:rPr>
          <w:sz w:val="22"/>
          <w:szCs w:val="22"/>
        </w:rPr>
      </w:pPr>
      <w:r w:rsidRPr="005469E4">
        <w:rPr>
          <w:b/>
          <w:bCs/>
          <w:sz w:val="22"/>
          <w:szCs w:val="22"/>
        </w:rPr>
        <w:t>Second</w:t>
      </w:r>
      <w:r w:rsidRPr="005469E4">
        <w:rPr>
          <w:sz w:val="22"/>
          <w:szCs w:val="22"/>
        </w:rPr>
        <w:t xml:space="preserve">, the SA pilot is genuinely live. SARB MPC statements are in English, the Governor's press conference produces a corpus of transcribable text, and since November 2017 the QPM-based projected repo path is published as part of the MPR. The Level 1 Estimation doc treats SA as "NLP-only" for L1↔L3c — that's defensible as a conservative pre-registration, but worth flagging that we </w:t>
      </w:r>
      <w:r w:rsidRPr="005469E4">
        <w:rPr>
          <w:i/>
          <w:iCs/>
          <w:sz w:val="22"/>
          <w:szCs w:val="22"/>
        </w:rPr>
        <w:t>do</w:t>
      </w:r>
      <w:r w:rsidRPr="005469E4">
        <w:rPr>
          <w:sz w:val="22"/>
          <w:szCs w:val="22"/>
        </w:rPr>
        <w:t xml:space="preserve"> have a numeric path option for SA from 2017 onward that could move us up a tier on </w:t>
      </w:r>
      <w:proofErr w:type="spellStart"/>
      <w:r w:rsidRPr="005469E4">
        <w:rPr>
          <w:sz w:val="22"/>
          <w:szCs w:val="22"/>
        </w:rPr>
        <w:t>Δguidance</w:t>
      </w:r>
      <w:proofErr w:type="spellEnd"/>
      <w:r w:rsidRPr="005469E4">
        <w:rPr>
          <w:sz w:val="22"/>
          <w:szCs w:val="22"/>
        </w:rPr>
        <w:t xml:space="preserve"> measurement.</w:t>
      </w:r>
    </w:p>
    <w:p w14:paraId="77B7C71C" w14:textId="77777777" w:rsidR="005469E4" w:rsidRPr="005469E4" w:rsidRDefault="005469E4" w:rsidP="005469E4">
      <w:pPr>
        <w:rPr>
          <w:sz w:val="22"/>
          <w:szCs w:val="22"/>
        </w:rPr>
      </w:pPr>
      <w:r w:rsidRPr="005469E4">
        <w:rPr>
          <w:b/>
          <w:bCs/>
          <w:sz w:val="22"/>
          <w:szCs w:val="22"/>
        </w:rPr>
        <w:t>Third</w:t>
      </w:r>
      <w:r w:rsidRPr="005469E4">
        <w:rPr>
          <w:sz w:val="22"/>
          <w:szCs w:val="22"/>
        </w:rPr>
        <w:t xml:space="preserve">, this edge fires on dimensions that L1↔L3a is structurally blind to. L1↔L3a tells you whether SARB deviated from its estimated rule. L3a↔L3c tells you whether SARB did what it told the market it would do — independent of the rule. A bank can be off-rule and still on-message (informative about rule drift); on-rule and off-message (informative about communication failure or market mispricing); or off-rule </w:t>
      </w:r>
      <w:r w:rsidRPr="005469E4">
        <w:rPr>
          <w:i/>
          <w:iCs/>
          <w:sz w:val="22"/>
          <w:szCs w:val="22"/>
        </w:rPr>
        <w:t>and</w:t>
      </w:r>
      <w:r w:rsidRPr="005469E4">
        <w:rPr>
          <w:sz w:val="22"/>
          <w:szCs w:val="22"/>
        </w:rPr>
        <w:t xml:space="preserve"> off-message (the full credibility breach). The decomposition matters.</w:t>
      </w:r>
    </w:p>
    <w:p w14:paraId="0AA18EB4" w14:textId="77777777" w:rsidR="005469E4" w:rsidRDefault="005469E4" w:rsidP="005469E4">
      <w:pPr>
        <w:rPr>
          <w:sz w:val="22"/>
          <w:szCs w:val="22"/>
        </w:rPr>
      </w:pPr>
    </w:p>
    <w:p w14:paraId="4FB8CE12" w14:textId="77777777" w:rsidR="005469E4" w:rsidRDefault="005469E4" w:rsidP="005469E4">
      <w:pPr>
        <w:rPr>
          <w:sz w:val="22"/>
          <w:szCs w:val="22"/>
        </w:rPr>
      </w:pPr>
    </w:p>
    <w:p w14:paraId="79CA089F" w14:textId="77777777" w:rsidR="005469E4" w:rsidRDefault="005469E4" w:rsidP="005469E4">
      <w:pPr>
        <w:rPr>
          <w:sz w:val="22"/>
          <w:szCs w:val="22"/>
        </w:rPr>
      </w:pPr>
    </w:p>
    <w:p w14:paraId="2D3092B4" w14:textId="77777777" w:rsidR="005469E4" w:rsidRDefault="005469E4" w:rsidP="005469E4">
      <w:pPr>
        <w:rPr>
          <w:sz w:val="22"/>
          <w:szCs w:val="22"/>
        </w:rPr>
      </w:pPr>
    </w:p>
    <w:p w14:paraId="26B7D303" w14:textId="77777777" w:rsidR="005469E4" w:rsidRDefault="005469E4" w:rsidP="005469E4">
      <w:pPr>
        <w:rPr>
          <w:sz w:val="22"/>
          <w:szCs w:val="22"/>
        </w:rPr>
      </w:pPr>
    </w:p>
    <w:p w14:paraId="70EA7455" w14:textId="77777777" w:rsidR="005469E4" w:rsidRDefault="005469E4" w:rsidP="005469E4">
      <w:pPr>
        <w:rPr>
          <w:sz w:val="22"/>
          <w:szCs w:val="22"/>
        </w:rPr>
      </w:pPr>
    </w:p>
    <w:p w14:paraId="0D09243B" w14:textId="77777777" w:rsidR="005469E4" w:rsidRDefault="005469E4" w:rsidP="005469E4">
      <w:pPr>
        <w:rPr>
          <w:sz w:val="22"/>
          <w:szCs w:val="22"/>
        </w:rPr>
      </w:pPr>
    </w:p>
    <w:p w14:paraId="7BC767BF" w14:textId="77777777" w:rsidR="005469E4" w:rsidRDefault="005469E4" w:rsidP="005469E4">
      <w:pPr>
        <w:rPr>
          <w:sz w:val="22"/>
          <w:szCs w:val="22"/>
        </w:rPr>
      </w:pPr>
    </w:p>
    <w:p w14:paraId="639735B5" w14:textId="77777777" w:rsidR="005469E4" w:rsidRDefault="005469E4" w:rsidP="005469E4">
      <w:pPr>
        <w:rPr>
          <w:sz w:val="22"/>
          <w:szCs w:val="22"/>
        </w:rPr>
      </w:pPr>
    </w:p>
    <w:p w14:paraId="4A529E88" w14:textId="77777777" w:rsidR="005469E4" w:rsidRDefault="005469E4" w:rsidP="005469E4">
      <w:pPr>
        <w:rPr>
          <w:sz w:val="22"/>
          <w:szCs w:val="22"/>
        </w:rPr>
      </w:pPr>
    </w:p>
    <w:p w14:paraId="2140961F" w14:textId="77777777" w:rsidR="005469E4" w:rsidRDefault="005469E4" w:rsidP="005469E4">
      <w:pPr>
        <w:rPr>
          <w:sz w:val="22"/>
          <w:szCs w:val="22"/>
        </w:rPr>
      </w:pPr>
    </w:p>
    <w:p w14:paraId="38D178A2" w14:textId="215D32F4" w:rsidR="005469E4" w:rsidRPr="005469E4" w:rsidRDefault="005469E4" w:rsidP="005469E4">
      <w:pPr>
        <w:jc w:val="center"/>
        <w:rPr>
          <w:b/>
          <w:bCs/>
        </w:rPr>
      </w:pPr>
      <w:r w:rsidRPr="005469E4">
        <w:rPr>
          <w:b/>
          <w:bCs/>
        </w:rPr>
        <w:lastRenderedPageBreak/>
        <w:t>Estimation Meth</w:t>
      </w:r>
      <w:r>
        <w:rPr>
          <w:b/>
          <w:bCs/>
        </w:rPr>
        <w:t>od</w:t>
      </w:r>
    </w:p>
    <w:p w14:paraId="238B63B1" w14:textId="77777777" w:rsidR="005469E4" w:rsidRPr="005469E4" w:rsidRDefault="005469E4" w:rsidP="005469E4">
      <w:pPr>
        <w:rPr>
          <w:b/>
          <w:bCs/>
          <w:sz w:val="22"/>
          <w:szCs w:val="22"/>
        </w:rPr>
      </w:pPr>
      <w:r w:rsidRPr="005469E4">
        <w:rPr>
          <w:b/>
          <w:bCs/>
          <w:sz w:val="22"/>
          <w:szCs w:val="22"/>
        </w:rPr>
        <w:t>Step 1 — Factor representation</w:t>
      </w:r>
    </w:p>
    <w:p w14:paraId="357C4B87" w14:textId="77777777" w:rsidR="005469E4" w:rsidRPr="005469E4" w:rsidRDefault="005469E4" w:rsidP="005469E4">
      <w:pPr>
        <w:rPr>
          <w:sz w:val="22"/>
          <w:szCs w:val="22"/>
        </w:rPr>
      </w:pPr>
      <w:r w:rsidRPr="005469E4">
        <w:rPr>
          <w:b/>
          <w:bCs/>
          <w:sz w:val="22"/>
          <w:szCs w:val="22"/>
        </w:rPr>
        <w:t>L3a (Policy Rate, at the meeting)</w:t>
      </w:r>
      <w:r w:rsidRPr="005469E4">
        <w:rPr>
          <w:sz w:val="22"/>
          <w:szCs w:val="22"/>
        </w:rPr>
        <w:t xml:space="preserve">: </w:t>
      </w:r>
      <w:proofErr w:type="spellStart"/>
      <w:r w:rsidRPr="005469E4">
        <w:rPr>
          <w:sz w:val="22"/>
          <w:szCs w:val="22"/>
        </w:rPr>
        <w:t>Δi_t</w:t>
      </w:r>
      <w:proofErr w:type="spellEnd"/>
      <w:r w:rsidRPr="005469E4">
        <w:rPr>
          <w:sz w:val="22"/>
          <w:szCs w:val="22"/>
        </w:rPr>
        <w:t xml:space="preserve"> — the rate change at the meeting event. For SARB this is the change in the repo rate at each MPC meeting. SARB runs 6 MPC meetings per year (was 8 pre-2010; reverted to 6 in 2018), so the sample frequency is meeting-by-meeting, not monthly. This is a departure from the 240-month frequency for L1↔L3a — the natural sampling unit here is the MPC event, not calendar month.</w:t>
      </w:r>
    </w:p>
    <w:p w14:paraId="7C6A45CB" w14:textId="77777777" w:rsidR="005469E4" w:rsidRPr="005469E4" w:rsidRDefault="005469E4" w:rsidP="005469E4">
      <w:pPr>
        <w:rPr>
          <w:sz w:val="22"/>
          <w:szCs w:val="22"/>
        </w:rPr>
      </w:pPr>
      <w:r w:rsidRPr="005469E4">
        <w:rPr>
          <w:sz w:val="22"/>
          <w:szCs w:val="22"/>
        </w:rPr>
        <w:t>For the 2005–2024 sample window, expect roughly 120–140 MPC meetings. That's a much smaller event count than the 240-month L1↔L3a sample, with implications for statistical power that need to be carried as a known limitation.</w:t>
      </w:r>
    </w:p>
    <w:p w14:paraId="14046F17" w14:textId="77777777" w:rsidR="005469E4" w:rsidRPr="005469E4" w:rsidRDefault="005469E4" w:rsidP="005469E4">
      <w:pPr>
        <w:rPr>
          <w:sz w:val="22"/>
          <w:szCs w:val="22"/>
        </w:rPr>
      </w:pPr>
      <w:r w:rsidRPr="005469E4">
        <w:rPr>
          <w:b/>
          <w:bCs/>
          <w:sz w:val="22"/>
          <w:szCs w:val="22"/>
        </w:rPr>
        <w:t>L3c (Forward Guidance)</w:t>
      </w:r>
      <w:r w:rsidRPr="005469E4">
        <w:rPr>
          <w:sz w:val="22"/>
          <w:szCs w:val="22"/>
        </w:rPr>
        <w:t>: this is the harder side. The Level 1 Estimation doc specifies three operational tiers; SARB sits at tier 3 (NLP) by pre-registration:</w:t>
      </w:r>
    </w:p>
    <w:p w14:paraId="09268007" w14:textId="77777777" w:rsidR="005469E4" w:rsidRPr="005469E4" w:rsidRDefault="005469E4" w:rsidP="005469E4">
      <w:pPr>
        <w:numPr>
          <w:ilvl w:val="0"/>
          <w:numId w:val="1"/>
        </w:numPr>
        <w:rPr>
          <w:sz w:val="22"/>
          <w:szCs w:val="22"/>
        </w:rPr>
      </w:pPr>
      <w:r w:rsidRPr="005469E4">
        <w:rPr>
          <w:i/>
          <w:iCs/>
          <w:sz w:val="22"/>
          <w:szCs w:val="22"/>
        </w:rPr>
        <w:t>Numeric-path tier</w:t>
      </w:r>
      <w:r w:rsidRPr="005469E4">
        <w:rPr>
          <w:sz w:val="22"/>
          <w:szCs w:val="22"/>
        </w:rPr>
        <w:t xml:space="preserve">: </w:t>
      </w:r>
      <w:proofErr w:type="spellStart"/>
      <w:r w:rsidRPr="005469E4">
        <w:rPr>
          <w:sz w:val="22"/>
          <w:szCs w:val="22"/>
        </w:rPr>
        <w:t>Δguidance</w:t>
      </w:r>
      <w:proofErr w:type="spellEnd"/>
      <w:r w:rsidRPr="005469E4">
        <w:rPr>
          <w:sz w:val="22"/>
          <w:szCs w:val="22"/>
        </w:rPr>
        <w:t xml:space="preserve"> is the change in the projected near-term policy path. Available for Fed (dot plot, since 2012), </w:t>
      </w:r>
      <w:proofErr w:type="spellStart"/>
      <w:r w:rsidRPr="005469E4">
        <w:rPr>
          <w:sz w:val="22"/>
          <w:szCs w:val="22"/>
        </w:rPr>
        <w:t>Riksbank</w:t>
      </w:r>
      <w:proofErr w:type="spellEnd"/>
      <w:r w:rsidRPr="005469E4">
        <w:rPr>
          <w:sz w:val="22"/>
          <w:szCs w:val="22"/>
        </w:rPr>
        <w:t xml:space="preserve">, </w:t>
      </w:r>
      <w:proofErr w:type="spellStart"/>
      <w:r w:rsidRPr="005469E4">
        <w:rPr>
          <w:sz w:val="22"/>
          <w:szCs w:val="22"/>
        </w:rPr>
        <w:t>Norges</w:t>
      </w:r>
      <w:proofErr w:type="spellEnd"/>
      <w:r w:rsidRPr="005469E4">
        <w:rPr>
          <w:sz w:val="22"/>
          <w:szCs w:val="22"/>
        </w:rPr>
        <w:t xml:space="preserve"> Bank, BoE (fan chart), BCB (inflation report path), and — though pre-registered as unavailable — </w:t>
      </w:r>
      <w:r w:rsidRPr="005469E4">
        <w:rPr>
          <w:i/>
          <w:iCs/>
          <w:sz w:val="22"/>
          <w:szCs w:val="22"/>
        </w:rPr>
        <w:t>SARB's QPM-based repo path published since November 2017</w:t>
      </w:r>
      <w:r w:rsidRPr="005469E4">
        <w:rPr>
          <w:sz w:val="22"/>
          <w:szCs w:val="22"/>
        </w:rPr>
        <w:t>.</w:t>
      </w:r>
    </w:p>
    <w:p w14:paraId="250A48A3" w14:textId="77777777" w:rsidR="005469E4" w:rsidRPr="005469E4" w:rsidRDefault="005469E4" w:rsidP="005469E4">
      <w:pPr>
        <w:numPr>
          <w:ilvl w:val="0"/>
          <w:numId w:val="1"/>
        </w:numPr>
        <w:rPr>
          <w:sz w:val="22"/>
          <w:szCs w:val="22"/>
        </w:rPr>
      </w:pPr>
      <w:r w:rsidRPr="005469E4">
        <w:rPr>
          <w:i/>
          <w:iCs/>
          <w:sz w:val="22"/>
          <w:szCs w:val="22"/>
        </w:rPr>
        <w:t>OIS-implied tier</w:t>
      </w:r>
      <w:r w:rsidRPr="005469E4">
        <w:rPr>
          <w:sz w:val="22"/>
          <w:szCs w:val="22"/>
        </w:rPr>
        <w:t xml:space="preserve">: </w:t>
      </w:r>
      <w:proofErr w:type="spellStart"/>
      <w:r w:rsidRPr="005469E4">
        <w:rPr>
          <w:sz w:val="22"/>
          <w:szCs w:val="22"/>
        </w:rPr>
        <w:t>Δguidance</w:t>
      </w:r>
      <w:proofErr w:type="spellEnd"/>
      <w:r w:rsidRPr="005469E4">
        <w:rPr>
          <w:sz w:val="22"/>
          <w:szCs w:val="22"/>
        </w:rPr>
        <w:t xml:space="preserve"> inferred from the OIS curve to 24 months. Limited usability for SA — SAFEX FRA market thinner than DM equivalents; intra-L3a sufficiency condition already flags this.</w:t>
      </w:r>
    </w:p>
    <w:p w14:paraId="1691629E" w14:textId="77777777" w:rsidR="005469E4" w:rsidRPr="005469E4" w:rsidRDefault="005469E4" w:rsidP="005469E4">
      <w:pPr>
        <w:numPr>
          <w:ilvl w:val="0"/>
          <w:numId w:val="1"/>
        </w:numPr>
        <w:rPr>
          <w:sz w:val="22"/>
          <w:szCs w:val="22"/>
        </w:rPr>
      </w:pPr>
      <w:r w:rsidRPr="005469E4">
        <w:rPr>
          <w:i/>
          <w:iCs/>
          <w:sz w:val="22"/>
          <w:szCs w:val="22"/>
        </w:rPr>
        <w:t>NLP tier</w:t>
      </w:r>
      <w:r w:rsidRPr="005469E4">
        <w:rPr>
          <w:sz w:val="22"/>
          <w:szCs w:val="22"/>
        </w:rPr>
        <w:t xml:space="preserve">: </w:t>
      </w:r>
      <w:proofErr w:type="spellStart"/>
      <w:r w:rsidRPr="005469E4">
        <w:rPr>
          <w:sz w:val="22"/>
          <w:szCs w:val="22"/>
        </w:rPr>
        <w:t>hawk_score</w:t>
      </w:r>
      <w:proofErr w:type="spellEnd"/>
      <w:r w:rsidRPr="005469E4">
        <w:rPr>
          <w:sz w:val="22"/>
          <w:szCs w:val="22"/>
        </w:rPr>
        <w:t xml:space="preserve"> </w:t>
      </w:r>
      <w:r w:rsidRPr="005469E4">
        <w:rPr>
          <w:rFonts w:ascii="Cambria Math" w:hAnsi="Cambria Math" w:cs="Cambria Math"/>
          <w:sz w:val="22"/>
          <w:szCs w:val="22"/>
        </w:rPr>
        <w:t>∈</w:t>
      </w:r>
      <w:r w:rsidRPr="005469E4">
        <w:rPr>
          <w:sz w:val="22"/>
          <w:szCs w:val="22"/>
        </w:rPr>
        <w:t xml:space="preserve"> [</w:t>
      </w:r>
      <w:r w:rsidRPr="005469E4">
        <w:rPr>
          <w:rFonts w:ascii="Aptos" w:hAnsi="Aptos" w:cs="Aptos"/>
          <w:sz w:val="22"/>
          <w:szCs w:val="22"/>
        </w:rPr>
        <w:t>−</w:t>
      </w:r>
      <w:r w:rsidRPr="005469E4">
        <w:rPr>
          <w:sz w:val="22"/>
          <w:szCs w:val="22"/>
        </w:rPr>
        <w:t>1, +1] from a Loughran-McDonald extended dictionary plus an LLM zero-shot classifier ensemble, mapped to a bps-equivalent via event-study elasticity (</w:t>
      </w:r>
      <w:r w:rsidRPr="005469E4">
        <w:rPr>
          <w:rFonts w:ascii="Aptos" w:hAnsi="Aptos" w:cs="Aptos"/>
          <w:sz w:val="22"/>
          <w:szCs w:val="22"/>
        </w:rPr>
        <w:t>β</w:t>
      </w:r>
      <w:r w:rsidRPr="005469E4">
        <w:rPr>
          <w:sz w:val="22"/>
          <w:szCs w:val="22"/>
        </w:rPr>
        <w:t xml:space="preserve">_country = average bps </w:t>
      </w:r>
      <w:proofErr w:type="gramStart"/>
      <w:r w:rsidRPr="005469E4">
        <w:rPr>
          <w:sz w:val="22"/>
          <w:szCs w:val="22"/>
        </w:rPr>
        <w:t>move</w:t>
      </w:r>
      <w:proofErr w:type="gramEnd"/>
      <w:r w:rsidRPr="005469E4">
        <w:rPr>
          <w:sz w:val="22"/>
          <w:szCs w:val="22"/>
        </w:rPr>
        <w:t xml:space="preserve"> in 2y yield per unit </w:t>
      </w:r>
      <w:proofErr w:type="spellStart"/>
      <w:r w:rsidRPr="005469E4">
        <w:rPr>
          <w:rFonts w:ascii="Aptos" w:hAnsi="Aptos" w:cs="Aptos"/>
          <w:sz w:val="22"/>
          <w:szCs w:val="22"/>
        </w:rPr>
        <w:t>Δ</w:t>
      </w:r>
      <w:r w:rsidRPr="005469E4">
        <w:rPr>
          <w:sz w:val="22"/>
          <w:szCs w:val="22"/>
        </w:rPr>
        <w:t>guidance</w:t>
      </w:r>
      <w:proofErr w:type="spellEnd"/>
      <w:r w:rsidRPr="005469E4">
        <w:rPr>
          <w:sz w:val="22"/>
          <w:szCs w:val="22"/>
        </w:rPr>
        <w:t>, estimated on the prior-meeting calibration window).</w:t>
      </w:r>
    </w:p>
    <w:p w14:paraId="62811339" w14:textId="77777777" w:rsidR="005469E4" w:rsidRPr="005469E4" w:rsidRDefault="005469E4" w:rsidP="005469E4">
      <w:pPr>
        <w:rPr>
          <w:sz w:val="22"/>
          <w:szCs w:val="22"/>
        </w:rPr>
      </w:pPr>
      <w:r w:rsidRPr="005469E4">
        <w:rPr>
          <w:sz w:val="22"/>
          <w:szCs w:val="22"/>
        </w:rPr>
        <w:t xml:space="preserve">The bps-equivalent mapping is the bridge that lets </w:t>
      </w:r>
      <w:proofErr w:type="spellStart"/>
      <w:r w:rsidRPr="005469E4">
        <w:rPr>
          <w:sz w:val="22"/>
          <w:szCs w:val="22"/>
        </w:rPr>
        <w:t>Δi</w:t>
      </w:r>
      <w:proofErr w:type="spellEnd"/>
      <w:r w:rsidRPr="005469E4">
        <w:rPr>
          <w:sz w:val="22"/>
          <w:szCs w:val="22"/>
        </w:rPr>
        <w:t xml:space="preserve"> and </w:t>
      </w:r>
      <w:proofErr w:type="spellStart"/>
      <w:r w:rsidRPr="005469E4">
        <w:rPr>
          <w:sz w:val="22"/>
          <w:szCs w:val="22"/>
        </w:rPr>
        <w:t>Δguidance</w:t>
      </w:r>
      <w:proofErr w:type="spellEnd"/>
      <w:r w:rsidRPr="005469E4">
        <w:rPr>
          <w:sz w:val="22"/>
          <w:szCs w:val="22"/>
        </w:rPr>
        <w:t xml:space="preserve"> live in the same numerical space — both expressed in basis points of equivalent policy stance. Without it the residual would be unitless and uninterpretable.</w:t>
      </w:r>
    </w:p>
    <w:p w14:paraId="0CCB6B05" w14:textId="77777777" w:rsidR="005469E4" w:rsidRPr="005469E4" w:rsidRDefault="005469E4" w:rsidP="005469E4">
      <w:pPr>
        <w:rPr>
          <w:sz w:val="22"/>
          <w:szCs w:val="22"/>
        </w:rPr>
      </w:pPr>
      <w:r w:rsidRPr="005469E4">
        <w:rPr>
          <w:b/>
          <w:bCs/>
          <w:sz w:val="22"/>
          <w:szCs w:val="22"/>
        </w:rPr>
        <w:t>SARB-specific note worth flagging</w:t>
      </w:r>
      <w:r w:rsidRPr="005469E4">
        <w:rPr>
          <w:sz w:val="22"/>
          <w:szCs w:val="22"/>
        </w:rPr>
        <w:t>: the doc lists SA as NLP-only, but the November 2017 introduction of the QPM repo path projection in the MPR is a genuine numeric guidance source for the 2018–2024 subsample. Three options:</w:t>
      </w:r>
    </w:p>
    <w:p w14:paraId="72D55536" w14:textId="77777777" w:rsidR="005469E4" w:rsidRPr="005469E4" w:rsidRDefault="005469E4" w:rsidP="005469E4">
      <w:pPr>
        <w:numPr>
          <w:ilvl w:val="0"/>
          <w:numId w:val="2"/>
        </w:numPr>
        <w:rPr>
          <w:sz w:val="22"/>
          <w:szCs w:val="22"/>
        </w:rPr>
      </w:pPr>
      <w:r w:rsidRPr="005469E4">
        <w:rPr>
          <w:sz w:val="22"/>
          <w:szCs w:val="22"/>
        </w:rPr>
        <w:t xml:space="preserve">Hold to pre-registration (NLP-only across the full </w:t>
      </w:r>
      <w:proofErr w:type="gramStart"/>
      <w:r w:rsidRPr="005469E4">
        <w:rPr>
          <w:sz w:val="22"/>
          <w:szCs w:val="22"/>
        </w:rPr>
        <w:t>sample) —</w:t>
      </w:r>
      <w:proofErr w:type="gramEnd"/>
      <w:r w:rsidRPr="005469E4">
        <w:rPr>
          <w:sz w:val="22"/>
          <w:szCs w:val="22"/>
        </w:rPr>
        <w:t xml:space="preserve"> methodologically cleanest, consistent with what's documented.</w:t>
      </w:r>
    </w:p>
    <w:p w14:paraId="7D32F3DF" w14:textId="77777777" w:rsidR="005469E4" w:rsidRPr="005469E4" w:rsidRDefault="005469E4" w:rsidP="005469E4">
      <w:pPr>
        <w:numPr>
          <w:ilvl w:val="0"/>
          <w:numId w:val="2"/>
        </w:numPr>
        <w:rPr>
          <w:sz w:val="22"/>
          <w:szCs w:val="22"/>
        </w:rPr>
      </w:pPr>
      <w:r w:rsidRPr="005469E4">
        <w:rPr>
          <w:sz w:val="22"/>
          <w:szCs w:val="22"/>
        </w:rPr>
        <w:t xml:space="preserve">Add a </w:t>
      </w:r>
      <w:r w:rsidRPr="005469E4">
        <w:rPr>
          <w:i/>
          <w:iCs/>
          <w:sz w:val="22"/>
          <w:szCs w:val="22"/>
        </w:rPr>
        <w:t>secondary tier-1 specification</w:t>
      </w:r>
      <w:r w:rsidRPr="005469E4">
        <w:rPr>
          <w:sz w:val="22"/>
          <w:szCs w:val="22"/>
        </w:rPr>
        <w:t xml:space="preserve"> for 2018–2024 as a robustness check — gets you the numeric anchor without breaking pre-registration.</w:t>
      </w:r>
    </w:p>
    <w:p w14:paraId="26C2AA93" w14:textId="77777777" w:rsidR="005469E4" w:rsidRPr="005469E4" w:rsidRDefault="005469E4" w:rsidP="005469E4">
      <w:pPr>
        <w:numPr>
          <w:ilvl w:val="0"/>
          <w:numId w:val="2"/>
        </w:numPr>
        <w:rPr>
          <w:sz w:val="22"/>
          <w:szCs w:val="22"/>
        </w:rPr>
      </w:pPr>
      <w:r w:rsidRPr="005469E4">
        <w:rPr>
          <w:sz w:val="22"/>
          <w:szCs w:val="22"/>
        </w:rPr>
        <w:t>Revise pre-registration to switch to numeric-path from 2017 onward — requires explicit justification and a documented deviation from the protocol.</w:t>
      </w:r>
    </w:p>
    <w:p w14:paraId="151686EC" w14:textId="77777777" w:rsidR="005469E4" w:rsidRPr="005469E4" w:rsidRDefault="005469E4" w:rsidP="005469E4">
      <w:pPr>
        <w:rPr>
          <w:sz w:val="22"/>
          <w:szCs w:val="22"/>
        </w:rPr>
      </w:pPr>
      <w:r w:rsidRPr="005469E4">
        <w:rPr>
          <w:sz w:val="22"/>
          <w:szCs w:val="22"/>
        </w:rPr>
        <w:lastRenderedPageBreak/>
        <w:t xml:space="preserve">My recommendation is option (b): keep NLP as the headline specification for cross-sample </w:t>
      </w:r>
      <w:proofErr w:type="gramStart"/>
      <w:r w:rsidRPr="005469E4">
        <w:rPr>
          <w:sz w:val="22"/>
          <w:szCs w:val="22"/>
        </w:rPr>
        <w:t>consistency, but</w:t>
      </w:r>
      <w:proofErr w:type="gramEnd"/>
      <w:r w:rsidRPr="005469E4">
        <w:rPr>
          <w:sz w:val="22"/>
          <w:szCs w:val="22"/>
        </w:rPr>
        <w:t xml:space="preserve"> add the QPM-repo-path-based </w:t>
      </w:r>
      <w:proofErr w:type="spellStart"/>
      <w:r w:rsidRPr="005469E4">
        <w:rPr>
          <w:sz w:val="22"/>
          <w:szCs w:val="22"/>
        </w:rPr>
        <w:t>Δguidance</w:t>
      </w:r>
      <w:proofErr w:type="spellEnd"/>
      <w:r w:rsidRPr="005469E4">
        <w:rPr>
          <w:sz w:val="22"/>
          <w:szCs w:val="22"/>
        </w:rPr>
        <w:t xml:space="preserve"> as a robustness comparator for the post-2017 subsample. This gives you the credibility-event detection power of numeric guidance for the 2018–2024 period (which is the more interesting half of the OOS window) without compromising the methodological commitment.</w:t>
      </w:r>
    </w:p>
    <w:p w14:paraId="1C42C415" w14:textId="77777777" w:rsidR="005469E4" w:rsidRPr="005469E4" w:rsidRDefault="005469E4" w:rsidP="005469E4">
      <w:pPr>
        <w:rPr>
          <w:sz w:val="22"/>
          <w:szCs w:val="22"/>
        </w:rPr>
      </w:pPr>
      <w:r w:rsidRPr="005469E4">
        <w:rPr>
          <w:b/>
          <w:bCs/>
          <w:sz w:val="22"/>
          <w:szCs w:val="22"/>
        </w:rPr>
        <w:t>Prior guidance anchor</w:t>
      </w:r>
      <w:r w:rsidRPr="005469E4">
        <w:rPr>
          <w:sz w:val="22"/>
          <w:szCs w:val="22"/>
        </w:rPr>
        <w:t xml:space="preserve">: the third measurement object is the </w:t>
      </w:r>
      <w:r w:rsidRPr="005469E4">
        <w:rPr>
          <w:i/>
          <w:iCs/>
          <w:sz w:val="22"/>
          <w:szCs w:val="22"/>
        </w:rPr>
        <w:t>prior meeting's communicated path</w:t>
      </w:r>
      <w:r w:rsidRPr="005469E4">
        <w:rPr>
          <w:sz w:val="22"/>
          <w:szCs w:val="22"/>
        </w:rPr>
        <w:t xml:space="preserve">. For r_3 (prior-guidance reconciliation), we need to know what the bank had said at meeting t−1 about what it would do by meeting t. For NLP-tier countries, this is the prior-meeting hawk-score scaled by historical elasticity, giving an implied </w:t>
      </w:r>
      <w:proofErr w:type="spellStart"/>
      <w:r w:rsidRPr="005469E4">
        <w:rPr>
          <w:sz w:val="22"/>
          <w:szCs w:val="22"/>
        </w:rPr>
        <w:t>Δi</w:t>
      </w:r>
      <w:proofErr w:type="spellEnd"/>
      <w:r w:rsidRPr="005469E4">
        <w:rPr>
          <w:sz w:val="22"/>
          <w:szCs w:val="22"/>
        </w:rPr>
        <w:t xml:space="preserve"> from prior guidance. For numeric-path tier (or the SA post-2017 robustness specification), it's the projected near-term rate at horizon = current meeting date.</w:t>
      </w:r>
    </w:p>
    <w:p w14:paraId="486923E2" w14:textId="77777777" w:rsidR="005469E4" w:rsidRPr="005469E4" w:rsidRDefault="005469E4" w:rsidP="005469E4">
      <w:pPr>
        <w:rPr>
          <w:sz w:val="22"/>
          <w:szCs w:val="22"/>
        </w:rPr>
      </w:pPr>
      <w:r w:rsidRPr="005469E4">
        <w:rPr>
          <w:sz w:val="22"/>
          <w:szCs w:val="22"/>
        </w:rPr>
        <w:pict w14:anchorId="38A0F39A">
          <v:rect id="_x0000_i1043" style="width:0;height:1.5pt" o:hralign="center" o:hrstd="t" o:hr="t" fillcolor="#a0a0a0" stroked="f"/>
        </w:pict>
      </w:r>
    </w:p>
    <w:p w14:paraId="04926F2B" w14:textId="77777777" w:rsidR="005469E4" w:rsidRPr="005469E4" w:rsidRDefault="005469E4" w:rsidP="005469E4">
      <w:pPr>
        <w:rPr>
          <w:b/>
          <w:bCs/>
          <w:sz w:val="22"/>
          <w:szCs w:val="22"/>
        </w:rPr>
      </w:pPr>
      <w:r w:rsidRPr="005469E4">
        <w:rPr>
          <w:b/>
          <w:bCs/>
          <w:sz w:val="22"/>
          <w:szCs w:val="22"/>
        </w:rPr>
        <w:t>Step 2 — Intensity / correlation test</w:t>
      </w:r>
    </w:p>
    <w:p w14:paraId="00BF84D7" w14:textId="77777777" w:rsidR="005469E4" w:rsidRPr="005469E4" w:rsidRDefault="005469E4" w:rsidP="005469E4">
      <w:pPr>
        <w:rPr>
          <w:sz w:val="22"/>
          <w:szCs w:val="22"/>
        </w:rPr>
      </w:pPr>
      <w:r w:rsidRPr="005469E4">
        <w:rPr>
          <w:sz w:val="22"/>
          <w:szCs w:val="22"/>
        </w:rPr>
        <w:t>Five pre-registered diagnostics:</w:t>
      </w:r>
    </w:p>
    <w:p w14:paraId="4E57D2C5" w14:textId="77777777" w:rsidR="005469E4" w:rsidRPr="005469E4" w:rsidRDefault="005469E4" w:rsidP="005469E4">
      <w:pPr>
        <w:numPr>
          <w:ilvl w:val="0"/>
          <w:numId w:val="3"/>
        </w:numPr>
        <w:rPr>
          <w:sz w:val="22"/>
          <w:szCs w:val="22"/>
        </w:rPr>
      </w:pPr>
      <w:r w:rsidRPr="005469E4">
        <w:rPr>
          <w:b/>
          <w:bCs/>
          <w:sz w:val="22"/>
          <w:szCs w:val="22"/>
        </w:rPr>
        <w:t>Meeting-frequency rate decisions</w:t>
      </w:r>
      <w:r w:rsidRPr="005469E4">
        <w:rPr>
          <w:sz w:val="22"/>
          <w:szCs w:val="22"/>
        </w:rPr>
        <w:t xml:space="preserve"> — ≥30 meetings with non-zero </w:t>
      </w:r>
      <w:proofErr w:type="spellStart"/>
      <w:r w:rsidRPr="005469E4">
        <w:rPr>
          <w:sz w:val="22"/>
          <w:szCs w:val="22"/>
        </w:rPr>
        <w:t>Δi</w:t>
      </w:r>
      <w:proofErr w:type="spellEnd"/>
      <w:r w:rsidRPr="005469E4">
        <w:rPr>
          <w:sz w:val="22"/>
          <w:szCs w:val="22"/>
        </w:rPr>
        <w:t xml:space="preserve"> across the sample. SA satisfies trivially (2005–2024 spans multiple hiking and cutting cycles).</w:t>
      </w:r>
    </w:p>
    <w:p w14:paraId="1A3D9EEB" w14:textId="77777777" w:rsidR="005469E4" w:rsidRPr="005469E4" w:rsidRDefault="005469E4" w:rsidP="005469E4">
      <w:pPr>
        <w:numPr>
          <w:ilvl w:val="0"/>
          <w:numId w:val="3"/>
        </w:numPr>
        <w:rPr>
          <w:sz w:val="22"/>
          <w:szCs w:val="22"/>
        </w:rPr>
      </w:pPr>
      <w:r w:rsidRPr="005469E4">
        <w:rPr>
          <w:b/>
          <w:bCs/>
          <w:sz w:val="22"/>
          <w:szCs w:val="22"/>
        </w:rPr>
        <w:t>Guidance corpus depth</w:t>
      </w:r>
      <w:r w:rsidRPr="005469E4">
        <w:rPr>
          <w:sz w:val="22"/>
          <w:szCs w:val="22"/>
        </w:rPr>
        <w:t xml:space="preserve"> — NLP corpus must produce a measurable </w:t>
      </w:r>
      <w:proofErr w:type="spellStart"/>
      <w:r w:rsidRPr="005469E4">
        <w:rPr>
          <w:sz w:val="22"/>
          <w:szCs w:val="22"/>
        </w:rPr>
        <w:t>Δguidance</w:t>
      </w:r>
      <w:proofErr w:type="spellEnd"/>
      <w:r w:rsidRPr="005469E4">
        <w:rPr>
          <w:sz w:val="22"/>
          <w:szCs w:val="22"/>
        </w:rPr>
        <w:t xml:space="preserve"> per meeting. SA </w:t>
      </w:r>
      <w:proofErr w:type="gramStart"/>
      <w:r w:rsidRPr="005469E4">
        <w:rPr>
          <w:sz w:val="22"/>
          <w:szCs w:val="22"/>
        </w:rPr>
        <w:t>satisfies on</w:t>
      </w:r>
      <w:proofErr w:type="gramEnd"/>
      <w:r w:rsidRPr="005469E4">
        <w:rPr>
          <w:sz w:val="22"/>
          <w:szCs w:val="22"/>
        </w:rPr>
        <w:t xml:space="preserve"> the statement + presser dual source.</w:t>
      </w:r>
    </w:p>
    <w:p w14:paraId="49066A06" w14:textId="77777777" w:rsidR="005469E4" w:rsidRPr="005469E4" w:rsidRDefault="005469E4" w:rsidP="005469E4">
      <w:pPr>
        <w:numPr>
          <w:ilvl w:val="0"/>
          <w:numId w:val="3"/>
        </w:numPr>
        <w:rPr>
          <w:sz w:val="22"/>
          <w:szCs w:val="22"/>
        </w:rPr>
      </w:pPr>
      <w:r w:rsidRPr="005469E4">
        <w:rPr>
          <w:b/>
          <w:bCs/>
          <w:sz w:val="22"/>
          <w:szCs w:val="22"/>
        </w:rPr>
        <w:t>Bauer-Swanson factor identifiability</w:t>
      </w:r>
      <w:r w:rsidRPr="005469E4">
        <w:rPr>
          <w:sz w:val="22"/>
          <w:szCs w:val="22"/>
        </w:rPr>
        <w:t xml:space="preserve"> — high-frequency yield decomposition around meetings into target and path factors via PCA. Requires liquid OIS. </w:t>
      </w:r>
      <w:r w:rsidRPr="005469E4">
        <w:rPr>
          <w:i/>
          <w:iCs/>
          <w:sz w:val="22"/>
          <w:szCs w:val="22"/>
        </w:rPr>
        <w:t>Limited for SARB.</w:t>
      </w:r>
      <w:r w:rsidRPr="005469E4">
        <w:rPr>
          <w:sz w:val="22"/>
          <w:szCs w:val="22"/>
        </w:rPr>
        <w:t xml:space="preserve"> This is a known constraint.</w:t>
      </w:r>
    </w:p>
    <w:p w14:paraId="161E3B0E" w14:textId="77777777" w:rsidR="005469E4" w:rsidRPr="005469E4" w:rsidRDefault="005469E4" w:rsidP="005469E4">
      <w:pPr>
        <w:numPr>
          <w:ilvl w:val="0"/>
          <w:numId w:val="3"/>
        </w:numPr>
        <w:rPr>
          <w:sz w:val="22"/>
          <w:szCs w:val="22"/>
        </w:rPr>
      </w:pPr>
      <w:r w:rsidRPr="005469E4">
        <w:rPr>
          <w:b/>
          <w:bCs/>
          <w:sz w:val="22"/>
          <w:szCs w:val="22"/>
        </w:rPr>
        <w:t xml:space="preserve">Cross-correlation of </w:t>
      </w:r>
      <w:proofErr w:type="spellStart"/>
      <w:r w:rsidRPr="005469E4">
        <w:rPr>
          <w:b/>
          <w:bCs/>
          <w:sz w:val="22"/>
          <w:szCs w:val="22"/>
        </w:rPr>
        <w:t>Δi_t</w:t>
      </w:r>
      <w:proofErr w:type="spellEnd"/>
      <w:r w:rsidRPr="005469E4">
        <w:rPr>
          <w:b/>
          <w:bCs/>
          <w:sz w:val="22"/>
          <w:szCs w:val="22"/>
        </w:rPr>
        <w:t xml:space="preserve"> and </w:t>
      </w:r>
      <w:proofErr w:type="spellStart"/>
      <w:r w:rsidRPr="005469E4">
        <w:rPr>
          <w:b/>
          <w:bCs/>
          <w:sz w:val="22"/>
          <w:szCs w:val="22"/>
        </w:rPr>
        <w:t>Δguidance_t</w:t>
      </w:r>
      <w:proofErr w:type="spellEnd"/>
      <w:r w:rsidRPr="005469E4">
        <w:rPr>
          <w:b/>
          <w:bCs/>
          <w:sz w:val="22"/>
          <w:szCs w:val="22"/>
        </w:rPr>
        <w:t xml:space="preserve"> at meetings</w:t>
      </w:r>
      <w:r w:rsidRPr="005469E4">
        <w:rPr>
          <w:sz w:val="22"/>
          <w:szCs w:val="22"/>
        </w:rPr>
        <w:t xml:space="preserve"> — positive = aligned use; near-zero = independent action-vs-communication; negative = systematic decoupling (the "dovish hike" pattern).</w:t>
      </w:r>
    </w:p>
    <w:p w14:paraId="20CC3785" w14:textId="77777777" w:rsidR="005469E4" w:rsidRPr="005469E4" w:rsidRDefault="005469E4" w:rsidP="005469E4">
      <w:pPr>
        <w:numPr>
          <w:ilvl w:val="0"/>
          <w:numId w:val="3"/>
        </w:numPr>
        <w:rPr>
          <w:sz w:val="22"/>
          <w:szCs w:val="22"/>
        </w:rPr>
      </w:pPr>
      <w:r w:rsidRPr="005469E4">
        <w:rPr>
          <w:b/>
          <w:bCs/>
          <w:sz w:val="22"/>
          <w:szCs w:val="22"/>
        </w:rPr>
        <w:t xml:space="preserve">Prior-guidance </w:t>
      </w:r>
      <w:proofErr w:type="spellStart"/>
      <w:r w:rsidRPr="005469E4">
        <w:rPr>
          <w:b/>
          <w:bCs/>
          <w:sz w:val="22"/>
          <w:szCs w:val="22"/>
        </w:rPr>
        <w:t>honour</w:t>
      </w:r>
      <w:proofErr w:type="spellEnd"/>
      <w:r w:rsidRPr="005469E4">
        <w:rPr>
          <w:b/>
          <w:bCs/>
          <w:sz w:val="22"/>
          <w:szCs w:val="22"/>
        </w:rPr>
        <w:t xml:space="preserve"> rate</w:t>
      </w:r>
      <w:r w:rsidRPr="005469E4">
        <w:rPr>
          <w:sz w:val="22"/>
          <w:szCs w:val="22"/>
        </w:rPr>
        <w:t xml:space="preserve"> — historical fraction of meetings where </w:t>
      </w:r>
      <w:proofErr w:type="spellStart"/>
      <w:r w:rsidRPr="005469E4">
        <w:rPr>
          <w:sz w:val="22"/>
          <w:szCs w:val="22"/>
        </w:rPr>
        <w:t>Δi</w:t>
      </w:r>
      <w:proofErr w:type="spellEnd"/>
      <w:r w:rsidRPr="005469E4">
        <w:rPr>
          <w:sz w:val="22"/>
          <w:szCs w:val="22"/>
        </w:rPr>
        <w:t xml:space="preserve"> matched the direction implied by t−1 guidance. Must exceed 50% in the calibration window, otherwise the bank lacks a credible commitment baseline.</w:t>
      </w:r>
    </w:p>
    <w:p w14:paraId="557A9BF8" w14:textId="77777777" w:rsidR="005469E4" w:rsidRPr="005469E4" w:rsidRDefault="005469E4" w:rsidP="005469E4">
      <w:pPr>
        <w:rPr>
          <w:sz w:val="22"/>
          <w:szCs w:val="22"/>
        </w:rPr>
      </w:pPr>
      <w:r w:rsidRPr="005469E4">
        <w:rPr>
          <w:sz w:val="22"/>
          <w:szCs w:val="22"/>
        </w:rPr>
        <w:t>The sufficiency condition: (</w:t>
      </w:r>
      <w:proofErr w:type="spellStart"/>
      <w:r w:rsidRPr="005469E4">
        <w:rPr>
          <w:sz w:val="22"/>
          <w:szCs w:val="22"/>
        </w:rPr>
        <w:t>i</w:t>
      </w:r>
      <w:proofErr w:type="spellEnd"/>
      <w:r w:rsidRPr="005469E4">
        <w:rPr>
          <w:sz w:val="22"/>
          <w:szCs w:val="22"/>
        </w:rPr>
        <w:t xml:space="preserve">) both rate and guidance measurable each meeting AND (ii) prior-guidance </w:t>
      </w:r>
      <w:proofErr w:type="spellStart"/>
      <w:r w:rsidRPr="005469E4">
        <w:rPr>
          <w:sz w:val="22"/>
          <w:szCs w:val="22"/>
        </w:rPr>
        <w:t>honour</w:t>
      </w:r>
      <w:proofErr w:type="spellEnd"/>
      <w:r w:rsidRPr="005469E4">
        <w:rPr>
          <w:sz w:val="22"/>
          <w:szCs w:val="22"/>
        </w:rPr>
        <w:t xml:space="preserve"> rate &gt;50% in calibration. The Level 3 doc explicitly notes SARB and BCB are "marginal but workable" on this criterion. Turkey post-2018 fails (reaction function decoupled from guidance structurally — Erdoğan-era unorthodoxy).</w:t>
      </w:r>
    </w:p>
    <w:p w14:paraId="5BBE4AD7" w14:textId="77777777" w:rsidR="005469E4" w:rsidRPr="005469E4" w:rsidRDefault="005469E4" w:rsidP="005469E4">
      <w:pPr>
        <w:rPr>
          <w:sz w:val="22"/>
          <w:szCs w:val="22"/>
        </w:rPr>
      </w:pPr>
      <w:r w:rsidRPr="005469E4">
        <w:rPr>
          <w:sz w:val="22"/>
          <w:szCs w:val="22"/>
        </w:rPr>
        <w:t xml:space="preserve">A pushback on the way you originally framed this as a "correlation function" in your L3a↔L3b question: as with L3a↔L3b, this isn't a single correlation test in the L1↔L3a sense. The L1↔L3a R² ≥ 0.84 condition is about whether the residual carries diagnostic signal; here the intensity test is about </w:t>
      </w:r>
      <w:r w:rsidRPr="005469E4">
        <w:rPr>
          <w:i/>
          <w:iCs/>
          <w:sz w:val="22"/>
          <w:szCs w:val="22"/>
        </w:rPr>
        <w:t>identification feasibility</w:t>
      </w:r>
      <w:r w:rsidRPr="005469E4">
        <w:rPr>
          <w:sz w:val="22"/>
          <w:szCs w:val="22"/>
        </w:rPr>
        <w:t xml:space="preserve"> (can the relationship even be measured given data and credibility </w:t>
      </w:r>
      <w:r w:rsidRPr="005469E4">
        <w:rPr>
          <w:sz w:val="22"/>
          <w:szCs w:val="22"/>
        </w:rPr>
        <w:lastRenderedPageBreak/>
        <w:t xml:space="preserve">infrastructure?). Different theoretical </w:t>
      </w:r>
      <w:proofErr w:type="gramStart"/>
      <w:r w:rsidRPr="005469E4">
        <w:rPr>
          <w:sz w:val="22"/>
          <w:szCs w:val="22"/>
        </w:rPr>
        <w:t>role</w:t>
      </w:r>
      <w:proofErr w:type="gramEnd"/>
      <w:r w:rsidRPr="005469E4">
        <w:rPr>
          <w:sz w:val="22"/>
          <w:szCs w:val="22"/>
        </w:rPr>
        <w:t xml:space="preserve">, different gating logic. Worth being clear about that in the write-up — the four-step structure is consistent across </w:t>
      </w:r>
      <w:proofErr w:type="gramStart"/>
      <w:r w:rsidRPr="005469E4">
        <w:rPr>
          <w:sz w:val="22"/>
          <w:szCs w:val="22"/>
        </w:rPr>
        <w:t>edges</w:t>
      </w:r>
      <w:proofErr w:type="gramEnd"/>
      <w:r w:rsidRPr="005469E4">
        <w:rPr>
          <w:sz w:val="22"/>
          <w:szCs w:val="22"/>
        </w:rPr>
        <w:t xml:space="preserve"> but the gates themselves differ.</w:t>
      </w:r>
    </w:p>
    <w:p w14:paraId="2E49FA77" w14:textId="77777777" w:rsidR="005469E4" w:rsidRPr="005469E4" w:rsidRDefault="005469E4" w:rsidP="005469E4">
      <w:pPr>
        <w:rPr>
          <w:sz w:val="22"/>
          <w:szCs w:val="22"/>
        </w:rPr>
      </w:pPr>
      <w:r w:rsidRPr="005469E4">
        <w:rPr>
          <w:sz w:val="22"/>
          <w:szCs w:val="22"/>
        </w:rPr>
        <w:pict w14:anchorId="11AE34CA">
          <v:rect id="_x0000_i1044" style="width:0;height:1.5pt" o:hralign="center" o:hrstd="t" o:hr="t" fillcolor="#a0a0a0" stroked="f"/>
        </w:pict>
      </w:r>
    </w:p>
    <w:p w14:paraId="671A7155" w14:textId="77777777" w:rsidR="005469E4" w:rsidRPr="005469E4" w:rsidRDefault="005469E4" w:rsidP="005469E4">
      <w:pPr>
        <w:rPr>
          <w:b/>
          <w:bCs/>
          <w:sz w:val="22"/>
          <w:szCs w:val="22"/>
        </w:rPr>
      </w:pPr>
      <w:r w:rsidRPr="005469E4">
        <w:rPr>
          <w:b/>
          <w:bCs/>
          <w:sz w:val="22"/>
          <w:szCs w:val="22"/>
        </w:rPr>
        <w:t>Step 3 — Consistency function</w:t>
      </w:r>
    </w:p>
    <w:p w14:paraId="7C7ABC5E" w14:textId="77777777" w:rsidR="005469E4" w:rsidRPr="005469E4" w:rsidRDefault="005469E4" w:rsidP="005469E4">
      <w:pPr>
        <w:rPr>
          <w:sz w:val="22"/>
          <w:szCs w:val="22"/>
        </w:rPr>
      </w:pPr>
      <w:r w:rsidRPr="005469E4">
        <w:rPr>
          <w:sz w:val="22"/>
          <w:szCs w:val="22"/>
        </w:rPr>
        <w:t>Same L2-norm-of-three-standardised-residuals architecture we saw with L3a↔L3b, but with different sub-residuals:</w:t>
      </w:r>
    </w:p>
    <w:p w14:paraId="0B9950F9" w14:textId="77777777" w:rsidR="005469E4" w:rsidRPr="005469E4" w:rsidRDefault="005469E4" w:rsidP="005469E4">
      <w:pPr>
        <w:rPr>
          <w:sz w:val="22"/>
          <w:szCs w:val="22"/>
        </w:rPr>
      </w:pPr>
      <w:r w:rsidRPr="005469E4">
        <w:rPr>
          <w:sz w:val="22"/>
          <w:szCs w:val="22"/>
        </w:rPr>
        <w:t>R^{L3a↔L3</w:t>
      </w:r>
      <w:proofErr w:type="gramStart"/>
      <w:r w:rsidRPr="005469E4">
        <w:rPr>
          <w:sz w:val="22"/>
          <w:szCs w:val="22"/>
        </w:rPr>
        <w:t>c}(</w:t>
      </w:r>
      <w:proofErr w:type="spellStart"/>
      <w:proofErr w:type="gramEnd"/>
      <w:r w:rsidRPr="005469E4">
        <w:rPr>
          <w:sz w:val="22"/>
          <w:szCs w:val="22"/>
        </w:rPr>
        <w:t>Δi_t</w:t>
      </w:r>
      <w:proofErr w:type="spellEnd"/>
      <w:r w:rsidRPr="005469E4">
        <w:rPr>
          <w:sz w:val="22"/>
          <w:szCs w:val="22"/>
        </w:rPr>
        <w:t xml:space="preserve">, </w:t>
      </w:r>
      <w:proofErr w:type="spellStart"/>
      <w:r w:rsidRPr="005469E4">
        <w:rPr>
          <w:sz w:val="22"/>
          <w:szCs w:val="22"/>
        </w:rPr>
        <w:t>Δguidance_t</w:t>
      </w:r>
      <w:proofErr w:type="spellEnd"/>
      <w:r w:rsidRPr="005469E4">
        <w:rPr>
          <w:sz w:val="22"/>
          <w:szCs w:val="22"/>
        </w:rPr>
        <w:t xml:space="preserve">, </w:t>
      </w:r>
      <w:proofErr w:type="spellStart"/>
      <w:r w:rsidRPr="005469E4">
        <w:rPr>
          <w:sz w:val="22"/>
          <w:szCs w:val="22"/>
        </w:rPr>
        <w:t>prior_guidance</w:t>
      </w:r>
      <w:proofErr w:type="spellEnd"/>
      <w:r w:rsidRPr="005469E4">
        <w:rPr>
          <w:sz w:val="22"/>
          <w:szCs w:val="22"/>
        </w:rPr>
        <w:t xml:space="preserve">_{t−1}) = </w:t>
      </w:r>
      <w:proofErr w:type="gramStart"/>
      <w:r w:rsidRPr="005469E4">
        <w:rPr>
          <w:rFonts w:ascii="Arial" w:hAnsi="Arial" w:cs="Arial"/>
          <w:sz w:val="22"/>
          <w:szCs w:val="22"/>
        </w:rPr>
        <w:t>‖</w:t>
      </w:r>
      <w:r w:rsidRPr="005469E4">
        <w:rPr>
          <w:sz w:val="22"/>
          <w:szCs w:val="22"/>
        </w:rPr>
        <w:t>(</w:t>
      </w:r>
      <w:proofErr w:type="gramEnd"/>
      <w:r w:rsidRPr="005469E4">
        <w:rPr>
          <w:sz w:val="22"/>
          <w:szCs w:val="22"/>
        </w:rPr>
        <w:t xml:space="preserve">r_1, r_2, r_3) / </w:t>
      </w:r>
      <w:r w:rsidRPr="005469E4">
        <w:rPr>
          <w:rFonts w:ascii="Aptos" w:hAnsi="Aptos" w:cs="Aptos"/>
          <w:sz w:val="22"/>
          <w:szCs w:val="22"/>
        </w:rPr>
        <w:t>σ</w:t>
      </w:r>
      <w:r w:rsidRPr="005469E4">
        <w:rPr>
          <w:rFonts w:ascii="Arial" w:hAnsi="Arial" w:cs="Arial"/>
          <w:sz w:val="22"/>
          <w:szCs w:val="22"/>
        </w:rPr>
        <w:t>‖</w:t>
      </w:r>
    </w:p>
    <w:p w14:paraId="13C40673" w14:textId="77777777" w:rsidR="005469E4" w:rsidRPr="005469E4" w:rsidRDefault="005469E4" w:rsidP="005469E4">
      <w:pPr>
        <w:rPr>
          <w:sz w:val="22"/>
          <w:szCs w:val="22"/>
        </w:rPr>
      </w:pPr>
      <w:proofErr w:type="gramStart"/>
      <w:r w:rsidRPr="005469E4">
        <w:rPr>
          <w:sz w:val="22"/>
          <w:szCs w:val="22"/>
        </w:rPr>
        <w:t>with</w:t>
      </w:r>
      <w:proofErr w:type="gramEnd"/>
    </w:p>
    <w:p w14:paraId="623820C6" w14:textId="77777777" w:rsidR="005469E4" w:rsidRPr="005469E4" w:rsidRDefault="005469E4" w:rsidP="005469E4">
      <w:pPr>
        <w:numPr>
          <w:ilvl w:val="0"/>
          <w:numId w:val="4"/>
        </w:numPr>
        <w:rPr>
          <w:sz w:val="22"/>
          <w:szCs w:val="22"/>
        </w:rPr>
      </w:pPr>
      <w:r w:rsidRPr="005469E4">
        <w:rPr>
          <w:b/>
          <w:bCs/>
          <w:sz w:val="22"/>
          <w:szCs w:val="22"/>
        </w:rPr>
        <w:t>r_1(t)</w:t>
      </w:r>
      <w:r w:rsidRPr="005469E4">
        <w:rPr>
          <w:sz w:val="22"/>
          <w:szCs w:val="22"/>
        </w:rPr>
        <w:t xml:space="preserve"> = sign(</w:t>
      </w:r>
      <w:proofErr w:type="spellStart"/>
      <w:r w:rsidRPr="005469E4">
        <w:rPr>
          <w:sz w:val="22"/>
          <w:szCs w:val="22"/>
        </w:rPr>
        <w:t>Δi_t</w:t>
      </w:r>
      <w:proofErr w:type="spellEnd"/>
      <w:r w:rsidRPr="005469E4">
        <w:rPr>
          <w:sz w:val="22"/>
          <w:szCs w:val="22"/>
        </w:rPr>
        <w:t>) × sign(</w:t>
      </w:r>
      <w:proofErr w:type="spellStart"/>
      <w:r w:rsidRPr="005469E4">
        <w:rPr>
          <w:sz w:val="22"/>
          <w:szCs w:val="22"/>
        </w:rPr>
        <w:t>Δguidance_</w:t>
      </w:r>
      <w:proofErr w:type="gramStart"/>
      <w:r w:rsidRPr="005469E4">
        <w:rPr>
          <w:sz w:val="22"/>
          <w:szCs w:val="22"/>
        </w:rPr>
        <w:t>t</w:t>
      </w:r>
      <w:proofErr w:type="spellEnd"/>
      <w:r w:rsidRPr="005469E4">
        <w:rPr>
          <w:sz w:val="22"/>
          <w:szCs w:val="22"/>
        </w:rPr>
        <w:t>)_</w:t>
      </w:r>
      <w:proofErr w:type="gramEnd"/>
      <w:r w:rsidRPr="005469E4">
        <w:rPr>
          <w:sz w:val="22"/>
          <w:szCs w:val="22"/>
        </w:rPr>
        <w:t xml:space="preserve">inverted — </w:t>
      </w:r>
      <w:r w:rsidRPr="005469E4">
        <w:rPr>
          <w:i/>
          <w:iCs/>
          <w:sz w:val="22"/>
          <w:szCs w:val="22"/>
        </w:rPr>
        <w:t>directional coordination at the meeting</w:t>
      </w:r>
    </w:p>
    <w:p w14:paraId="1E4E3236" w14:textId="77777777" w:rsidR="005469E4" w:rsidRPr="005469E4" w:rsidRDefault="005469E4" w:rsidP="005469E4">
      <w:pPr>
        <w:numPr>
          <w:ilvl w:val="0"/>
          <w:numId w:val="4"/>
        </w:numPr>
        <w:rPr>
          <w:sz w:val="22"/>
          <w:szCs w:val="22"/>
        </w:rPr>
      </w:pPr>
      <w:r w:rsidRPr="005469E4">
        <w:rPr>
          <w:b/>
          <w:bCs/>
          <w:sz w:val="22"/>
          <w:szCs w:val="22"/>
        </w:rPr>
        <w:t>r_2(t)</w:t>
      </w:r>
      <w:r w:rsidRPr="005469E4">
        <w:rPr>
          <w:sz w:val="22"/>
          <w:szCs w:val="22"/>
        </w:rPr>
        <w:t xml:space="preserve"> = </w:t>
      </w:r>
      <w:proofErr w:type="spellStart"/>
      <w:r w:rsidRPr="005469E4">
        <w:rPr>
          <w:sz w:val="22"/>
          <w:szCs w:val="22"/>
        </w:rPr>
        <w:t>Δi_t</w:t>
      </w:r>
      <w:proofErr w:type="spellEnd"/>
      <w:r w:rsidRPr="005469E4">
        <w:rPr>
          <w:sz w:val="22"/>
          <w:szCs w:val="22"/>
        </w:rPr>
        <w:t xml:space="preserve"> − bps-equivalent(</w:t>
      </w:r>
      <w:proofErr w:type="spellStart"/>
      <w:r w:rsidRPr="005469E4">
        <w:rPr>
          <w:sz w:val="22"/>
          <w:szCs w:val="22"/>
        </w:rPr>
        <w:t>Δguidance_</w:t>
      </w:r>
      <w:proofErr w:type="gramStart"/>
      <w:r w:rsidRPr="005469E4">
        <w:rPr>
          <w:sz w:val="22"/>
          <w:szCs w:val="22"/>
        </w:rPr>
        <w:t>t</w:t>
      </w:r>
      <w:proofErr w:type="spellEnd"/>
      <w:r w:rsidRPr="005469E4">
        <w:rPr>
          <w:sz w:val="22"/>
          <w:szCs w:val="22"/>
        </w:rPr>
        <w:t>) —</w:t>
      </w:r>
      <w:proofErr w:type="gramEnd"/>
      <w:r w:rsidRPr="005469E4">
        <w:rPr>
          <w:sz w:val="22"/>
          <w:szCs w:val="22"/>
        </w:rPr>
        <w:t xml:space="preserve"> </w:t>
      </w:r>
      <w:r w:rsidRPr="005469E4">
        <w:rPr>
          <w:i/>
          <w:iCs/>
          <w:sz w:val="22"/>
          <w:szCs w:val="22"/>
        </w:rPr>
        <w:t>magnitude coordination at the meeting</w:t>
      </w:r>
    </w:p>
    <w:p w14:paraId="38E8F2C5" w14:textId="77777777" w:rsidR="005469E4" w:rsidRPr="005469E4" w:rsidRDefault="005469E4" w:rsidP="005469E4">
      <w:pPr>
        <w:numPr>
          <w:ilvl w:val="0"/>
          <w:numId w:val="4"/>
        </w:numPr>
        <w:rPr>
          <w:sz w:val="22"/>
          <w:szCs w:val="22"/>
        </w:rPr>
      </w:pPr>
      <w:r w:rsidRPr="005469E4">
        <w:rPr>
          <w:b/>
          <w:bCs/>
          <w:sz w:val="22"/>
          <w:szCs w:val="22"/>
        </w:rPr>
        <w:t>r_3(t)</w:t>
      </w:r>
      <w:r w:rsidRPr="005469E4">
        <w:rPr>
          <w:sz w:val="22"/>
          <w:szCs w:val="22"/>
        </w:rPr>
        <w:t xml:space="preserve"> = </w:t>
      </w:r>
      <w:proofErr w:type="spellStart"/>
      <w:r w:rsidRPr="005469E4">
        <w:rPr>
          <w:sz w:val="22"/>
          <w:szCs w:val="22"/>
        </w:rPr>
        <w:t>Δi_</w:t>
      </w:r>
      <w:proofErr w:type="gramStart"/>
      <w:r w:rsidRPr="005469E4">
        <w:rPr>
          <w:sz w:val="22"/>
          <w:szCs w:val="22"/>
        </w:rPr>
        <w:t>t</w:t>
      </w:r>
      <w:proofErr w:type="spellEnd"/>
      <w:r w:rsidRPr="005469E4">
        <w:rPr>
          <w:sz w:val="22"/>
          <w:szCs w:val="22"/>
        </w:rPr>
        <w:t xml:space="preserve"> −</w:t>
      </w:r>
      <w:proofErr w:type="gramEnd"/>
      <w:r w:rsidRPr="005469E4">
        <w:rPr>
          <w:sz w:val="22"/>
          <w:szCs w:val="22"/>
        </w:rPr>
        <w:t xml:space="preserve"> </w:t>
      </w:r>
      <w:proofErr w:type="spellStart"/>
      <w:r w:rsidRPr="005469E4">
        <w:rPr>
          <w:sz w:val="22"/>
          <w:szCs w:val="22"/>
        </w:rPr>
        <w:t>implied_Δi_from_prior_guidance</w:t>
      </w:r>
      <w:proofErr w:type="spellEnd"/>
      <w:r w:rsidRPr="005469E4">
        <w:rPr>
          <w:sz w:val="22"/>
          <w:szCs w:val="22"/>
        </w:rPr>
        <w:t xml:space="preserve"> — </w:t>
      </w:r>
      <w:r w:rsidRPr="005469E4">
        <w:rPr>
          <w:i/>
          <w:iCs/>
          <w:sz w:val="22"/>
          <w:szCs w:val="22"/>
        </w:rPr>
        <w:t>prior-guidance reconciliation</w:t>
      </w:r>
    </w:p>
    <w:p w14:paraId="5BB64F66" w14:textId="77777777" w:rsidR="005469E4" w:rsidRPr="005469E4" w:rsidRDefault="005469E4" w:rsidP="005469E4">
      <w:pPr>
        <w:rPr>
          <w:sz w:val="22"/>
          <w:szCs w:val="22"/>
        </w:rPr>
      </w:pPr>
      <w:r w:rsidRPr="005469E4">
        <w:rPr>
          <w:sz w:val="22"/>
          <w:szCs w:val="22"/>
        </w:rPr>
        <w:t>Component interpretation:</w:t>
      </w:r>
    </w:p>
    <w:p w14:paraId="7C10E21B" w14:textId="77777777" w:rsidR="005469E4" w:rsidRPr="005469E4" w:rsidRDefault="005469E4" w:rsidP="005469E4">
      <w:pPr>
        <w:numPr>
          <w:ilvl w:val="0"/>
          <w:numId w:val="5"/>
        </w:numPr>
        <w:rPr>
          <w:sz w:val="22"/>
          <w:szCs w:val="22"/>
        </w:rPr>
      </w:pPr>
      <w:r w:rsidRPr="005469E4">
        <w:rPr>
          <w:b/>
          <w:bCs/>
          <w:sz w:val="22"/>
          <w:szCs w:val="22"/>
        </w:rPr>
        <w:t>r_1</w:t>
      </w:r>
      <w:r w:rsidRPr="005469E4">
        <w:rPr>
          <w:sz w:val="22"/>
          <w:szCs w:val="22"/>
        </w:rPr>
        <w:t xml:space="preserve"> fires on the </w:t>
      </w:r>
      <w:r w:rsidRPr="005469E4">
        <w:rPr>
          <w:i/>
          <w:iCs/>
          <w:sz w:val="22"/>
          <w:szCs w:val="22"/>
        </w:rPr>
        <w:t>dovish hike / hawkish cut</w:t>
      </w:r>
      <w:r w:rsidRPr="005469E4">
        <w:rPr>
          <w:sz w:val="22"/>
          <w:szCs w:val="22"/>
        </w:rPr>
        <w:t xml:space="preserve"> pattern. The bank moves the </w:t>
      </w:r>
      <w:proofErr w:type="gramStart"/>
      <w:r w:rsidRPr="005469E4">
        <w:rPr>
          <w:sz w:val="22"/>
          <w:szCs w:val="22"/>
        </w:rPr>
        <w:t>rate</w:t>
      </w:r>
      <w:proofErr w:type="gramEnd"/>
      <w:r w:rsidRPr="005469E4">
        <w:rPr>
          <w:sz w:val="22"/>
          <w:szCs w:val="22"/>
        </w:rPr>
        <w:t xml:space="preserve"> one direction while shifting guidance the opposite direction. Late-cycle this is often deliberate (a hike combined with </w:t>
      </w:r>
      <w:proofErr w:type="spellStart"/>
      <w:r w:rsidRPr="005469E4">
        <w:rPr>
          <w:sz w:val="22"/>
          <w:szCs w:val="22"/>
        </w:rPr>
        <w:t>signalling</w:t>
      </w:r>
      <w:proofErr w:type="spellEnd"/>
      <w:r w:rsidRPr="005469E4">
        <w:rPr>
          <w:sz w:val="22"/>
          <w:szCs w:val="22"/>
        </w:rPr>
        <w:t xml:space="preserve"> near-terminal) and not pure dissonance. Mid-cycle it's a genuine credibility signal — the bank is doing one thing while saying another.</w:t>
      </w:r>
    </w:p>
    <w:p w14:paraId="2EBF0EC9" w14:textId="77777777" w:rsidR="005469E4" w:rsidRPr="005469E4" w:rsidRDefault="005469E4" w:rsidP="005469E4">
      <w:pPr>
        <w:numPr>
          <w:ilvl w:val="0"/>
          <w:numId w:val="5"/>
        </w:numPr>
        <w:rPr>
          <w:sz w:val="22"/>
          <w:szCs w:val="22"/>
        </w:rPr>
      </w:pPr>
      <w:r w:rsidRPr="005469E4">
        <w:rPr>
          <w:b/>
          <w:bCs/>
          <w:sz w:val="22"/>
          <w:szCs w:val="22"/>
        </w:rPr>
        <w:t>r_2</w:t>
      </w:r>
      <w:r w:rsidRPr="005469E4">
        <w:rPr>
          <w:sz w:val="22"/>
          <w:szCs w:val="22"/>
        </w:rPr>
        <w:t xml:space="preserve"> fires on </w:t>
      </w:r>
      <w:r w:rsidRPr="005469E4">
        <w:rPr>
          <w:i/>
          <w:iCs/>
          <w:sz w:val="22"/>
          <w:szCs w:val="22"/>
        </w:rPr>
        <w:t>magnitude disproportion</w:t>
      </w:r>
      <w:r w:rsidRPr="005469E4">
        <w:rPr>
          <w:sz w:val="22"/>
          <w:szCs w:val="22"/>
        </w:rPr>
        <w:t>. A 25bp hike accompanied by guidance suggesting 200bp more is r_2 hawkish-disproportionate; a 25bp hike with no guidance shift is r_2 muted-action-strong-words. The "patient pause" pattern (shift guidance without rate action) fires r_2 from the opposite side.</w:t>
      </w:r>
    </w:p>
    <w:p w14:paraId="72A6FAED" w14:textId="77777777" w:rsidR="005469E4" w:rsidRPr="005469E4" w:rsidRDefault="005469E4" w:rsidP="005469E4">
      <w:pPr>
        <w:numPr>
          <w:ilvl w:val="0"/>
          <w:numId w:val="5"/>
        </w:numPr>
        <w:rPr>
          <w:sz w:val="22"/>
          <w:szCs w:val="22"/>
        </w:rPr>
      </w:pPr>
      <w:r w:rsidRPr="005469E4">
        <w:rPr>
          <w:b/>
          <w:bCs/>
          <w:sz w:val="22"/>
          <w:szCs w:val="22"/>
        </w:rPr>
        <w:t>r_3</w:t>
      </w:r>
      <w:r w:rsidRPr="005469E4">
        <w:rPr>
          <w:sz w:val="22"/>
          <w:szCs w:val="22"/>
        </w:rPr>
        <w:t xml:space="preserve"> fires on </w:t>
      </w:r>
      <w:r w:rsidRPr="005469E4">
        <w:rPr>
          <w:i/>
          <w:iCs/>
          <w:sz w:val="22"/>
          <w:szCs w:val="22"/>
        </w:rPr>
        <w:t>prior-guidance violation</w:t>
      </w:r>
      <w:r w:rsidRPr="005469E4">
        <w:rPr>
          <w:sz w:val="22"/>
          <w:szCs w:val="22"/>
        </w:rPr>
        <w:t xml:space="preserve"> — the meeting's decision contradicts what the bank had said it would do. This is the strongest credibility signal in the entire framework. The Level 3 doc identifies the 2022 Fed pivot (FAIT-era commitment to patience, followed by 525bp hiking cycle) as the canonical r_3 case, expected to fire massively on the first hike.</w:t>
      </w:r>
    </w:p>
    <w:p w14:paraId="0AF541FF" w14:textId="77777777" w:rsidR="005469E4" w:rsidRPr="005469E4" w:rsidRDefault="005469E4" w:rsidP="005469E4">
      <w:pPr>
        <w:rPr>
          <w:sz w:val="22"/>
          <w:szCs w:val="22"/>
        </w:rPr>
      </w:pPr>
      <w:r w:rsidRPr="005469E4">
        <w:rPr>
          <w:b/>
          <w:bCs/>
          <w:sz w:val="22"/>
          <w:szCs w:val="22"/>
        </w:rPr>
        <w:t>Pre-registered specifications for SA</w:t>
      </w:r>
      <w:r w:rsidRPr="005469E4">
        <w:rPr>
          <w:sz w:val="22"/>
          <w:szCs w:val="22"/>
        </w:rPr>
        <w:t>:</w:t>
      </w:r>
    </w:p>
    <w:p w14:paraId="7DF19CB0" w14:textId="77777777" w:rsidR="005469E4" w:rsidRPr="005469E4" w:rsidRDefault="005469E4" w:rsidP="005469E4">
      <w:pPr>
        <w:numPr>
          <w:ilvl w:val="0"/>
          <w:numId w:val="6"/>
        </w:numPr>
        <w:rPr>
          <w:sz w:val="22"/>
          <w:szCs w:val="22"/>
        </w:rPr>
      </w:pPr>
      <w:r w:rsidRPr="005469E4">
        <w:rPr>
          <w:sz w:val="22"/>
          <w:szCs w:val="22"/>
        </w:rPr>
        <w:t>Guidance measurement: NLP ensemble (Loughran-McDonald extended dictionary + LLM zero-shot classifier).</w:t>
      </w:r>
    </w:p>
    <w:p w14:paraId="39150FF6" w14:textId="77777777" w:rsidR="005469E4" w:rsidRPr="005469E4" w:rsidRDefault="005469E4" w:rsidP="005469E4">
      <w:pPr>
        <w:numPr>
          <w:ilvl w:val="0"/>
          <w:numId w:val="6"/>
        </w:numPr>
        <w:rPr>
          <w:sz w:val="22"/>
          <w:szCs w:val="22"/>
        </w:rPr>
      </w:pPr>
      <w:r w:rsidRPr="005469E4">
        <w:rPr>
          <w:sz w:val="22"/>
          <w:szCs w:val="22"/>
        </w:rPr>
        <w:t xml:space="preserve">Bps-equivalent elasticity β_SA: estimated on prior-meeting calibration window via event-study regression of 2y yield change on </w:t>
      </w:r>
      <w:proofErr w:type="spellStart"/>
      <w:r w:rsidRPr="005469E4">
        <w:rPr>
          <w:sz w:val="22"/>
          <w:szCs w:val="22"/>
        </w:rPr>
        <w:t>Δhawk</w:t>
      </w:r>
      <w:proofErr w:type="spellEnd"/>
      <w:r w:rsidRPr="005469E4">
        <w:rPr>
          <w:sz w:val="22"/>
          <w:szCs w:val="22"/>
        </w:rPr>
        <w:t>-score.</w:t>
      </w:r>
    </w:p>
    <w:p w14:paraId="78122C4D" w14:textId="77777777" w:rsidR="005469E4" w:rsidRPr="005469E4" w:rsidRDefault="005469E4" w:rsidP="005469E4">
      <w:pPr>
        <w:numPr>
          <w:ilvl w:val="0"/>
          <w:numId w:val="6"/>
        </w:numPr>
        <w:rPr>
          <w:sz w:val="22"/>
          <w:szCs w:val="22"/>
        </w:rPr>
      </w:pPr>
      <w:r w:rsidRPr="005469E4">
        <w:rPr>
          <w:sz w:val="22"/>
          <w:szCs w:val="22"/>
        </w:rPr>
        <w:t>Calibration window: 2005-01 to 2014-12 (same as L1↔L3a, consistent with the protocol).</w:t>
      </w:r>
    </w:p>
    <w:p w14:paraId="6C3A814D" w14:textId="77777777" w:rsidR="005469E4" w:rsidRPr="005469E4" w:rsidRDefault="005469E4" w:rsidP="005469E4">
      <w:pPr>
        <w:numPr>
          <w:ilvl w:val="0"/>
          <w:numId w:val="6"/>
        </w:numPr>
        <w:rPr>
          <w:sz w:val="22"/>
          <w:szCs w:val="22"/>
        </w:rPr>
      </w:pPr>
      <w:r w:rsidRPr="005469E4">
        <w:rPr>
          <w:sz w:val="22"/>
          <w:szCs w:val="22"/>
        </w:rPr>
        <w:t>Meeting calendar: 6 SARB MPC meetings/year (8 pre-2010, 6 post-2018), country-specific calendar in data appendix.</w:t>
      </w:r>
    </w:p>
    <w:p w14:paraId="1B7F6694" w14:textId="77777777" w:rsidR="005469E4" w:rsidRPr="005469E4" w:rsidRDefault="005469E4" w:rsidP="005469E4">
      <w:pPr>
        <w:numPr>
          <w:ilvl w:val="0"/>
          <w:numId w:val="6"/>
        </w:numPr>
        <w:rPr>
          <w:sz w:val="22"/>
          <w:szCs w:val="22"/>
        </w:rPr>
      </w:pPr>
      <w:r w:rsidRPr="005469E4">
        <w:rPr>
          <w:sz w:val="22"/>
          <w:szCs w:val="22"/>
        </w:rPr>
        <w:lastRenderedPageBreak/>
        <w:t>Sample: 2005–2024.</w:t>
      </w:r>
    </w:p>
    <w:p w14:paraId="018EFC22" w14:textId="77777777" w:rsidR="005469E4" w:rsidRPr="005469E4" w:rsidRDefault="005469E4" w:rsidP="005469E4">
      <w:pPr>
        <w:numPr>
          <w:ilvl w:val="0"/>
          <w:numId w:val="6"/>
        </w:numPr>
        <w:rPr>
          <w:sz w:val="22"/>
          <w:szCs w:val="22"/>
        </w:rPr>
      </w:pPr>
      <w:proofErr w:type="spellStart"/>
      <w:proofErr w:type="gramStart"/>
      <w:r w:rsidRPr="005469E4">
        <w:rPr>
          <w:sz w:val="22"/>
          <w:szCs w:val="22"/>
        </w:rPr>
        <w:t>σ_i</w:t>
      </w:r>
      <w:proofErr w:type="spellEnd"/>
      <w:proofErr w:type="gramEnd"/>
      <w:r w:rsidRPr="005469E4">
        <w:rPr>
          <w:sz w:val="22"/>
          <w:szCs w:val="22"/>
        </w:rPr>
        <w:t xml:space="preserve"> estimated on the calibration window per sub-residual.</w:t>
      </w:r>
    </w:p>
    <w:p w14:paraId="656B58F3" w14:textId="77777777" w:rsidR="005469E4" w:rsidRPr="005469E4" w:rsidRDefault="005469E4" w:rsidP="005469E4">
      <w:pPr>
        <w:rPr>
          <w:sz w:val="22"/>
          <w:szCs w:val="22"/>
        </w:rPr>
      </w:pPr>
      <w:r w:rsidRPr="005469E4">
        <w:rPr>
          <w:sz w:val="22"/>
          <w:szCs w:val="22"/>
        </w:rPr>
        <w:t xml:space="preserve">By construction E[R^{L3a↔L3c}] = 0 in the calibration window — the standard </w:t>
      </w:r>
      <w:proofErr w:type="spellStart"/>
      <w:r w:rsidRPr="005469E4">
        <w:rPr>
          <w:sz w:val="22"/>
          <w:szCs w:val="22"/>
        </w:rPr>
        <w:t>centring</w:t>
      </w:r>
      <w:proofErr w:type="spellEnd"/>
      <w:r w:rsidRPr="005469E4">
        <w:rPr>
          <w:sz w:val="22"/>
          <w:szCs w:val="22"/>
        </w:rPr>
        <w:t xml:space="preserve"> identity.</w:t>
      </w:r>
    </w:p>
    <w:p w14:paraId="62404FBF" w14:textId="77777777" w:rsidR="005469E4" w:rsidRPr="005469E4" w:rsidRDefault="005469E4" w:rsidP="005469E4">
      <w:pPr>
        <w:rPr>
          <w:sz w:val="22"/>
          <w:szCs w:val="22"/>
        </w:rPr>
      </w:pPr>
      <w:r w:rsidRPr="005469E4">
        <w:rPr>
          <w:b/>
          <w:bCs/>
          <w:sz w:val="22"/>
          <w:szCs w:val="22"/>
        </w:rPr>
        <w:t>A methodological tension worth surfacing</w:t>
      </w:r>
      <w:r w:rsidRPr="005469E4">
        <w:rPr>
          <w:sz w:val="22"/>
          <w:szCs w:val="22"/>
        </w:rPr>
        <w:t xml:space="preserve">: the dovish-hike pattern is a known late-cycle policy tool, </w:t>
      </w:r>
      <w:r w:rsidRPr="005469E4">
        <w:rPr>
          <w:i/>
          <w:iCs/>
          <w:sz w:val="22"/>
          <w:szCs w:val="22"/>
        </w:rPr>
        <w:t>not</w:t>
      </w:r>
      <w:r w:rsidRPr="005469E4">
        <w:rPr>
          <w:sz w:val="22"/>
          <w:szCs w:val="22"/>
        </w:rPr>
        <w:t xml:space="preserve"> an error or a credibility breach. Banks routinely deploy hawkish-action-dovish-words combinations to slow markets without abrupt repricing. The metric will fire r_1 systematically on late-cycle dovish hikes — which is correct </w:t>
      </w:r>
      <w:proofErr w:type="spellStart"/>
      <w:r w:rsidRPr="005469E4">
        <w:rPr>
          <w:sz w:val="22"/>
          <w:szCs w:val="22"/>
        </w:rPr>
        <w:t>behaviour</w:t>
      </w:r>
      <w:proofErr w:type="spellEnd"/>
      <w:r w:rsidRPr="005469E4">
        <w:rPr>
          <w:sz w:val="22"/>
          <w:szCs w:val="22"/>
        </w:rPr>
        <w:t xml:space="preserve">, but the </w:t>
      </w:r>
      <w:r w:rsidRPr="005469E4">
        <w:rPr>
          <w:i/>
          <w:iCs/>
          <w:sz w:val="22"/>
          <w:szCs w:val="22"/>
        </w:rPr>
        <w:t>interpretation</w:t>
      </w:r>
      <w:r w:rsidRPr="005469E4">
        <w:rPr>
          <w:sz w:val="22"/>
          <w:szCs w:val="22"/>
        </w:rPr>
        <w:t xml:space="preserve"> needs to differentiate </w:t>
      </w:r>
      <w:proofErr w:type="gramStart"/>
      <w:r w:rsidRPr="005469E4">
        <w:rPr>
          <w:sz w:val="22"/>
          <w:szCs w:val="22"/>
        </w:rPr>
        <w:t>intentional</w:t>
      </w:r>
      <w:proofErr w:type="gramEnd"/>
      <w:r w:rsidRPr="005469E4">
        <w:rPr>
          <w:sz w:val="22"/>
          <w:szCs w:val="22"/>
        </w:rPr>
        <w:t xml:space="preserve"> from forced. The Level 3 doc explicitly flags this: "Late-cycle dovish hikes are a known feature, not dissonance ... distinguish late-cycle dovish hikes (intentional) from mid-cycle dovish hikes (real dissonance, indicating the bank is forced to tighten despite its own reading suggesting easing)."</w:t>
      </w:r>
    </w:p>
    <w:p w14:paraId="58404626" w14:textId="77777777" w:rsidR="005469E4" w:rsidRPr="005469E4" w:rsidRDefault="005469E4" w:rsidP="005469E4">
      <w:pPr>
        <w:rPr>
          <w:sz w:val="22"/>
          <w:szCs w:val="22"/>
        </w:rPr>
      </w:pPr>
      <w:r w:rsidRPr="005469E4">
        <w:rPr>
          <w:sz w:val="22"/>
          <w:szCs w:val="22"/>
        </w:rPr>
        <w:t>Operationally: r_1 firing should be cross-tabulated with cycle position (peak-distance estimated from the L1 reaction function output) before being interpreted as dissonance proper. That's a downstream interpretation rule, not a change to the metric itself.</w:t>
      </w:r>
    </w:p>
    <w:p w14:paraId="34D011FF" w14:textId="77777777" w:rsidR="005469E4" w:rsidRPr="005469E4" w:rsidRDefault="005469E4" w:rsidP="005469E4">
      <w:pPr>
        <w:rPr>
          <w:sz w:val="22"/>
          <w:szCs w:val="22"/>
        </w:rPr>
      </w:pPr>
      <w:r w:rsidRPr="005469E4">
        <w:rPr>
          <w:sz w:val="22"/>
          <w:szCs w:val="22"/>
        </w:rPr>
        <w:pict w14:anchorId="632BD4B1">
          <v:rect id="_x0000_i1045" style="width:0;height:1.5pt" o:hralign="center" o:hrstd="t" o:hr="t" fillcolor="#a0a0a0" stroked="f"/>
        </w:pict>
      </w:r>
    </w:p>
    <w:p w14:paraId="2D4F3695" w14:textId="77777777" w:rsidR="005469E4" w:rsidRPr="005469E4" w:rsidRDefault="005469E4" w:rsidP="005469E4">
      <w:pPr>
        <w:rPr>
          <w:b/>
          <w:bCs/>
          <w:sz w:val="22"/>
          <w:szCs w:val="22"/>
        </w:rPr>
      </w:pPr>
      <w:r w:rsidRPr="005469E4">
        <w:rPr>
          <w:b/>
          <w:bCs/>
          <w:sz w:val="22"/>
          <w:szCs w:val="22"/>
        </w:rPr>
        <w:t>Step 4 — Dissonance function</w:t>
      </w:r>
    </w:p>
    <w:p w14:paraId="52EDCEE4" w14:textId="77777777" w:rsidR="005469E4" w:rsidRPr="005469E4" w:rsidRDefault="005469E4" w:rsidP="005469E4">
      <w:pPr>
        <w:rPr>
          <w:sz w:val="22"/>
          <w:szCs w:val="22"/>
        </w:rPr>
      </w:pPr>
      <w:r w:rsidRPr="005469E4">
        <w:rPr>
          <w:sz w:val="22"/>
          <w:szCs w:val="22"/>
        </w:rPr>
        <w:t>D^{L3a↔L3</w:t>
      </w:r>
      <w:proofErr w:type="gramStart"/>
      <w:r w:rsidRPr="005469E4">
        <w:rPr>
          <w:sz w:val="22"/>
          <w:szCs w:val="22"/>
        </w:rPr>
        <w:t>c}_</w:t>
      </w:r>
      <w:proofErr w:type="gramEnd"/>
      <w:r w:rsidRPr="005469E4">
        <w:rPr>
          <w:sz w:val="22"/>
          <w:szCs w:val="22"/>
        </w:rPr>
        <w:t xml:space="preserve">t = </w:t>
      </w:r>
      <w:r w:rsidRPr="005469E4">
        <w:rPr>
          <w:rFonts w:ascii="Arial" w:hAnsi="Arial" w:cs="Arial"/>
          <w:sz w:val="22"/>
          <w:szCs w:val="22"/>
        </w:rPr>
        <w:t>‖</w:t>
      </w:r>
      <w:r w:rsidRPr="005469E4">
        <w:rPr>
          <w:sz w:val="22"/>
          <w:szCs w:val="22"/>
        </w:rPr>
        <w:t>R^{L3a</w:t>
      </w:r>
      <w:r w:rsidRPr="005469E4">
        <w:rPr>
          <w:rFonts w:ascii="Aptos" w:hAnsi="Aptos" w:cs="Aptos"/>
          <w:sz w:val="22"/>
          <w:szCs w:val="22"/>
        </w:rPr>
        <w:t>↔</w:t>
      </w:r>
      <w:r w:rsidRPr="005469E4">
        <w:rPr>
          <w:sz w:val="22"/>
          <w:szCs w:val="22"/>
        </w:rPr>
        <w:t>L3</w:t>
      </w:r>
      <w:proofErr w:type="gramStart"/>
      <w:r w:rsidRPr="005469E4">
        <w:rPr>
          <w:sz w:val="22"/>
          <w:szCs w:val="22"/>
        </w:rPr>
        <w:t>c}_</w:t>
      </w:r>
      <w:proofErr w:type="gramEnd"/>
      <w:r w:rsidRPr="005469E4">
        <w:rPr>
          <w:sz w:val="22"/>
          <w:szCs w:val="22"/>
        </w:rPr>
        <w:t>t</w:t>
      </w:r>
      <w:r w:rsidRPr="005469E4">
        <w:rPr>
          <w:rFonts w:ascii="Arial" w:hAnsi="Arial" w:cs="Arial"/>
          <w:sz w:val="22"/>
          <w:szCs w:val="22"/>
        </w:rPr>
        <w:t>‖</w:t>
      </w:r>
      <w:r w:rsidRPr="005469E4">
        <w:rPr>
          <w:sz w:val="22"/>
          <w:szCs w:val="22"/>
        </w:rPr>
        <w:t xml:space="preserve"> = </w:t>
      </w:r>
      <w:proofErr w:type="gramStart"/>
      <w:r w:rsidRPr="005469E4">
        <w:rPr>
          <w:rFonts w:ascii="Arial" w:hAnsi="Arial" w:cs="Arial"/>
          <w:sz w:val="22"/>
          <w:szCs w:val="22"/>
        </w:rPr>
        <w:t>‖</w:t>
      </w:r>
      <w:r w:rsidRPr="005469E4">
        <w:rPr>
          <w:sz w:val="22"/>
          <w:szCs w:val="22"/>
        </w:rPr>
        <w:t>(</w:t>
      </w:r>
      <w:proofErr w:type="gramEnd"/>
      <w:r w:rsidRPr="005469E4">
        <w:rPr>
          <w:sz w:val="22"/>
          <w:szCs w:val="22"/>
        </w:rPr>
        <w:t xml:space="preserve">r_1, r_2, r_3) / </w:t>
      </w:r>
      <w:r w:rsidRPr="005469E4">
        <w:rPr>
          <w:rFonts w:ascii="Aptos" w:hAnsi="Aptos" w:cs="Aptos"/>
          <w:sz w:val="22"/>
          <w:szCs w:val="22"/>
        </w:rPr>
        <w:t>σ</w:t>
      </w:r>
      <w:r w:rsidRPr="005469E4">
        <w:rPr>
          <w:rFonts w:ascii="Arial" w:hAnsi="Arial" w:cs="Arial"/>
          <w:sz w:val="22"/>
          <w:szCs w:val="22"/>
        </w:rPr>
        <w:t>‖</w:t>
      </w:r>
    </w:p>
    <w:p w14:paraId="0826D5BA" w14:textId="77777777" w:rsidR="005469E4" w:rsidRPr="005469E4" w:rsidRDefault="005469E4" w:rsidP="005469E4">
      <w:pPr>
        <w:rPr>
          <w:sz w:val="22"/>
          <w:szCs w:val="22"/>
        </w:rPr>
      </w:pPr>
      <w:r w:rsidRPr="005469E4">
        <w:rPr>
          <w:b/>
          <w:bCs/>
          <w:sz w:val="22"/>
          <w:szCs w:val="22"/>
        </w:rPr>
        <w:t>Threshold</w:t>
      </w:r>
      <w:r w:rsidRPr="005469E4">
        <w:rPr>
          <w:sz w:val="22"/>
          <w:szCs w:val="22"/>
        </w:rPr>
        <w:t>: 95th percentile of the χ</w:t>
      </w:r>
      <w:proofErr w:type="gramStart"/>
      <w:r w:rsidRPr="005469E4">
        <w:rPr>
          <w:sz w:val="22"/>
          <w:szCs w:val="22"/>
        </w:rPr>
        <w:t>²(</w:t>
      </w:r>
      <w:proofErr w:type="gramEnd"/>
      <w:r w:rsidRPr="005469E4">
        <w:rPr>
          <w:sz w:val="22"/>
          <w:szCs w:val="22"/>
        </w:rPr>
        <w:t xml:space="preserve">3) distribution → critical norm ≈ 2.79. Robustness across {90%, 95%, </w:t>
      </w:r>
      <w:proofErr w:type="gramStart"/>
      <w:r w:rsidRPr="005469E4">
        <w:rPr>
          <w:sz w:val="22"/>
          <w:szCs w:val="22"/>
        </w:rPr>
        <w:t>99%}</w:t>
      </w:r>
      <w:proofErr w:type="gramEnd"/>
      <w:r w:rsidRPr="005469E4">
        <w:rPr>
          <w:sz w:val="22"/>
          <w:szCs w:val="22"/>
        </w:rPr>
        <w:t>.</w:t>
      </w:r>
    </w:p>
    <w:p w14:paraId="54E1EC54" w14:textId="77777777" w:rsidR="005469E4" w:rsidRPr="005469E4" w:rsidRDefault="005469E4" w:rsidP="005469E4">
      <w:pPr>
        <w:rPr>
          <w:sz w:val="22"/>
          <w:szCs w:val="22"/>
        </w:rPr>
      </w:pPr>
      <w:r w:rsidRPr="005469E4">
        <w:rPr>
          <w:sz w:val="22"/>
          <w:szCs w:val="22"/>
        </w:rPr>
        <w:t>This is the same threshold structure as L3a↔L3b (and the intra-node 3-component metrics). The consistency with the L2-norm-of-three architecture is a feature — it lets the composite aggregation operate on directly comparable scaled metrics across edges.</w:t>
      </w:r>
    </w:p>
    <w:p w14:paraId="7A342F59" w14:textId="77777777" w:rsidR="005469E4" w:rsidRPr="005469E4" w:rsidRDefault="005469E4" w:rsidP="005469E4">
      <w:pPr>
        <w:rPr>
          <w:sz w:val="22"/>
          <w:szCs w:val="22"/>
        </w:rPr>
      </w:pPr>
      <w:r w:rsidRPr="005469E4">
        <w:rPr>
          <w:b/>
          <w:bCs/>
          <w:sz w:val="22"/>
          <w:szCs w:val="22"/>
        </w:rPr>
        <w:t>Auxiliary dimensions carried separately</w:t>
      </w:r>
      <w:r w:rsidRPr="005469E4">
        <w:rPr>
          <w:sz w:val="22"/>
          <w:szCs w:val="22"/>
        </w:rPr>
        <w:t>:</w:t>
      </w:r>
    </w:p>
    <w:p w14:paraId="3F096B8F" w14:textId="77777777" w:rsidR="005469E4" w:rsidRPr="005469E4" w:rsidRDefault="005469E4" w:rsidP="005469E4">
      <w:pPr>
        <w:numPr>
          <w:ilvl w:val="0"/>
          <w:numId w:val="7"/>
        </w:numPr>
        <w:rPr>
          <w:sz w:val="22"/>
          <w:szCs w:val="22"/>
        </w:rPr>
      </w:pPr>
      <w:r w:rsidRPr="005469E4">
        <w:rPr>
          <w:b/>
          <w:bCs/>
          <w:sz w:val="22"/>
          <w:szCs w:val="22"/>
        </w:rPr>
        <w:t>Component decomposition</w:t>
      </w:r>
      <w:r w:rsidRPr="005469E4">
        <w:rPr>
          <w:sz w:val="22"/>
          <w:szCs w:val="22"/>
        </w:rPr>
        <w:t xml:space="preserve">: which of r_1, r_2, r_3 is driving the metric. The Level 3 doc's mapping: </w:t>
      </w:r>
    </w:p>
    <w:p w14:paraId="67701B19" w14:textId="77777777" w:rsidR="005469E4" w:rsidRPr="005469E4" w:rsidRDefault="005469E4" w:rsidP="005469E4">
      <w:pPr>
        <w:numPr>
          <w:ilvl w:val="1"/>
          <w:numId w:val="7"/>
        </w:numPr>
        <w:rPr>
          <w:sz w:val="22"/>
          <w:szCs w:val="22"/>
        </w:rPr>
      </w:pPr>
      <w:r w:rsidRPr="005469E4">
        <w:rPr>
          <w:sz w:val="22"/>
          <w:szCs w:val="22"/>
        </w:rPr>
        <w:t>r_1 firing → directional contradiction at the meeting (dovish-hike / hawkish-cut). Late-</w:t>
      </w:r>
      <w:proofErr w:type="gramStart"/>
      <w:r w:rsidRPr="005469E4">
        <w:rPr>
          <w:sz w:val="22"/>
          <w:szCs w:val="22"/>
        </w:rPr>
        <w:t>cycle</w:t>
      </w:r>
      <w:proofErr w:type="gramEnd"/>
      <w:r w:rsidRPr="005469E4">
        <w:rPr>
          <w:sz w:val="22"/>
          <w:szCs w:val="22"/>
        </w:rPr>
        <w:t xml:space="preserve"> often deliberate.</w:t>
      </w:r>
    </w:p>
    <w:p w14:paraId="52CC793B" w14:textId="77777777" w:rsidR="005469E4" w:rsidRPr="005469E4" w:rsidRDefault="005469E4" w:rsidP="005469E4">
      <w:pPr>
        <w:numPr>
          <w:ilvl w:val="1"/>
          <w:numId w:val="7"/>
        </w:numPr>
        <w:rPr>
          <w:sz w:val="22"/>
          <w:szCs w:val="22"/>
        </w:rPr>
      </w:pPr>
      <w:r w:rsidRPr="005469E4">
        <w:rPr>
          <w:sz w:val="22"/>
          <w:szCs w:val="22"/>
        </w:rPr>
        <w:t xml:space="preserve">r_2 firing → magnitude disproportion. Rate moving with no path </w:t>
      </w:r>
      <w:proofErr w:type="gramStart"/>
      <w:r w:rsidRPr="005469E4">
        <w:rPr>
          <w:sz w:val="22"/>
          <w:szCs w:val="22"/>
        </w:rPr>
        <w:t>implication, or</w:t>
      </w:r>
      <w:proofErr w:type="gramEnd"/>
      <w:r w:rsidRPr="005469E4">
        <w:rPr>
          <w:sz w:val="22"/>
          <w:szCs w:val="22"/>
        </w:rPr>
        <w:t xml:space="preserve"> path shifting with no rate move.</w:t>
      </w:r>
    </w:p>
    <w:p w14:paraId="09539C89" w14:textId="77777777" w:rsidR="005469E4" w:rsidRPr="005469E4" w:rsidRDefault="005469E4" w:rsidP="005469E4">
      <w:pPr>
        <w:numPr>
          <w:ilvl w:val="1"/>
          <w:numId w:val="7"/>
        </w:numPr>
        <w:rPr>
          <w:sz w:val="22"/>
          <w:szCs w:val="22"/>
        </w:rPr>
      </w:pPr>
      <w:r w:rsidRPr="005469E4">
        <w:rPr>
          <w:sz w:val="22"/>
          <w:szCs w:val="22"/>
        </w:rPr>
        <w:t xml:space="preserve">r_3 firing → prior-guidance violation. The strongest credibility signal. </w:t>
      </w:r>
      <w:r w:rsidRPr="005469E4">
        <w:rPr>
          <w:i/>
          <w:iCs/>
          <w:sz w:val="22"/>
          <w:szCs w:val="22"/>
        </w:rPr>
        <w:t>Massive r_3 fires on first-hike events after extended commitment-guidance regimes are the canonical credibility-break pattern.</w:t>
      </w:r>
    </w:p>
    <w:p w14:paraId="67A8EDE9" w14:textId="77777777" w:rsidR="005469E4" w:rsidRPr="005469E4" w:rsidRDefault="005469E4" w:rsidP="005469E4">
      <w:pPr>
        <w:numPr>
          <w:ilvl w:val="0"/>
          <w:numId w:val="7"/>
        </w:numPr>
        <w:rPr>
          <w:sz w:val="22"/>
          <w:szCs w:val="22"/>
        </w:rPr>
      </w:pPr>
      <w:r w:rsidRPr="005469E4">
        <w:rPr>
          <w:b/>
          <w:bCs/>
          <w:sz w:val="22"/>
          <w:szCs w:val="22"/>
        </w:rPr>
        <w:lastRenderedPageBreak/>
        <w:t>Dovish-hike / hawkish-cut signature</w:t>
      </w:r>
      <w:r w:rsidRPr="005469E4">
        <w:rPr>
          <w:sz w:val="22"/>
          <w:szCs w:val="22"/>
        </w:rPr>
        <w:t xml:space="preserve"> — binary flag combining r_1 firing with a directional combination (hawkish rate + dovish guidance, or reverse). Carried separately because interpretation depends on cycle position.</w:t>
      </w:r>
    </w:p>
    <w:p w14:paraId="56BC020C" w14:textId="77777777" w:rsidR="005469E4" w:rsidRPr="005469E4" w:rsidRDefault="005469E4" w:rsidP="005469E4">
      <w:pPr>
        <w:numPr>
          <w:ilvl w:val="0"/>
          <w:numId w:val="7"/>
        </w:numPr>
        <w:rPr>
          <w:sz w:val="22"/>
          <w:szCs w:val="22"/>
        </w:rPr>
      </w:pPr>
      <w:r w:rsidRPr="005469E4">
        <w:rPr>
          <w:b/>
          <w:bCs/>
          <w:sz w:val="22"/>
          <w:szCs w:val="22"/>
        </w:rPr>
        <w:t>Pivot event flag</w:t>
      </w:r>
      <w:r w:rsidRPr="005469E4">
        <w:rPr>
          <w:sz w:val="22"/>
          <w:szCs w:val="22"/>
        </w:rPr>
        <w:t xml:space="preserve"> — large simultaneous </w:t>
      </w:r>
      <w:proofErr w:type="spellStart"/>
      <w:r w:rsidRPr="005469E4">
        <w:rPr>
          <w:sz w:val="22"/>
          <w:szCs w:val="22"/>
        </w:rPr>
        <w:t>Δi</w:t>
      </w:r>
      <w:proofErr w:type="spellEnd"/>
      <w:r w:rsidRPr="005469E4">
        <w:rPr>
          <w:sz w:val="22"/>
          <w:szCs w:val="22"/>
        </w:rPr>
        <w:t xml:space="preserve"> and </w:t>
      </w:r>
      <w:proofErr w:type="spellStart"/>
      <w:r w:rsidRPr="005469E4">
        <w:rPr>
          <w:sz w:val="22"/>
          <w:szCs w:val="22"/>
        </w:rPr>
        <w:t>Δguidance</w:t>
      </w:r>
      <w:proofErr w:type="spellEnd"/>
      <w:r w:rsidRPr="005469E4">
        <w:rPr>
          <w:sz w:val="22"/>
          <w:szCs w:val="22"/>
        </w:rPr>
        <w:t xml:space="preserve"> in the same direction, breaking with prior guidance trajectory. Distinguished from routine action by magnitude. December 2018 Powell pivot and 2022 Fed inflation pivot are the framework's two DM validation cases.</w:t>
      </w:r>
    </w:p>
    <w:p w14:paraId="05A7709D" w14:textId="77777777" w:rsidR="005469E4" w:rsidRPr="005469E4" w:rsidRDefault="005469E4" w:rsidP="005469E4">
      <w:pPr>
        <w:numPr>
          <w:ilvl w:val="0"/>
          <w:numId w:val="7"/>
        </w:numPr>
        <w:rPr>
          <w:sz w:val="22"/>
          <w:szCs w:val="22"/>
        </w:rPr>
      </w:pPr>
      <w:r w:rsidRPr="005469E4">
        <w:rPr>
          <w:b/>
          <w:bCs/>
          <w:sz w:val="22"/>
          <w:szCs w:val="22"/>
        </w:rPr>
        <w:t>Prior-guidance violation magnitude</w:t>
      </w:r>
      <w:r w:rsidRPr="005469E4">
        <w:rPr>
          <w:sz w:val="22"/>
          <w:szCs w:val="22"/>
        </w:rPr>
        <w:t xml:space="preserve"> — for r_3, the size of the deviation relative to a normal-meeting move. Multiple-σ violations are credibility events; small violations are noise.</w:t>
      </w:r>
    </w:p>
    <w:p w14:paraId="0397D9E1" w14:textId="77777777" w:rsidR="005469E4" w:rsidRPr="005469E4" w:rsidRDefault="005469E4" w:rsidP="005469E4">
      <w:pPr>
        <w:numPr>
          <w:ilvl w:val="0"/>
          <w:numId w:val="7"/>
        </w:numPr>
        <w:rPr>
          <w:sz w:val="22"/>
          <w:szCs w:val="22"/>
        </w:rPr>
      </w:pPr>
      <w:r w:rsidRPr="005469E4">
        <w:rPr>
          <w:b/>
          <w:bCs/>
          <w:sz w:val="22"/>
          <w:szCs w:val="22"/>
        </w:rPr>
        <w:t>Bauer-Swanson surprise decomposition</w:t>
      </w:r>
      <w:r w:rsidRPr="005469E4">
        <w:rPr>
          <w:sz w:val="22"/>
          <w:szCs w:val="22"/>
        </w:rPr>
        <w:t xml:space="preserve"> — where available (limited for SARB). Whether the dissonance is in expected components (already priced) or in the surprise (unanticipated). Surprise dissonance has larger asset-price consequences. For SA, this auxiliary is likely null or low-confidence given thin OIS — flag explicitly.</w:t>
      </w:r>
    </w:p>
    <w:p w14:paraId="738E51F8" w14:textId="77777777" w:rsidR="005469E4" w:rsidRPr="005469E4" w:rsidRDefault="005469E4" w:rsidP="005469E4">
      <w:pPr>
        <w:rPr>
          <w:sz w:val="22"/>
          <w:szCs w:val="22"/>
        </w:rPr>
      </w:pPr>
      <w:r w:rsidRPr="005469E4">
        <w:rPr>
          <w:b/>
          <w:bCs/>
          <w:sz w:val="22"/>
          <w:szCs w:val="22"/>
        </w:rPr>
        <w:t>SA-specific test cases pre-registered in the Level 3 doc</w:t>
      </w:r>
      <w:r w:rsidRPr="005469E4">
        <w:rPr>
          <w:sz w:val="22"/>
          <w:szCs w:val="22"/>
        </w:rPr>
        <w:t>:</w:t>
      </w:r>
    </w:p>
    <w:p w14:paraId="35EB9101" w14:textId="77777777" w:rsidR="005469E4" w:rsidRPr="005469E4" w:rsidRDefault="005469E4" w:rsidP="005469E4">
      <w:pPr>
        <w:numPr>
          <w:ilvl w:val="0"/>
          <w:numId w:val="8"/>
        </w:numPr>
        <w:rPr>
          <w:sz w:val="22"/>
          <w:szCs w:val="22"/>
        </w:rPr>
      </w:pPr>
      <w:r w:rsidRPr="005469E4">
        <w:rPr>
          <w:i/>
          <w:iCs/>
          <w:sz w:val="22"/>
          <w:szCs w:val="22"/>
        </w:rPr>
        <w:t>Expected pattern</w:t>
      </w:r>
      <w:r w:rsidRPr="005469E4">
        <w:rPr>
          <w:sz w:val="22"/>
          <w:szCs w:val="22"/>
        </w:rPr>
        <w:t>: r_3 fires seldom — Kganyago's MPC has historically been consistent on direction even when magnitudes shifted. The Mboweni-era earlier in the sample is less clean.</w:t>
      </w:r>
    </w:p>
    <w:p w14:paraId="29269B39" w14:textId="77777777" w:rsidR="005469E4" w:rsidRPr="005469E4" w:rsidRDefault="005469E4" w:rsidP="005469E4">
      <w:pPr>
        <w:numPr>
          <w:ilvl w:val="0"/>
          <w:numId w:val="8"/>
        </w:numPr>
        <w:rPr>
          <w:sz w:val="22"/>
          <w:szCs w:val="22"/>
        </w:rPr>
      </w:pPr>
      <w:r w:rsidRPr="005469E4">
        <w:rPr>
          <w:i/>
          <w:iCs/>
          <w:sz w:val="22"/>
          <w:szCs w:val="22"/>
        </w:rPr>
        <w:t>r_1 candidates</w:t>
      </w:r>
      <w:r w:rsidRPr="005469E4">
        <w:rPr>
          <w:sz w:val="22"/>
          <w:szCs w:val="22"/>
        </w:rPr>
        <w:t>: around 2018 and 2020 — the dovish-hike-then-cut sequence around rand stress and COVID is in the data.</w:t>
      </w:r>
    </w:p>
    <w:p w14:paraId="491D949A" w14:textId="77777777" w:rsidR="005469E4" w:rsidRPr="005469E4" w:rsidRDefault="005469E4" w:rsidP="005469E4">
      <w:pPr>
        <w:numPr>
          <w:ilvl w:val="0"/>
          <w:numId w:val="8"/>
        </w:numPr>
        <w:rPr>
          <w:sz w:val="22"/>
          <w:szCs w:val="22"/>
        </w:rPr>
      </w:pPr>
      <w:r w:rsidRPr="005469E4">
        <w:rPr>
          <w:i/>
          <w:iCs/>
          <w:sz w:val="22"/>
          <w:szCs w:val="22"/>
        </w:rPr>
        <w:t>r_2 candidates</w:t>
      </w:r>
      <w:r w:rsidRPr="005469E4">
        <w:rPr>
          <w:sz w:val="22"/>
          <w:szCs w:val="22"/>
        </w:rPr>
        <w:t xml:space="preserve">: meetings where MPC statements </w:t>
      </w:r>
      <w:proofErr w:type="spellStart"/>
      <w:r w:rsidRPr="005469E4">
        <w:rPr>
          <w:sz w:val="22"/>
          <w:szCs w:val="22"/>
        </w:rPr>
        <w:t>emphasise</w:t>
      </w:r>
      <w:proofErr w:type="spellEnd"/>
      <w:r w:rsidRPr="005469E4">
        <w:rPr>
          <w:sz w:val="22"/>
          <w:szCs w:val="22"/>
        </w:rPr>
        <w:t xml:space="preserve"> data-dependence without a magnitude expectation. Probably common.</w:t>
      </w:r>
    </w:p>
    <w:p w14:paraId="0EDAA8F2" w14:textId="77777777" w:rsidR="005469E4" w:rsidRPr="005469E4" w:rsidRDefault="005469E4" w:rsidP="005469E4">
      <w:pPr>
        <w:numPr>
          <w:ilvl w:val="0"/>
          <w:numId w:val="8"/>
        </w:numPr>
        <w:rPr>
          <w:sz w:val="22"/>
          <w:szCs w:val="22"/>
        </w:rPr>
      </w:pPr>
      <w:r w:rsidRPr="005469E4">
        <w:rPr>
          <w:i/>
          <w:iCs/>
          <w:sz w:val="22"/>
          <w:szCs w:val="22"/>
        </w:rPr>
        <w:t>Clean validation case for SA</w:t>
      </w:r>
      <w:r w:rsidRPr="005469E4">
        <w:rPr>
          <w:sz w:val="22"/>
          <w:szCs w:val="22"/>
        </w:rPr>
        <w:t>: the March 2020 emergency cut sequence — large rate moves with rapidly shifting guidance. If the metric recovers the COVID communication arc cleanly, it's doing real work.</w:t>
      </w:r>
    </w:p>
    <w:p w14:paraId="440E9480" w14:textId="77777777" w:rsidR="005469E4" w:rsidRDefault="005469E4" w:rsidP="005469E4">
      <w:pPr>
        <w:rPr>
          <w:sz w:val="22"/>
          <w:szCs w:val="22"/>
        </w:rPr>
      </w:pPr>
    </w:p>
    <w:p w14:paraId="7FA896C4" w14:textId="77777777" w:rsidR="005469E4" w:rsidRDefault="005469E4" w:rsidP="005469E4">
      <w:pPr>
        <w:rPr>
          <w:sz w:val="22"/>
          <w:szCs w:val="22"/>
        </w:rPr>
      </w:pPr>
    </w:p>
    <w:p w14:paraId="61A23A7D" w14:textId="77777777" w:rsidR="005469E4" w:rsidRDefault="005469E4" w:rsidP="005469E4">
      <w:pPr>
        <w:rPr>
          <w:sz w:val="22"/>
          <w:szCs w:val="22"/>
        </w:rPr>
      </w:pPr>
    </w:p>
    <w:p w14:paraId="58C54C16" w14:textId="77777777" w:rsidR="005469E4" w:rsidRDefault="005469E4" w:rsidP="005469E4">
      <w:pPr>
        <w:rPr>
          <w:sz w:val="22"/>
          <w:szCs w:val="22"/>
        </w:rPr>
      </w:pPr>
    </w:p>
    <w:p w14:paraId="69AEAA75" w14:textId="77777777" w:rsidR="005469E4" w:rsidRDefault="005469E4" w:rsidP="005469E4">
      <w:pPr>
        <w:rPr>
          <w:sz w:val="22"/>
          <w:szCs w:val="22"/>
        </w:rPr>
      </w:pPr>
    </w:p>
    <w:p w14:paraId="3DF5B761" w14:textId="77777777" w:rsidR="005469E4" w:rsidRDefault="005469E4" w:rsidP="005469E4">
      <w:pPr>
        <w:rPr>
          <w:sz w:val="22"/>
          <w:szCs w:val="22"/>
        </w:rPr>
      </w:pPr>
    </w:p>
    <w:p w14:paraId="1AE200C5" w14:textId="77777777" w:rsidR="005469E4" w:rsidRDefault="005469E4" w:rsidP="005469E4">
      <w:pPr>
        <w:rPr>
          <w:sz w:val="22"/>
          <w:szCs w:val="22"/>
        </w:rPr>
      </w:pPr>
    </w:p>
    <w:p w14:paraId="342D6295" w14:textId="77777777" w:rsidR="005469E4" w:rsidRDefault="005469E4" w:rsidP="005469E4">
      <w:pPr>
        <w:rPr>
          <w:sz w:val="22"/>
          <w:szCs w:val="22"/>
        </w:rPr>
      </w:pPr>
    </w:p>
    <w:p w14:paraId="446460A1" w14:textId="77777777" w:rsidR="005469E4" w:rsidRDefault="005469E4" w:rsidP="005469E4">
      <w:pPr>
        <w:rPr>
          <w:sz w:val="22"/>
          <w:szCs w:val="22"/>
        </w:rPr>
      </w:pPr>
    </w:p>
    <w:p w14:paraId="650B3AE3" w14:textId="29B951E7" w:rsidR="005469E4" w:rsidRPr="005469E4" w:rsidRDefault="005469E4" w:rsidP="005469E4">
      <w:pPr>
        <w:jc w:val="center"/>
        <w:rPr>
          <w:b/>
          <w:bCs/>
        </w:rPr>
      </w:pPr>
      <w:r w:rsidRPr="005469E4">
        <w:rPr>
          <w:b/>
          <w:bCs/>
        </w:rPr>
        <w:lastRenderedPageBreak/>
        <w:t>Commercial Application</w:t>
      </w:r>
    </w:p>
    <w:p w14:paraId="08C93031" w14:textId="77777777" w:rsidR="005469E4" w:rsidRPr="005469E4" w:rsidRDefault="005469E4" w:rsidP="005469E4">
      <w:pPr>
        <w:rPr>
          <w:sz w:val="22"/>
          <w:szCs w:val="22"/>
        </w:rPr>
      </w:pPr>
      <w:r w:rsidRPr="005469E4">
        <w:rPr>
          <w:sz w:val="22"/>
          <w:szCs w:val="22"/>
        </w:rPr>
        <w:t>Three places where the systematic-plus-discretionary investment-analyst lens applies:</w:t>
      </w:r>
    </w:p>
    <w:p w14:paraId="294A700A" w14:textId="77777777" w:rsidR="005469E4" w:rsidRPr="005469E4" w:rsidRDefault="005469E4" w:rsidP="005469E4">
      <w:pPr>
        <w:rPr>
          <w:sz w:val="22"/>
          <w:szCs w:val="22"/>
        </w:rPr>
      </w:pPr>
      <w:r w:rsidRPr="005469E4">
        <w:rPr>
          <w:b/>
          <w:bCs/>
          <w:sz w:val="22"/>
          <w:szCs w:val="22"/>
        </w:rPr>
        <w:t>1. Asset-class incidence is direction-conditional and component-conditional.</w:t>
      </w:r>
      <w:r w:rsidRPr="005469E4">
        <w:rPr>
          <w:sz w:val="22"/>
          <w:szCs w:val="22"/>
        </w:rPr>
        <w:t xml:space="preserve"> A dovish-hike pattern (r_1 firing, hawkish rate + dovish guidance) is constructive for the belly of the curve (2y–5y) — the </w:t>
      </w:r>
      <w:proofErr w:type="gramStart"/>
      <w:r w:rsidRPr="005469E4">
        <w:rPr>
          <w:sz w:val="22"/>
          <w:szCs w:val="22"/>
        </w:rPr>
        <w:t>front end</w:t>
      </w:r>
      <w:proofErr w:type="gramEnd"/>
      <w:r w:rsidRPr="005469E4">
        <w:rPr>
          <w:sz w:val="22"/>
          <w:szCs w:val="22"/>
        </w:rPr>
        <w:t xml:space="preserve"> re-prices to the hike, but the belly responds to guidance about the path. Hawkish cuts (r_1, dovish rate + hawkish guidance — rarer, typically forced) are belly-bearish: forced easing combined with </w:t>
      </w:r>
      <w:proofErr w:type="spellStart"/>
      <w:r w:rsidRPr="005469E4">
        <w:rPr>
          <w:sz w:val="22"/>
          <w:szCs w:val="22"/>
        </w:rPr>
        <w:t>signalling</w:t>
      </w:r>
      <w:proofErr w:type="spellEnd"/>
      <w:r w:rsidRPr="005469E4">
        <w:rPr>
          <w:sz w:val="22"/>
          <w:szCs w:val="22"/>
        </w:rPr>
        <w:t xml:space="preserve"> that more easing isn't coming. r_3 firing (prior-guidance violation) is the term-premium event — credibility break lifts term premium, </w:t>
      </w:r>
      <w:proofErr w:type="gramStart"/>
      <w:r w:rsidRPr="005469E4">
        <w:rPr>
          <w:sz w:val="22"/>
          <w:szCs w:val="22"/>
        </w:rPr>
        <w:t>hits long duration disproportionately</w:t>
      </w:r>
      <w:proofErr w:type="gramEnd"/>
      <w:r w:rsidRPr="005469E4">
        <w:rPr>
          <w:sz w:val="22"/>
          <w:szCs w:val="22"/>
        </w:rPr>
        <w:t>. The decomposition is more useful than the composite D, and that's where the auxiliary dimensions matter.</w:t>
      </w:r>
    </w:p>
    <w:p w14:paraId="27B8F7DE" w14:textId="77777777" w:rsidR="005469E4" w:rsidRPr="005469E4" w:rsidRDefault="005469E4" w:rsidP="005469E4">
      <w:pPr>
        <w:rPr>
          <w:sz w:val="22"/>
          <w:szCs w:val="22"/>
        </w:rPr>
      </w:pPr>
      <w:r w:rsidRPr="005469E4">
        <w:rPr>
          <w:b/>
          <w:bCs/>
          <w:sz w:val="22"/>
          <w:szCs w:val="22"/>
        </w:rPr>
        <w:t xml:space="preserve">2. Cross-edge correlation with L1↔L3a is informative about the </w:t>
      </w:r>
      <w:r w:rsidRPr="005469E4">
        <w:rPr>
          <w:b/>
          <w:bCs/>
          <w:i/>
          <w:iCs/>
          <w:sz w:val="22"/>
          <w:szCs w:val="22"/>
        </w:rPr>
        <w:t>type</w:t>
      </w:r>
      <w:r w:rsidRPr="005469E4">
        <w:rPr>
          <w:b/>
          <w:bCs/>
          <w:sz w:val="22"/>
          <w:szCs w:val="22"/>
        </w:rPr>
        <w:t xml:space="preserve"> of deviation.</w:t>
      </w:r>
      <w:r w:rsidRPr="005469E4">
        <w:rPr>
          <w:sz w:val="22"/>
          <w:szCs w:val="22"/>
        </w:rPr>
        <w:t xml:space="preserve"> Joint-fire (L1↔L3a + L3a↔L3c r_3) is rule-deviation that the bank also broke prior commitments to deliver — the maximum-credibility-cost combination. L1↔L3a fires + L3a↔L3c silent is on-message deviation — the bank told you it was deviating, which is informationally different (Delphic deviation rather than credibility breach). L1↔L3a silent + L3a↔L3c r_3 fires is on-rule but off-prior-message — typically reflects a guidance regime that was mis-specified at t−1, not that the bank is misbehaving at t.</w:t>
      </w:r>
    </w:p>
    <w:p w14:paraId="7E09B704" w14:textId="77777777" w:rsidR="005469E4" w:rsidRPr="005469E4" w:rsidRDefault="005469E4" w:rsidP="005469E4">
      <w:pPr>
        <w:rPr>
          <w:sz w:val="22"/>
          <w:szCs w:val="22"/>
        </w:rPr>
      </w:pPr>
      <w:r w:rsidRPr="005469E4">
        <w:rPr>
          <w:b/>
          <w:bCs/>
          <w:sz w:val="22"/>
          <w:szCs w:val="22"/>
        </w:rPr>
        <w:t xml:space="preserve">3. SA-specific: SARB's prior-guidance </w:t>
      </w:r>
      <w:proofErr w:type="spellStart"/>
      <w:r w:rsidRPr="005469E4">
        <w:rPr>
          <w:b/>
          <w:bCs/>
          <w:sz w:val="22"/>
          <w:szCs w:val="22"/>
        </w:rPr>
        <w:t>honour</w:t>
      </w:r>
      <w:proofErr w:type="spellEnd"/>
      <w:r w:rsidRPr="005469E4">
        <w:rPr>
          <w:b/>
          <w:bCs/>
          <w:sz w:val="22"/>
          <w:szCs w:val="22"/>
        </w:rPr>
        <w:t xml:space="preserve"> rate is a key input to the credibility module.</w:t>
      </w:r>
      <w:r w:rsidRPr="005469E4">
        <w:rPr>
          <w:sz w:val="22"/>
          <w:szCs w:val="22"/>
        </w:rPr>
        <w:t xml:space="preserve"> The doc notes Kganyago's MPC has been historically consistent. That means r_3 firing in SA is a high-signal-to-noise event when it does occur, even if rare. The composite SA dissonance score should </w:t>
      </w:r>
      <w:proofErr w:type="gramStart"/>
      <w:r w:rsidRPr="005469E4">
        <w:rPr>
          <w:sz w:val="22"/>
          <w:szCs w:val="22"/>
        </w:rPr>
        <w:t>weight</w:t>
      </w:r>
      <w:proofErr w:type="gramEnd"/>
      <w:r w:rsidRPr="005469E4">
        <w:rPr>
          <w:sz w:val="22"/>
          <w:szCs w:val="22"/>
        </w:rPr>
        <w:t xml:space="preserve"> r_3 more heavily for SARB than the equivalent component would be weighted in a low-</w:t>
      </w:r>
      <w:proofErr w:type="spellStart"/>
      <w:r w:rsidRPr="005469E4">
        <w:rPr>
          <w:sz w:val="22"/>
          <w:szCs w:val="22"/>
        </w:rPr>
        <w:t>honour</w:t>
      </w:r>
      <w:proofErr w:type="spellEnd"/>
      <w:r w:rsidRPr="005469E4">
        <w:rPr>
          <w:sz w:val="22"/>
          <w:szCs w:val="22"/>
        </w:rPr>
        <w:t>-rate bank like TCMB post-2018. This is exactly the kind of country-specific weight calibration the framework is built to surface.</w:t>
      </w:r>
    </w:p>
    <w:p w14:paraId="5B69F04F" w14:textId="77777777" w:rsidR="005469E4" w:rsidRDefault="005469E4" w:rsidP="005469E4">
      <w:pPr>
        <w:rPr>
          <w:sz w:val="22"/>
          <w:szCs w:val="22"/>
        </w:rPr>
      </w:pPr>
    </w:p>
    <w:p w14:paraId="543027F6" w14:textId="77777777" w:rsidR="005469E4" w:rsidRPr="005469E4" w:rsidRDefault="005469E4" w:rsidP="005469E4">
      <w:pPr>
        <w:rPr>
          <w:sz w:val="22"/>
          <w:szCs w:val="22"/>
        </w:rPr>
      </w:pPr>
    </w:p>
    <w:sectPr w:rsidR="005469E4" w:rsidRPr="00546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7856"/>
    <w:multiLevelType w:val="multilevel"/>
    <w:tmpl w:val="81C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52630"/>
    <w:multiLevelType w:val="multilevel"/>
    <w:tmpl w:val="7F7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D4041"/>
    <w:multiLevelType w:val="multilevel"/>
    <w:tmpl w:val="8C5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B56D5"/>
    <w:multiLevelType w:val="multilevel"/>
    <w:tmpl w:val="F9DE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B4D28"/>
    <w:multiLevelType w:val="multilevel"/>
    <w:tmpl w:val="8940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C29E1"/>
    <w:multiLevelType w:val="multilevel"/>
    <w:tmpl w:val="C548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47F66"/>
    <w:multiLevelType w:val="multilevel"/>
    <w:tmpl w:val="95F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E1323"/>
    <w:multiLevelType w:val="multilevel"/>
    <w:tmpl w:val="8D36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130808">
    <w:abstractNumId w:val="5"/>
  </w:num>
  <w:num w:numId="2" w16cid:durableId="1802532652">
    <w:abstractNumId w:val="1"/>
  </w:num>
  <w:num w:numId="3" w16cid:durableId="1141270221">
    <w:abstractNumId w:val="3"/>
  </w:num>
  <w:num w:numId="4" w16cid:durableId="324020831">
    <w:abstractNumId w:val="0"/>
  </w:num>
  <w:num w:numId="5" w16cid:durableId="1495294480">
    <w:abstractNumId w:val="2"/>
  </w:num>
  <w:num w:numId="6" w16cid:durableId="252865285">
    <w:abstractNumId w:val="4"/>
  </w:num>
  <w:num w:numId="7" w16cid:durableId="578905614">
    <w:abstractNumId w:val="7"/>
  </w:num>
  <w:num w:numId="8" w16cid:durableId="15188907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68"/>
    <w:rsid w:val="003B1C21"/>
    <w:rsid w:val="004B4A76"/>
    <w:rsid w:val="005469E4"/>
    <w:rsid w:val="00553F68"/>
    <w:rsid w:val="008D2B38"/>
    <w:rsid w:val="00A30EB5"/>
    <w:rsid w:val="00D8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BE51"/>
  <w15:chartTrackingRefBased/>
  <w15:docId w15:val="{5B265777-7F3A-4BEE-B449-6796FAB0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F68"/>
    <w:rPr>
      <w:rFonts w:eastAsiaTheme="majorEastAsia" w:cstheme="majorBidi"/>
      <w:color w:val="272727" w:themeColor="text1" w:themeTint="D8"/>
    </w:rPr>
  </w:style>
  <w:style w:type="paragraph" w:styleId="Title">
    <w:name w:val="Title"/>
    <w:basedOn w:val="Normal"/>
    <w:next w:val="Normal"/>
    <w:link w:val="TitleChar"/>
    <w:uiPriority w:val="10"/>
    <w:qFormat/>
    <w:rsid w:val="00553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F68"/>
    <w:pPr>
      <w:spacing w:before="160"/>
      <w:jc w:val="center"/>
    </w:pPr>
    <w:rPr>
      <w:i/>
      <w:iCs/>
      <w:color w:val="404040" w:themeColor="text1" w:themeTint="BF"/>
    </w:rPr>
  </w:style>
  <w:style w:type="character" w:customStyle="1" w:styleId="QuoteChar">
    <w:name w:val="Quote Char"/>
    <w:basedOn w:val="DefaultParagraphFont"/>
    <w:link w:val="Quote"/>
    <w:uiPriority w:val="29"/>
    <w:rsid w:val="00553F68"/>
    <w:rPr>
      <w:i/>
      <w:iCs/>
      <w:color w:val="404040" w:themeColor="text1" w:themeTint="BF"/>
    </w:rPr>
  </w:style>
  <w:style w:type="paragraph" w:styleId="ListParagraph">
    <w:name w:val="List Paragraph"/>
    <w:basedOn w:val="Normal"/>
    <w:uiPriority w:val="34"/>
    <w:qFormat/>
    <w:rsid w:val="00553F68"/>
    <w:pPr>
      <w:ind w:left="720"/>
      <w:contextualSpacing/>
    </w:pPr>
  </w:style>
  <w:style w:type="character" w:styleId="IntenseEmphasis">
    <w:name w:val="Intense Emphasis"/>
    <w:basedOn w:val="DefaultParagraphFont"/>
    <w:uiPriority w:val="21"/>
    <w:qFormat/>
    <w:rsid w:val="00553F68"/>
    <w:rPr>
      <w:i/>
      <w:iCs/>
      <w:color w:val="0F4761" w:themeColor="accent1" w:themeShade="BF"/>
    </w:rPr>
  </w:style>
  <w:style w:type="paragraph" w:styleId="IntenseQuote">
    <w:name w:val="Intense Quote"/>
    <w:basedOn w:val="Normal"/>
    <w:next w:val="Normal"/>
    <w:link w:val="IntenseQuoteChar"/>
    <w:uiPriority w:val="30"/>
    <w:qFormat/>
    <w:rsid w:val="00553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F68"/>
    <w:rPr>
      <w:i/>
      <w:iCs/>
      <w:color w:val="0F4761" w:themeColor="accent1" w:themeShade="BF"/>
    </w:rPr>
  </w:style>
  <w:style w:type="character" w:styleId="IntenseReference">
    <w:name w:val="Intense Reference"/>
    <w:basedOn w:val="DefaultParagraphFont"/>
    <w:uiPriority w:val="32"/>
    <w:qFormat/>
    <w:rsid w:val="00553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2156</Words>
  <Characters>12662</Characters>
  <Application>Microsoft Office Word</Application>
  <DocSecurity>0</DocSecurity>
  <Lines>197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2026-05-16T13:49:00Z</dcterms:created>
  <dcterms:modified xsi:type="dcterms:W3CDTF">2026-05-16T14:07:00Z</dcterms:modified>
</cp:coreProperties>
</file>