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8647" w14:textId="77777777" w:rsidR="00C73C77" w:rsidRPr="0032251D" w:rsidRDefault="00C73C77" w:rsidP="00C73C77">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9 — Asset Prices</w:t>
      </w:r>
    </w:p>
    <w:p w14:paraId="14152305"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L9 is the terminal observable node of the framework — the integrated cross-asset universe where every upstream dynamic </w:t>
      </w:r>
      <w:proofErr w:type="gramStart"/>
      <w:r w:rsidRPr="0032251D">
        <w:rPr>
          <w:rFonts w:ascii="Aptos" w:eastAsia="Times New Roman" w:hAnsi="Aptos" w:cs="Times New Roman"/>
          <w:kern w:val="0"/>
          <w:sz w:val="22"/>
          <w:szCs w:val="22"/>
          <w:lang w:eastAsia="en-GB"/>
          <w14:ligatures w14:val="none"/>
        </w:rPr>
        <w:t>registers</w:t>
      </w:r>
      <w:proofErr w:type="gramEnd"/>
      <w:r w:rsidRPr="0032251D">
        <w:rPr>
          <w:rFonts w:ascii="Aptos" w:eastAsia="Times New Roman" w:hAnsi="Aptos" w:cs="Times New Roman"/>
          <w:kern w:val="0"/>
          <w:sz w:val="22"/>
          <w:szCs w:val="22"/>
          <w:lang w:eastAsia="en-GB"/>
          <w14:ligatures w14:val="none"/>
        </w:rPr>
        <w:t xml:space="preserve"> as a tradeable price. The investable universe spans equities (broad indices, sectors, factors, single stocks), credit (investment grade, high yield, EM hard currency, EM local), government bonds (cross-country, full curve), currencies (full cross-rate matrix), commodities (energy, metals, agriculture, soft), real estate (REITs, direct), and alternative assets (private credit, infrastructure, private equity). L9 is conceptually distinct from L4 — where L4 captures specific markets </w:t>
      </w:r>
      <w:r w:rsidRPr="0032251D">
        <w:rPr>
          <w:rFonts w:ascii="Aptos" w:eastAsia="Times New Roman" w:hAnsi="Aptos" w:cs="Times New Roman"/>
          <w:i/>
          <w:iCs/>
          <w:kern w:val="0"/>
          <w:sz w:val="22"/>
          <w:szCs w:val="22"/>
          <w:lang w:eastAsia="en-GB"/>
          <w14:ligatures w14:val="none"/>
        </w:rPr>
        <w:t>as monetary transmission channels</w:t>
      </w:r>
      <w:r w:rsidRPr="0032251D">
        <w:rPr>
          <w:rFonts w:ascii="Aptos" w:eastAsia="Times New Roman" w:hAnsi="Aptos" w:cs="Times New Roman"/>
          <w:kern w:val="0"/>
          <w:sz w:val="22"/>
          <w:szCs w:val="22"/>
          <w:lang w:eastAsia="en-GB"/>
          <w14:ligatures w14:val="none"/>
        </w:rPr>
        <w:t xml:space="preserve"> (curve, FX, inflation-linked, vol), L9 captures the broader integrated asset universe </w:t>
      </w:r>
      <w:r w:rsidRPr="0032251D">
        <w:rPr>
          <w:rFonts w:ascii="Aptos" w:eastAsia="Times New Roman" w:hAnsi="Aptos" w:cs="Times New Roman"/>
          <w:i/>
          <w:iCs/>
          <w:kern w:val="0"/>
          <w:sz w:val="22"/>
          <w:szCs w:val="22"/>
          <w:lang w:eastAsia="en-GB"/>
          <w14:ligatures w14:val="none"/>
        </w:rPr>
        <w:t>as portfolio outcomes</w:t>
      </w:r>
      <w:r w:rsidRPr="0032251D">
        <w:rPr>
          <w:rFonts w:ascii="Aptos" w:eastAsia="Times New Roman" w:hAnsi="Aptos" w:cs="Times New Roman"/>
          <w:kern w:val="0"/>
          <w:sz w:val="22"/>
          <w:szCs w:val="22"/>
          <w:lang w:eastAsia="en-GB"/>
          <w14:ligatures w14:val="none"/>
        </w:rPr>
        <w:t>. The framework's purpose ultimately resolves at this node: L1-L8 dynamics matter because they move L9 prices, and L9 prices matter because they determine portfolio P&amp;L, wealth effects, and the financial channel to L10 terminal outcomes. L9 is the framework's primary observable output — the layer at which dissonance is most directly visible.</w:t>
      </w:r>
    </w:p>
    <w:p w14:paraId="09ED3D67" w14:textId="77777777" w:rsidR="00C73C77" w:rsidRPr="0032251D" w:rsidRDefault="00C73C77" w:rsidP="00C73C7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DA7EB3C">
          <v:rect id="_x0000_i1025" alt="" style="width:451.3pt;height:.05pt;mso-width-percent:0;mso-height-percent:0;mso-width-percent:0;mso-height-percent:0" o:hralign="center" o:hrstd="t" o:hr="t" fillcolor="#a0a0a0" stroked="f"/>
        </w:pict>
      </w:r>
    </w:p>
    <w:p w14:paraId="6D594FF0"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165C9AE2"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Several theoretical foundations underpin asset prices as a distinct framework node.</w:t>
      </w:r>
    </w:p>
    <w:p w14:paraId="79AE8AC4"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efficient markets hypothesis (Fama 1970).</w:t>
      </w:r>
      <w:r w:rsidRPr="0032251D">
        <w:rPr>
          <w:rFonts w:ascii="Aptos" w:eastAsia="Times New Roman" w:hAnsi="Aptos" w:cs="Times New Roman"/>
          <w:kern w:val="0"/>
          <w:sz w:val="22"/>
          <w:szCs w:val="22"/>
          <w:lang w:eastAsia="en-GB"/>
          <w14:ligatures w14:val="none"/>
        </w:rPr>
        <w:t xml:space="preserve"> The foundational reference point: prices reflect available information. Three forms — weak, semi-strong, strong — define the information sets prices supposedly incorporate. Modern empirical work has repeatedly demonstrated EMH violations (post-earnings drift, momentum, value premium, behavioural patterns), but EMH remains the analytical baseline against which deviations are measured. L9 dissonance is, in some sense, an EMH violation — prices not reflecting the information embedded in upstream framework nodes.</w:t>
      </w:r>
    </w:p>
    <w:p w14:paraId="380E8A06"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adaptive markets hypothesis (Lo 2004).</w:t>
      </w:r>
      <w:r w:rsidRPr="0032251D">
        <w:rPr>
          <w:rFonts w:ascii="Aptos" w:eastAsia="Times New Roman" w:hAnsi="Aptos" w:cs="Times New Roman"/>
          <w:kern w:val="0"/>
          <w:sz w:val="22"/>
          <w:szCs w:val="22"/>
          <w:lang w:eastAsia="en-GB"/>
          <w14:ligatures w14:val="none"/>
        </w:rPr>
        <w:t xml:space="preserve"> Prices reflect evolving learning, with periodic adaptation as new regimes emerge. The hypothesis allows for inefficiency during regime transitions and gradual learning toward efficiency within regimes. Particularly relevant for the dissonance framework — adaptation lags create observable inconsistencies between upstream signals and asset prices.</w:t>
      </w:r>
    </w:p>
    <w:p w14:paraId="20D1D5BC"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Behavioural asset pricing (Shiller 1981; Shleifer 2000; De Long-Shleifer-Summers-Waldmann 1990).</w:t>
      </w:r>
      <w:r w:rsidRPr="0032251D">
        <w:rPr>
          <w:rFonts w:ascii="Aptos" w:eastAsia="Times New Roman" w:hAnsi="Aptos" w:cs="Times New Roman"/>
          <w:kern w:val="0"/>
          <w:sz w:val="22"/>
          <w:szCs w:val="22"/>
          <w:lang w:eastAsia="en-GB"/>
          <w14:ligatures w14:val="none"/>
        </w:rPr>
        <w:t xml:space="preserve"> Prices include systematic biases — excess volatility relative to fundamentals; momentum and reversal; sentiment-driven mispricing; noise trader risk that prevents arbitrage. Shiller's "excess volatility" finding — that equity prices vary far more than dividend fundamentals can justify — is the empirical anchor of behavioural asset pricing.</w:t>
      </w:r>
    </w:p>
    <w:p w14:paraId="2D0140B3"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Intermediary asset pricing (He-Krishnamurthy 2013; Adrian-Etula-Muir 2014).</w:t>
      </w:r>
      <w:r w:rsidRPr="0032251D">
        <w:rPr>
          <w:rFonts w:ascii="Aptos" w:eastAsia="Times New Roman" w:hAnsi="Aptos" w:cs="Times New Roman"/>
          <w:kern w:val="0"/>
          <w:sz w:val="22"/>
          <w:szCs w:val="22"/>
          <w:lang w:eastAsia="en-GB"/>
          <w14:ligatures w14:val="none"/>
        </w:rPr>
        <w:t xml:space="preserve"> Prices reflect intermediary balance sheet constraints. When intermediaries are unconstrained, prices reflect fundamentals; when constrained, prices reflect intermediary capacity. This links L5 (intermediaries) directly to L9 (prices) — intermediary stress is, mechanically, an asset price event.</w:t>
      </w:r>
    </w:p>
    <w:p w14:paraId="241BDDBC"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Limits to arbitrage (Shleifer-Vishny 1997; Gromb-Vayanos 2010).</w:t>
      </w:r>
      <w:r w:rsidRPr="0032251D">
        <w:rPr>
          <w:rFonts w:ascii="Aptos" w:eastAsia="Times New Roman" w:hAnsi="Aptos" w:cs="Times New Roman"/>
          <w:kern w:val="0"/>
          <w:sz w:val="22"/>
          <w:szCs w:val="22"/>
          <w:lang w:eastAsia="en-GB"/>
          <w14:ligatures w14:val="none"/>
        </w:rPr>
        <w:t xml:space="preserve"> Arbitrageurs face capital constraints, redemption risk, and noise trader risk that prevent them from fully correcting mispricings. The framework explains why dissonance can persist — even when participants recognise misalignment between upstream signals and prices, the cost and risk of correcting it can be prohibitive.</w:t>
      </w:r>
    </w:p>
    <w:p w14:paraId="5C162C71"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linkages.</w:t>
      </w:r>
      <w:r w:rsidRPr="0032251D">
        <w:rPr>
          <w:rFonts w:ascii="Aptos" w:eastAsia="Times New Roman" w:hAnsi="Aptos" w:cs="Times New Roman"/>
          <w:kern w:val="0"/>
          <w:sz w:val="22"/>
          <w:szCs w:val="22"/>
          <w:lang w:eastAsia="en-GB"/>
          <w14:ligatures w14:val="none"/>
        </w:rPr>
        <w:t xml:space="preserve"> Asset prices do not move independently. Correlation structures shift across regimes — risk-on regimes show high cross-asset correlation among risk assets and negative correlation with safe assets; risk-off regimes flip these relationships; stress regimes can see all correlations move toward 1 (the "everything sells off" pattern). The cross-asset correlation matrix is itself a state variable that varies with framework regime.</w:t>
      </w:r>
    </w:p>
    <w:p w14:paraId="59B3DF43"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Co-movement during stress.</w:t>
      </w:r>
      <w:r w:rsidRPr="0032251D">
        <w:rPr>
          <w:rFonts w:ascii="Aptos" w:eastAsia="Times New Roman" w:hAnsi="Aptos" w:cs="Times New Roman"/>
          <w:kern w:val="0"/>
          <w:sz w:val="22"/>
          <w:szCs w:val="22"/>
          <w:lang w:eastAsia="en-GB"/>
          <w14:ligatures w14:val="none"/>
        </w:rPr>
        <w:t xml:space="preserve"> In crisis, correlations rise. Asset-class diversification breaks down. Liquidity-driven selling forces correlated </w:t>
      </w:r>
      <w:proofErr w:type="gramStart"/>
      <w:r w:rsidRPr="0032251D">
        <w:rPr>
          <w:rFonts w:ascii="Aptos" w:eastAsia="Times New Roman" w:hAnsi="Aptos" w:cs="Times New Roman"/>
          <w:kern w:val="0"/>
          <w:sz w:val="22"/>
          <w:szCs w:val="22"/>
          <w:lang w:eastAsia="en-GB"/>
          <w14:ligatures w14:val="none"/>
        </w:rPr>
        <w:t>sell-offs</w:t>
      </w:r>
      <w:proofErr w:type="gramEnd"/>
      <w:r w:rsidRPr="0032251D">
        <w:rPr>
          <w:rFonts w:ascii="Aptos" w:eastAsia="Times New Roman" w:hAnsi="Aptos" w:cs="Times New Roman"/>
          <w:kern w:val="0"/>
          <w:sz w:val="22"/>
          <w:szCs w:val="22"/>
          <w:lang w:eastAsia="en-GB"/>
          <w14:ligatures w14:val="none"/>
        </w:rPr>
        <w:t xml:space="preserve"> across assets with no fundamental connection. This is the "diversification fails when you need it" empirical regularity.</w:t>
      </w:r>
    </w:p>
    <w:p w14:paraId="648902FA"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Liquidity-driven price discovery.</w:t>
      </w:r>
      <w:r w:rsidRPr="0032251D">
        <w:rPr>
          <w:rFonts w:ascii="Aptos" w:eastAsia="Times New Roman" w:hAnsi="Aptos" w:cs="Times New Roman"/>
          <w:kern w:val="0"/>
          <w:sz w:val="22"/>
          <w:szCs w:val="22"/>
          <w:lang w:eastAsia="en-GB"/>
          <w14:ligatures w14:val="none"/>
        </w:rPr>
        <w:t xml:space="preserve"> In thin markets or stress, prices reflect available liquidity rather than fundamentals. Bid-ask spreads widen, market impact rises, and small flows can produce large price moves. The L5c dealer node feeds into L9 through this channel.</w:t>
      </w:r>
    </w:p>
    <w:p w14:paraId="77441166" w14:textId="77777777" w:rsidR="00C73C77" w:rsidRPr="0032251D" w:rsidRDefault="00C73C77" w:rsidP="00C73C7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DF840C0">
          <v:rect id="_x0000_i1026" alt="" style="width:451.3pt;height:.05pt;mso-width-percent:0;mso-height-percent:0;mso-width-percent:0;mso-height-percent:0" o:hralign="center" o:hrstd="t" o:hr="t" fillcolor="#a0a0a0" stroked="f"/>
        </w:pict>
      </w:r>
    </w:p>
    <w:p w14:paraId="095C7B6E"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3BF7EABA"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L9 universe decomposes by asset class, with each having distinct internal structure and distinct relationships to framework nodes.</w:t>
      </w:r>
    </w:p>
    <w:p w14:paraId="30F4AB27"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Equities.</w:t>
      </w:r>
      <w:r w:rsidRPr="0032251D">
        <w:rPr>
          <w:rFonts w:ascii="Aptos" w:eastAsia="Times New Roman" w:hAnsi="Aptos" w:cs="Times New Roman"/>
          <w:kern w:val="0"/>
          <w:sz w:val="22"/>
          <w:szCs w:val="22"/>
          <w:lang w:eastAsia="en-GB"/>
          <w14:ligatures w14:val="none"/>
        </w:rPr>
        <w:t xml:space="preserve"> The largest single asset class by global capitalisation.</w:t>
      </w:r>
    </w:p>
    <w:p w14:paraId="3556B8E2" w14:textId="77777777" w:rsidR="00C73C77" w:rsidRPr="0032251D" w:rsidRDefault="00C73C77" w:rsidP="00C73C7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Broad indices: S&amp;P 500, MSCI World, MSCI EM, FTSE/JSE</w:t>
      </w:r>
    </w:p>
    <w:p w14:paraId="5AFF750A" w14:textId="77777777" w:rsidR="00C73C77" w:rsidRPr="0032251D" w:rsidRDefault="00C73C77" w:rsidP="00C73C7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Sector breakdowns (technology, financials, consumer, energy, etc.)</w:t>
      </w:r>
    </w:p>
    <w:p w14:paraId="1539F0A7" w14:textId="77777777" w:rsidR="00C73C77" w:rsidRPr="0032251D" w:rsidRDefault="00C73C77" w:rsidP="00C73C7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Factor exposures: value, growth, quality, momentum, low-vol, size</w:t>
      </w:r>
    </w:p>
    <w:p w14:paraId="6AD1FF59" w14:textId="77777777" w:rsidR="00C73C77" w:rsidRPr="0032251D" w:rsidRDefault="00C73C77" w:rsidP="00C73C7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Geographic breakdowns: DM, EM, frontier</w:t>
      </w:r>
    </w:p>
    <w:p w14:paraId="153DDA84" w14:textId="77777777" w:rsidR="00C73C77" w:rsidRPr="0032251D" w:rsidRDefault="00C73C77" w:rsidP="00C73C7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Single-stock dispersion within indices</w:t>
      </w:r>
    </w:p>
    <w:p w14:paraId="00F4C410"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w:t>
      </w:r>
      <w:r w:rsidRPr="0032251D">
        <w:rPr>
          <w:rFonts w:ascii="Aptos" w:eastAsia="Times New Roman" w:hAnsi="Aptos" w:cs="Times New Roman"/>
          <w:kern w:val="0"/>
          <w:sz w:val="22"/>
          <w:szCs w:val="22"/>
          <w:lang w:eastAsia="en-GB"/>
          <w14:ligatures w14:val="none"/>
        </w:rPr>
        <w:t xml:space="preserve"> The fixed income universe outside government bonds.</w:t>
      </w:r>
    </w:p>
    <w:p w14:paraId="49123F93"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Investment grade corporate (IG)</w:t>
      </w:r>
    </w:p>
    <w:p w14:paraId="5C1DD939"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High yield corporate (HY)</w:t>
      </w:r>
    </w:p>
    <w:p w14:paraId="00233774"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hard currency sovereign (EMBI)</w:t>
      </w:r>
    </w:p>
    <w:p w14:paraId="62130527"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local currency sovereign (GBI-EM)</w:t>
      </w:r>
    </w:p>
    <w:p w14:paraId="0EB982DD"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corporate (CEMBI)</w:t>
      </w:r>
    </w:p>
    <w:p w14:paraId="7DDE040A"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Securitised credit (RMBS, CMBS, ABS, CLOs)</w:t>
      </w:r>
    </w:p>
    <w:p w14:paraId="494DF6D5"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 loans (leveraged loans)</w:t>
      </w:r>
    </w:p>
    <w:p w14:paraId="4F032551" w14:textId="77777777" w:rsidR="00C73C77" w:rsidRPr="0032251D" w:rsidRDefault="00C73C77" w:rsidP="00C73C7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Private credit</w:t>
      </w:r>
    </w:p>
    <w:p w14:paraId="46BB6965"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Government bonds.</w:t>
      </w:r>
      <w:r w:rsidRPr="0032251D">
        <w:rPr>
          <w:rFonts w:ascii="Aptos" w:eastAsia="Times New Roman" w:hAnsi="Aptos" w:cs="Times New Roman"/>
          <w:kern w:val="0"/>
          <w:sz w:val="22"/>
          <w:szCs w:val="22"/>
          <w:lang w:eastAsia="en-GB"/>
          <w14:ligatures w14:val="none"/>
        </w:rPr>
        <w:t xml:space="preserve"> Beyond just the curve dynamics of L4a.</w:t>
      </w:r>
    </w:p>
    <w:p w14:paraId="1EC720C9" w14:textId="77777777" w:rsidR="00C73C77" w:rsidRPr="0032251D" w:rsidRDefault="00C73C77" w:rsidP="00C73C7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DM sovereign cross-country (US, UK, Germany, Japan, Switzerland, etc.)</w:t>
      </w:r>
    </w:p>
    <w:p w14:paraId="5841715F" w14:textId="77777777" w:rsidR="00C73C77" w:rsidRPr="0032251D" w:rsidRDefault="00C73C77" w:rsidP="00C73C7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sovereign local currency cross-country</w:t>
      </w:r>
    </w:p>
    <w:p w14:paraId="61A725BF" w14:textId="77777777" w:rsidR="00C73C77" w:rsidRPr="0032251D" w:rsidRDefault="00C73C77" w:rsidP="00C73C7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Inflation-linked across countries</w:t>
      </w:r>
    </w:p>
    <w:p w14:paraId="6460013A" w14:textId="77777777" w:rsidR="00C73C77" w:rsidRPr="0032251D" w:rsidRDefault="00C73C77" w:rsidP="00C73C7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Curve relative value (steepeners, flatteners, butterflies)</w:t>
      </w:r>
    </w:p>
    <w:p w14:paraId="521BFD0A"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Currencies.</w:t>
      </w:r>
      <w:r w:rsidRPr="0032251D">
        <w:rPr>
          <w:rFonts w:ascii="Aptos" w:eastAsia="Times New Roman" w:hAnsi="Aptos" w:cs="Times New Roman"/>
          <w:kern w:val="0"/>
          <w:sz w:val="22"/>
          <w:szCs w:val="22"/>
          <w:lang w:eastAsia="en-GB"/>
          <w14:ligatures w14:val="none"/>
        </w:rPr>
        <w:t xml:space="preserve"> The full cross-rate matrix beyond just specific pairs.</w:t>
      </w:r>
    </w:p>
    <w:p w14:paraId="16C742D9" w14:textId="77777777" w:rsidR="00C73C77" w:rsidRPr="0032251D" w:rsidRDefault="00C73C77" w:rsidP="00C73C7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G10 cross-rates</w:t>
      </w:r>
    </w:p>
    <w:p w14:paraId="755C4CFB" w14:textId="77777777" w:rsidR="00C73C77" w:rsidRPr="0032251D" w:rsidRDefault="00C73C77" w:rsidP="00C73C7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cross-rates</w:t>
      </w:r>
    </w:p>
    <w:p w14:paraId="71022454" w14:textId="77777777" w:rsidR="00C73C77" w:rsidRPr="0032251D" w:rsidRDefault="00C73C77" w:rsidP="00C73C7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Crosses (non-USD pairs)</w:t>
      </w:r>
    </w:p>
    <w:p w14:paraId="7A38A120" w14:textId="77777777" w:rsidR="00C73C77" w:rsidRPr="0032251D" w:rsidRDefault="00C73C77" w:rsidP="00C73C7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Carry baskets, value baskets</w:t>
      </w:r>
    </w:p>
    <w:p w14:paraId="698A3724"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Commodities.</w:t>
      </w:r>
      <w:r w:rsidRPr="0032251D">
        <w:rPr>
          <w:rFonts w:ascii="Aptos" w:eastAsia="Times New Roman" w:hAnsi="Aptos" w:cs="Times New Roman"/>
          <w:kern w:val="0"/>
          <w:sz w:val="22"/>
          <w:szCs w:val="22"/>
          <w:lang w:eastAsia="en-GB"/>
          <w14:ligatures w14:val="none"/>
        </w:rPr>
        <w:t xml:space="preserve"> The real asset complement.</w:t>
      </w:r>
    </w:p>
    <w:p w14:paraId="76725D48" w14:textId="77777777" w:rsidR="00C73C77" w:rsidRPr="0032251D" w:rsidRDefault="00C73C77" w:rsidP="00C73C7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Energy: crude oil, natural gas, refined products</w:t>
      </w:r>
    </w:p>
    <w:p w14:paraId="1C718101" w14:textId="77777777" w:rsidR="00C73C77" w:rsidRPr="0032251D" w:rsidRDefault="00C73C77" w:rsidP="00C73C7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Industrial metals: copper, aluminium, nickel, zinc</w:t>
      </w:r>
    </w:p>
    <w:p w14:paraId="496EC1EE" w14:textId="77777777" w:rsidR="00C73C77" w:rsidRPr="0032251D" w:rsidRDefault="00C73C77" w:rsidP="00C73C7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Precious metals: gold, silver, platinum, palladium</w:t>
      </w:r>
    </w:p>
    <w:p w14:paraId="391294A3" w14:textId="77777777" w:rsidR="00C73C77" w:rsidRPr="0032251D" w:rsidRDefault="00C73C77" w:rsidP="00C73C7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Agricultural: grains, softs, livestock</w:t>
      </w:r>
    </w:p>
    <w:p w14:paraId="18DD0E81"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estate.</w:t>
      </w:r>
      <w:r w:rsidRPr="0032251D">
        <w:rPr>
          <w:rFonts w:ascii="Aptos" w:eastAsia="Times New Roman" w:hAnsi="Aptos" w:cs="Times New Roman"/>
          <w:kern w:val="0"/>
          <w:sz w:val="22"/>
          <w:szCs w:val="22"/>
          <w:lang w:eastAsia="en-GB"/>
          <w14:ligatures w14:val="none"/>
        </w:rPr>
        <w:t xml:space="preserve"> The non-financial productive asset class.</w:t>
      </w:r>
    </w:p>
    <w:p w14:paraId="738223CE" w14:textId="77777777" w:rsidR="00C73C77" w:rsidRPr="0032251D" w:rsidRDefault="00C73C77" w:rsidP="00C73C77">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Public REITs (residential, commercial, industrial, healthcare, retail)</w:t>
      </w:r>
    </w:p>
    <w:p w14:paraId="62A497D6" w14:textId="77777777" w:rsidR="00C73C77" w:rsidRPr="0032251D" w:rsidRDefault="00C73C77" w:rsidP="00C73C77">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Direct real estate (institutional)</w:t>
      </w:r>
    </w:p>
    <w:p w14:paraId="5F61CC46" w14:textId="77777777" w:rsidR="00C73C77" w:rsidRPr="0032251D" w:rsidRDefault="00C73C77" w:rsidP="00C73C77">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estate debt</w:t>
      </w:r>
    </w:p>
    <w:p w14:paraId="45E689F9"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Alternatives.</w:t>
      </w:r>
    </w:p>
    <w:p w14:paraId="3847E88E" w14:textId="77777777" w:rsidR="00C73C77" w:rsidRPr="0032251D" w:rsidRDefault="00C73C77" w:rsidP="00C73C77">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Private equity (LBO, growth, venture)</w:t>
      </w:r>
    </w:p>
    <w:p w14:paraId="39B153EC" w14:textId="77777777" w:rsidR="00C73C77" w:rsidRPr="0032251D" w:rsidRDefault="00C73C77" w:rsidP="00C73C77">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Private credit (direct lending, distressed)</w:t>
      </w:r>
    </w:p>
    <w:p w14:paraId="62ED5162" w14:textId="77777777" w:rsidR="00C73C77" w:rsidRPr="0032251D" w:rsidRDefault="00C73C77" w:rsidP="00C73C77">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Infrastructure</w:t>
      </w:r>
    </w:p>
    <w:p w14:paraId="455815D6" w14:textId="77777777" w:rsidR="00C73C77" w:rsidRPr="0032251D" w:rsidRDefault="00C73C77" w:rsidP="00C73C77">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Hedge funds (multi-strategy, equity L/S, macro, relative value)</w:t>
      </w:r>
    </w:p>
    <w:p w14:paraId="5F4A8889" w14:textId="77777777" w:rsidR="00C73C77" w:rsidRPr="0032251D" w:rsidRDefault="00C73C77" w:rsidP="00C73C77">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Listed alternatives (BDCs, MLPs)</w:t>
      </w:r>
    </w:p>
    <w:p w14:paraId="4964C8C9"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structure.</w:t>
      </w:r>
      <w:r w:rsidRPr="0032251D">
        <w:rPr>
          <w:rFonts w:ascii="Aptos" w:eastAsia="Times New Roman" w:hAnsi="Aptos" w:cs="Times New Roman"/>
          <w:kern w:val="0"/>
          <w:sz w:val="22"/>
          <w:szCs w:val="22"/>
          <w:lang w:eastAsia="en-GB"/>
          <w14:ligatures w14:val="none"/>
        </w:rPr>
        <w:t xml:space="preserve"> Asset classes do not exist independently — they form an integrated portfolio universe. Key structural relationships:</w:t>
      </w:r>
    </w:p>
    <w:p w14:paraId="3A7798C4" w14:textId="77777777" w:rsidR="00C73C77" w:rsidRPr="0032251D" w:rsidRDefault="00C73C77" w:rsidP="00C73C77">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Equity-bond correlation: positive in low-inflation regimes, negative in high-inflation regimes</w:t>
      </w:r>
    </w:p>
    <w:p w14:paraId="192C7790" w14:textId="77777777" w:rsidR="00C73C77" w:rsidRPr="0032251D" w:rsidRDefault="00C73C77" w:rsidP="00C73C77">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Equity-credit correlation: structurally positive (both are risk assets)</w:t>
      </w:r>
    </w:p>
    <w:p w14:paraId="59F3996A" w14:textId="77777777" w:rsidR="00C73C77" w:rsidRPr="0032251D" w:rsidRDefault="00C73C77" w:rsidP="00C73C77">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USD-EM correlation: structurally negative (DM </w:t>
      </w:r>
      <w:proofErr w:type="gramStart"/>
      <w:r w:rsidRPr="0032251D">
        <w:rPr>
          <w:rFonts w:ascii="Aptos" w:eastAsia="Times New Roman" w:hAnsi="Aptos" w:cs="Times New Roman"/>
          <w:kern w:val="0"/>
          <w:sz w:val="22"/>
          <w:szCs w:val="22"/>
          <w:lang w:eastAsia="en-GB"/>
          <w14:ligatures w14:val="none"/>
        </w:rPr>
        <w:t>safe haven</w:t>
      </w:r>
      <w:proofErr w:type="gramEnd"/>
      <w:r w:rsidRPr="0032251D">
        <w:rPr>
          <w:rFonts w:ascii="Aptos" w:eastAsia="Times New Roman" w:hAnsi="Aptos" w:cs="Times New Roman"/>
          <w:kern w:val="0"/>
          <w:sz w:val="22"/>
          <w:szCs w:val="22"/>
          <w:lang w:eastAsia="en-GB"/>
          <w14:ligatures w14:val="none"/>
        </w:rPr>
        <w:t xml:space="preserve"> vs EM risk)</w:t>
      </w:r>
    </w:p>
    <w:p w14:paraId="715169FF" w14:textId="77777777" w:rsidR="00C73C77" w:rsidRPr="0032251D" w:rsidRDefault="00C73C77" w:rsidP="00C73C77">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Commodity-equity correlation: time-varying, regime-dependent</w:t>
      </w:r>
    </w:p>
    <w:p w14:paraId="5B5C4A74" w14:textId="77777777" w:rsidR="00C73C77" w:rsidRPr="0032251D" w:rsidRDefault="00C73C77" w:rsidP="00C73C77">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Vol-equity correlation: structurally negative (equity sell-offs spike vol)</w:t>
      </w:r>
    </w:p>
    <w:p w14:paraId="7EA136DA" w14:textId="77777777" w:rsidR="00C73C77" w:rsidRPr="0032251D" w:rsidRDefault="00C73C77" w:rsidP="00C73C77">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asset-inflation correlation: positive (real assets hedge inflation)</w:t>
      </w:r>
    </w:p>
    <w:p w14:paraId="09C24CEC"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These cross-asset structural relationships are themselves L9 dynamics that can be consistent or dissonant with upstream framework signals.</w:t>
      </w:r>
    </w:p>
    <w:p w14:paraId="7E0DB9CB" w14:textId="77777777" w:rsidR="00C73C77" w:rsidRPr="0032251D" w:rsidRDefault="00C73C77" w:rsidP="00C73C7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7D8EB6D">
          <v:rect id="_x0000_i1027" alt="" style="width:451.3pt;height:.05pt;mso-width-percent:0;mso-height-percent:0;mso-width-percent:0;mso-height-percent:0" o:hralign="center" o:hrstd="t" o:hr="t" fillcolor="#a0a0a0" stroked="f"/>
        </w:pict>
      </w:r>
    </w:p>
    <w:p w14:paraId="6F9DAC8F"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Why this matters for portfolio outcomes</w:t>
      </w:r>
    </w:p>
    <w:p w14:paraId="0EF1E80F"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L9 is consequential through five channels.</w:t>
      </w:r>
    </w:p>
    <w:p w14:paraId="71602F88"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P&amp;L determination.</w:t>
      </w:r>
      <w:r w:rsidRPr="0032251D">
        <w:rPr>
          <w:rFonts w:ascii="Aptos" w:eastAsia="Times New Roman" w:hAnsi="Aptos" w:cs="Times New Roman"/>
          <w:kern w:val="0"/>
          <w:sz w:val="22"/>
          <w:szCs w:val="22"/>
          <w:lang w:eastAsia="en-GB"/>
          <w14:ligatures w14:val="none"/>
        </w:rPr>
        <w:t xml:space="preserve"> The most direct: asset prices determine portfolio outcomes. Every framework dynamic upstream </w:t>
      </w:r>
      <w:proofErr w:type="gramStart"/>
      <w:r w:rsidRPr="0032251D">
        <w:rPr>
          <w:rFonts w:ascii="Aptos" w:eastAsia="Times New Roman" w:hAnsi="Aptos" w:cs="Times New Roman"/>
          <w:kern w:val="0"/>
          <w:sz w:val="22"/>
          <w:szCs w:val="22"/>
          <w:lang w:eastAsia="en-GB"/>
          <w14:ligatures w14:val="none"/>
        </w:rPr>
        <w:t>matters</w:t>
      </w:r>
      <w:proofErr w:type="gramEnd"/>
      <w:r w:rsidRPr="0032251D">
        <w:rPr>
          <w:rFonts w:ascii="Aptos" w:eastAsia="Times New Roman" w:hAnsi="Aptos" w:cs="Times New Roman"/>
          <w:kern w:val="0"/>
          <w:sz w:val="22"/>
          <w:szCs w:val="22"/>
          <w:lang w:eastAsia="en-GB"/>
          <w14:ligatures w14:val="none"/>
        </w:rPr>
        <w:t xml:space="preserve"> because and only because it eventually moves L9 prices that flow to portfolios. Risk management, performance attribution, and trade construction all operate at L9.</w:t>
      </w:r>
    </w:p>
    <w:p w14:paraId="120C7B6E"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positioning regime.</w:t>
      </w:r>
      <w:r w:rsidRPr="0032251D">
        <w:rPr>
          <w:rFonts w:ascii="Aptos" w:eastAsia="Times New Roman" w:hAnsi="Aptos" w:cs="Times New Roman"/>
          <w:kern w:val="0"/>
          <w:sz w:val="22"/>
          <w:szCs w:val="22"/>
          <w:lang w:eastAsia="en-GB"/>
          <w14:ligatures w14:val="none"/>
        </w:rPr>
        <w:t xml:space="preserve"> Different framework regimes produce characteristic L9 patterns. Disinflationary regimes favour duration over commodities. Inflation regimes favour real assets over duration. Risk-on regimes favour cyclical equities and credit. Stress regimes produce flight-to-quality patterns. Identifying which regime is operating is the foundation of macro asset allocation — and the L1-L8 framework is what makes regime identification analytically rigorous.</w:t>
      </w:r>
    </w:p>
    <w:p w14:paraId="03E7EABB"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correlation as state variable.</w:t>
      </w:r>
      <w:r w:rsidRPr="0032251D">
        <w:rPr>
          <w:rFonts w:ascii="Aptos" w:eastAsia="Times New Roman" w:hAnsi="Aptos" w:cs="Times New Roman"/>
          <w:kern w:val="0"/>
          <w:sz w:val="22"/>
          <w:szCs w:val="22"/>
          <w:lang w:eastAsia="en-GB"/>
          <w14:ligatures w14:val="none"/>
        </w:rPr>
        <w:t xml:space="preserve"> The correlation matrix among L9 assets is itself a regime indicator. Stable correlations mean predictable diversification; shifting correlations mean diversification is changing. The 2022 episode where US Treasuries and equities both sold off was a regime indicator — the standard 60/40 portfolio diversification structure was failing because the equity-bond correlation had shifted to positive. This was an L9 observation reflecting an L8 driver shift (inflation risk premium dominating </w:t>
      </w:r>
      <w:proofErr w:type="gramStart"/>
      <w:r w:rsidRPr="0032251D">
        <w:rPr>
          <w:rFonts w:ascii="Aptos" w:eastAsia="Times New Roman" w:hAnsi="Aptos" w:cs="Times New Roman"/>
          <w:kern w:val="0"/>
          <w:sz w:val="22"/>
          <w:szCs w:val="22"/>
          <w:lang w:eastAsia="en-GB"/>
          <w14:ligatures w14:val="none"/>
        </w:rPr>
        <w:t>over growth</w:t>
      </w:r>
      <w:proofErr w:type="gramEnd"/>
      <w:r w:rsidRPr="0032251D">
        <w:rPr>
          <w:rFonts w:ascii="Aptos" w:eastAsia="Times New Roman" w:hAnsi="Aptos" w:cs="Times New Roman"/>
          <w:kern w:val="0"/>
          <w:sz w:val="22"/>
          <w:szCs w:val="22"/>
          <w:lang w:eastAsia="en-GB"/>
          <w14:ligatures w14:val="none"/>
        </w:rPr>
        <w:t xml:space="preserve"> risk premium).</w:t>
      </w:r>
    </w:p>
    <w:p w14:paraId="7324AB26"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Wealth effect channel to real economy.</w:t>
      </w:r>
      <w:r w:rsidRPr="0032251D">
        <w:rPr>
          <w:rFonts w:ascii="Aptos" w:eastAsia="Times New Roman" w:hAnsi="Aptos" w:cs="Times New Roman"/>
          <w:kern w:val="0"/>
          <w:sz w:val="22"/>
          <w:szCs w:val="22"/>
          <w:lang w:eastAsia="en-GB"/>
          <w14:ligatures w14:val="none"/>
        </w:rPr>
        <w:t xml:space="preserve"> Asset price changes flow to household and corporate wealth, affecting consumption and investment. The L9-to-L10a transmission is fundamental. Rising asset prices → wealth effect on consumption → real economy boost. Falling asset prices → reverse wealth effect → real economy </w:t>
      </w:r>
      <w:proofErr w:type="gramStart"/>
      <w:r w:rsidRPr="0032251D">
        <w:rPr>
          <w:rFonts w:ascii="Aptos" w:eastAsia="Times New Roman" w:hAnsi="Aptos" w:cs="Times New Roman"/>
          <w:kern w:val="0"/>
          <w:sz w:val="22"/>
          <w:szCs w:val="22"/>
          <w:lang w:eastAsia="en-GB"/>
          <w14:ligatures w14:val="none"/>
        </w:rPr>
        <w:t>drag</w:t>
      </w:r>
      <w:proofErr w:type="gramEnd"/>
      <w:r w:rsidRPr="0032251D">
        <w:rPr>
          <w:rFonts w:ascii="Aptos" w:eastAsia="Times New Roman" w:hAnsi="Aptos" w:cs="Times New Roman"/>
          <w:kern w:val="0"/>
          <w:sz w:val="22"/>
          <w:szCs w:val="22"/>
          <w:lang w:eastAsia="en-GB"/>
          <w14:ligatures w14:val="none"/>
        </w:rPr>
        <w:t>. This is the most direct channel through which monetary policy reaches the real economy via L9.</w:t>
      </w:r>
    </w:p>
    <w:p w14:paraId="60C6B8E1"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Financial stability monitoring.</w:t>
      </w:r>
      <w:r w:rsidRPr="0032251D">
        <w:rPr>
          <w:rFonts w:ascii="Aptos" w:eastAsia="Times New Roman" w:hAnsi="Aptos" w:cs="Times New Roman"/>
          <w:kern w:val="0"/>
          <w:sz w:val="22"/>
          <w:szCs w:val="22"/>
          <w:lang w:eastAsia="en-GB"/>
          <w14:ligatures w14:val="none"/>
        </w:rPr>
        <w:t xml:space="preserve"> L9 prices contain early indicators of stability stress — credit spreads widening, vol spiking, dispersion rising, correlation regime breaks. Financial stability work uses L9 dynamics as leading indicators of L10b stability outcomes.</w:t>
      </w:r>
    </w:p>
    <w:p w14:paraId="42AF751E"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four practitioner points dominate. First, L9 is where everything happens — the L1-L8 framework is analytical machinery to support L9 trade construction, not an </w:t>
      </w:r>
      <w:proofErr w:type="gramStart"/>
      <w:r w:rsidRPr="0032251D">
        <w:rPr>
          <w:rFonts w:ascii="Aptos" w:eastAsia="Times New Roman" w:hAnsi="Aptos" w:cs="Times New Roman"/>
          <w:kern w:val="0"/>
          <w:sz w:val="22"/>
          <w:szCs w:val="22"/>
          <w:lang w:eastAsia="en-GB"/>
          <w14:ligatures w14:val="none"/>
        </w:rPr>
        <w:t>end in itself</w:t>
      </w:r>
      <w:proofErr w:type="gramEnd"/>
      <w:r w:rsidRPr="0032251D">
        <w:rPr>
          <w:rFonts w:ascii="Aptos" w:eastAsia="Times New Roman" w:hAnsi="Aptos" w:cs="Times New Roman"/>
          <w:kern w:val="0"/>
          <w:sz w:val="22"/>
          <w:szCs w:val="22"/>
          <w:lang w:eastAsia="en-GB"/>
          <w14:ligatures w14:val="none"/>
        </w:rPr>
        <w:t>. Second, cross-asset positioning at L9 should be informed by upstream framework dynamics, not driven solely by L9 momentum or technicals — the disciplined approach is to identify the L1-L8 regime first, then position L9 consistently. Third, correlation regime monitoring at L9 provides forward information on diversification breakdown and stress transitions. Fourth, dissonance between L9 prices and upstream framework signals is the foundation of macro trades — if prices have not yet adjusted to a framework regime that the bank's reaction function and balance sheet operations imply, that is the trade opportunity.</w:t>
      </w:r>
    </w:p>
    <w:p w14:paraId="602CD085" w14:textId="77777777" w:rsidR="00C73C77" w:rsidRPr="0032251D" w:rsidRDefault="00C73C77" w:rsidP="00C73C7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7CCA118">
          <v:rect id="_x0000_i1028" alt="" style="width:451.3pt;height:.05pt;mso-width-percent:0;mso-height-percent:0;mso-width-percent:0;mso-height-percent:0" o:hralign="center" o:hrstd="t" o:hr="t" fillcolor="#a0a0a0" stroked="f"/>
        </w:pict>
      </w:r>
    </w:p>
    <w:p w14:paraId="3248693E"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1EFA2AB8"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L9 universe is structurally distinct between DM and EM.</w:t>
      </w:r>
    </w:p>
    <w:p w14:paraId="7E459B59"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DM characteristics.</w:t>
      </w:r>
    </w:p>
    <w:p w14:paraId="4F65A29D" w14:textId="77777777" w:rsidR="00C73C77" w:rsidRPr="0032251D" w:rsidRDefault="00C73C77" w:rsidP="00C73C77">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Deep, liquid, broadly tradeable markets</w:t>
      </w:r>
    </w:p>
    <w:p w14:paraId="091C2F7D" w14:textId="77777777" w:rsidR="00C73C77" w:rsidRPr="0032251D" w:rsidRDefault="00C73C77" w:rsidP="00C73C77">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Tight cross-asset linkages</w:t>
      </w:r>
    </w:p>
    <w:p w14:paraId="195688B5" w14:textId="77777777" w:rsidR="00C73C77" w:rsidRPr="0032251D" w:rsidRDefault="00C73C77" w:rsidP="00C73C77">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Predictable correlation regimes</w:t>
      </w:r>
    </w:p>
    <w:p w14:paraId="27C7475F" w14:textId="77777777" w:rsidR="00C73C77" w:rsidRPr="0032251D" w:rsidRDefault="00C73C77" w:rsidP="00C73C77">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Wide derivatives infrastructure</w:t>
      </w:r>
    </w:p>
    <w:p w14:paraId="2309C328" w14:textId="77777777" w:rsidR="00C73C77" w:rsidRPr="0032251D" w:rsidRDefault="00C73C77" w:rsidP="00C73C77">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investor base diversified across global asset managers</w:t>
      </w:r>
    </w:p>
    <w:p w14:paraId="48909F7C" w14:textId="77777777" w:rsidR="00C73C77" w:rsidRPr="0032251D" w:rsidRDefault="00C73C77" w:rsidP="00C73C77">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premia compressed relative to historical norms (search-for-yield era)</w:t>
      </w:r>
    </w:p>
    <w:p w14:paraId="6F433C99" w14:textId="77777777" w:rsidR="00C73C77" w:rsidRPr="0032251D" w:rsidRDefault="00C73C77" w:rsidP="00C73C77">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estate liquid through REITs and direct institutional channels</w:t>
      </w:r>
    </w:p>
    <w:p w14:paraId="0178B0A6"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characteristics.</w:t>
      </w:r>
    </w:p>
    <w:p w14:paraId="0E1D758C"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Less liquid, smaller markets</w:t>
      </w:r>
    </w:p>
    <w:p w14:paraId="1B3339E7"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Foreign vs domestic investor segmentation</w:t>
      </w:r>
    </w:p>
    <w:p w14:paraId="1741212F"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More extreme correlation regimes (everything sells together in stress)</w:t>
      </w:r>
    </w:p>
    <w:p w14:paraId="38A2C421"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USD vs local currency duality complicating positioning</w:t>
      </w:r>
    </w:p>
    <w:p w14:paraId="574B0316"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Risk premia larger and more volatile</w:t>
      </w:r>
    </w:p>
    <w:p w14:paraId="73C24419"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Limited derivatives infrastructure outside major pairs</w:t>
      </w:r>
    </w:p>
    <w:p w14:paraId="7EBB5C81"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estate often illiquid and weakly transparent</w:t>
      </w:r>
    </w:p>
    <w:p w14:paraId="74D8B094" w14:textId="77777777" w:rsidR="00C73C77" w:rsidRPr="0032251D" w:rsidRDefault="00C73C77" w:rsidP="00C73C77">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Political risk premium throughout the universe</w:t>
      </w:r>
    </w:p>
    <w:p w14:paraId="37FB1760"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Specific EM patterns.</w:t>
      </w:r>
    </w:p>
    <w:p w14:paraId="36BC9039" w14:textId="77777777" w:rsidR="00C73C77" w:rsidRPr="0032251D" w:rsidRDefault="00C73C77" w:rsidP="00C73C77">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w:t>
      </w:r>
      <w:r w:rsidRPr="0032251D">
        <w:rPr>
          <w:rFonts w:ascii="Aptos" w:eastAsia="Times New Roman" w:hAnsi="Aptos" w:cs="Times New Roman"/>
          <w:kern w:val="0"/>
          <w:sz w:val="22"/>
          <w:szCs w:val="22"/>
          <w:lang w:eastAsia="en-GB"/>
          <w14:ligatures w14:val="none"/>
        </w:rPr>
        <w:t>: deep local market with high yields; structural carry currency; equity market dominated by commodity exposures</w:t>
      </w:r>
    </w:p>
    <w:p w14:paraId="7AF5A615" w14:textId="77777777" w:rsidR="00C73C77" w:rsidRPr="0032251D" w:rsidRDefault="00C73C77" w:rsidP="00C73C77">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Mexico</w:t>
      </w:r>
      <w:r w:rsidRPr="0032251D">
        <w:rPr>
          <w:rFonts w:ascii="Aptos" w:eastAsia="Times New Roman" w:hAnsi="Aptos" w:cs="Times New Roman"/>
          <w:kern w:val="0"/>
          <w:sz w:val="22"/>
          <w:szCs w:val="22"/>
          <w:lang w:eastAsia="en-GB"/>
          <w14:ligatures w14:val="none"/>
        </w:rPr>
        <w:t>: tighter coupling to US business cycle; investment-grade sovereign; deep peso market</w:t>
      </w:r>
    </w:p>
    <w:p w14:paraId="3CF1697E" w14:textId="77777777" w:rsidR="00C73C77" w:rsidRPr="0032251D" w:rsidRDefault="00C73C77" w:rsidP="00C73C77">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Korea</w:t>
      </w:r>
      <w:r w:rsidRPr="0032251D">
        <w:rPr>
          <w:rFonts w:ascii="Aptos" w:eastAsia="Times New Roman" w:hAnsi="Aptos" w:cs="Times New Roman"/>
          <w:kern w:val="0"/>
          <w:sz w:val="22"/>
          <w:szCs w:val="22"/>
          <w:lang w:eastAsia="en-GB"/>
          <w14:ligatures w14:val="none"/>
        </w:rPr>
        <w:t>: developed-market structure but EM index classification; tech-heavy equity</w:t>
      </w:r>
    </w:p>
    <w:p w14:paraId="1468D5FA" w14:textId="77777777" w:rsidR="00C73C77" w:rsidRPr="0032251D" w:rsidRDefault="00C73C77" w:rsidP="00C73C77">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Turkey, Argentina</w:t>
      </w:r>
      <w:r w:rsidRPr="0032251D">
        <w:rPr>
          <w:rFonts w:ascii="Aptos" w:eastAsia="Times New Roman" w:hAnsi="Aptos" w:cs="Times New Roman"/>
          <w:kern w:val="0"/>
          <w:sz w:val="22"/>
          <w:szCs w:val="22"/>
          <w:lang w:eastAsia="en-GB"/>
          <w14:ligatures w14:val="none"/>
        </w:rPr>
        <w:t>: extreme regime variation; FX-dominant; equity often retail-driven</w:t>
      </w:r>
    </w:p>
    <w:p w14:paraId="14E58B13" w14:textId="77777777" w:rsidR="00C73C77" w:rsidRPr="0032251D" w:rsidRDefault="00C73C77" w:rsidP="00C73C77">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China</w:t>
      </w:r>
      <w:r w:rsidRPr="0032251D">
        <w:rPr>
          <w:rFonts w:ascii="Aptos" w:eastAsia="Times New Roman" w:hAnsi="Aptos" w:cs="Times New Roman"/>
          <w:kern w:val="0"/>
          <w:sz w:val="22"/>
          <w:szCs w:val="22"/>
          <w:lang w:eastAsia="en-GB"/>
          <w14:ligatures w14:val="none"/>
        </w:rPr>
        <w:t>: opaque price discovery; capital account restrictions complicate cross-border flow; offshore vs onshore market dual structure</w:t>
      </w:r>
    </w:p>
    <w:p w14:paraId="451514AB"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p>
    <w:p w14:paraId="54C6C9DF"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JSE All Share / Top 40</w:t>
      </w:r>
      <w:r w:rsidRPr="0032251D">
        <w:rPr>
          <w:rFonts w:ascii="Aptos" w:eastAsia="Times New Roman" w:hAnsi="Aptos" w:cs="Times New Roman"/>
          <w:kern w:val="0"/>
          <w:sz w:val="22"/>
          <w:szCs w:val="22"/>
          <w:lang w:eastAsia="en-GB"/>
          <w14:ligatures w14:val="none"/>
        </w:rPr>
        <w:t xml:space="preserve">: concentrated index, dominated by: </w:t>
      </w:r>
    </w:p>
    <w:p w14:paraId="693B6379" w14:textId="77777777" w:rsidR="00C73C77" w:rsidRPr="0032251D" w:rsidRDefault="00C73C77" w:rsidP="00C73C77">
      <w:pPr>
        <w:numPr>
          <w:ilvl w:val="1"/>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Naspers/Prosus (single-stock concentration ~20%+ of top 40 historically; Tencent exposure)</w:t>
      </w:r>
    </w:p>
    <w:p w14:paraId="266415A4" w14:textId="77777777" w:rsidR="00C73C77" w:rsidRPr="0032251D" w:rsidRDefault="00C73C77" w:rsidP="00C73C77">
      <w:pPr>
        <w:numPr>
          <w:ilvl w:val="1"/>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Mining majors (Anglo American, BHP, Glencore — primary listing or significant)</w:t>
      </w:r>
    </w:p>
    <w:p w14:paraId="689EF1A4" w14:textId="77777777" w:rsidR="00C73C77" w:rsidRPr="0032251D" w:rsidRDefault="00C73C77" w:rsidP="00C73C77">
      <w:pPr>
        <w:numPr>
          <w:ilvl w:val="1"/>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Financials (Standard Bank, FirstRand, Absa, Nedbank, Capitec)</w:t>
      </w:r>
    </w:p>
    <w:p w14:paraId="34A92235" w14:textId="77777777" w:rsidR="00C73C77" w:rsidRPr="0032251D" w:rsidRDefault="00C73C77" w:rsidP="00C73C77">
      <w:pPr>
        <w:numPr>
          <w:ilvl w:val="1"/>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Industrials and consumer (Bidvest, Shoprite, Sasol)</w:t>
      </w:r>
    </w:p>
    <w:p w14:paraId="579207DF"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Limited single-stock domestic exposure</w:t>
      </w:r>
      <w:r w:rsidRPr="0032251D">
        <w:rPr>
          <w:rFonts w:ascii="Aptos" w:eastAsia="Times New Roman" w:hAnsi="Aptos" w:cs="Times New Roman"/>
          <w:kern w:val="0"/>
          <w:sz w:val="22"/>
          <w:szCs w:val="22"/>
          <w:lang w:eastAsia="en-GB"/>
          <w14:ligatures w14:val="none"/>
        </w:rPr>
        <w:t>: JSE composition means SA equity index is partly a global commodity and tech proxy rather than a pure SA economic exposure</w:t>
      </w:r>
    </w:p>
    <w:p w14:paraId="1844CDD5"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SAGB market</w:t>
      </w:r>
      <w:r w:rsidRPr="0032251D">
        <w:rPr>
          <w:rFonts w:ascii="Aptos" w:eastAsia="Times New Roman" w:hAnsi="Aptos" w:cs="Times New Roman"/>
          <w:kern w:val="0"/>
          <w:sz w:val="22"/>
          <w:szCs w:val="22"/>
          <w:lang w:eastAsia="en-GB"/>
          <w14:ligatures w14:val="none"/>
        </w:rPr>
        <w:t xml:space="preserve">: R2030, R2035, R2040, R2048 as benchmark issues; foreign holder </w:t>
      </w:r>
      <w:proofErr w:type="gramStart"/>
      <w:r w:rsidRPr="0032251D">
        <w:rPr>
          <w:rFonts w:ascii="Aptos" w:eastAsia="Times New Roman" w:hAnsi="Aptos" w:cs="Times New Roman"/>
          <w:kern w:val="0"/>
          <w:sz w:val="22"/>
          <w:szCs w:val="22"/>
          <w:lang w:eastAsia="en-GB"/>
          <w14:ligatures w14:val="none"/>
        </w:rPr>
        <w:t>share</w:t>
      </w:r>
      <w:proofErr w:type="gramEnd"/>
      <w:r w:rsidRPr="0032251D">
        <w:rPr>
          <w:rFonts w:ascii="Aptos" w:eastAsia="Times New Roman" w:hAnsi="Aptos" w:cs="Times New Roman"/>
          <w:kern w:val="0"/>
          <w:sz w:val="22"/>
          <w:szCs w:val="22"/>
          <w:lang w:eastAsia="en-GB"/>
          <w14:ligatures w14:val="none"/>
        </w:rPr>
        <w:t xml:space="preserve"> volatile (peaked 40%+, fell to ~20%)</w:t>
      </w:r>
    </w:p>
    <w:p w14:paraId="2299135C"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ZAR cross-rates</w:t>
      </w:r>
      <w:r w:rsidRPr="0032251D">
        <w:rPr>
          <w:rFonts w:ascii="Aptos" w:eastAsia="Times New Roman" w:hAnsi="Aptos" w:cs="Times New Roman"/>
          <w:kern w:val="0"/>
          <w:sz w:val="22"/>
          <w:szCs w:val="22"/>
          <w:lang w:eastAsia="en-GB"/>
          <w14:ligatures w14:val="none"/>
        </w:rPr>
        <w:t>: deep G10/EM crosses, $50bn/day liquidity, used as EM macro proxy</w:t>
      </w:r>
    </w:p>
    <w:p w14:paraId="658885FD"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Limited SA credit market</w:t>
      </w:r>
      <w:r w:rsidRPr="0032251D">
        <w:rPr>
          <w:rFonts w:ascii="Aptos" w:eastAsia="Times New Roman" w:hAnsi="Aptos" w:cs="Times New Roman"/>
          <w:kern w:val="0"/>
          <w:sz w:val="22"/>
          <w:szCs w:val="22"/>
          <w:lang w:eastAsia="en-GB"/>
          <w14:ligatures w14:val="none"/>
        </w:rPr>
        <w:t>: corporate bond market thin; mostly bank-issued or quasi-sovereign (Eskom, Transnet — heavily distressed historically)</w:t>
      </w:r>
    </w:p>
    <w:p w14:paraId="41892562"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Property sector</w:t>
      </w:r>
      <w:r w:rsidRPr="0032251D">
        <w:rPr>
          <w:rFonts w:ascii="Aptos" w:eastAsia="Times New Roman" w:hAnsi="Aptos" w:cs="Times New Roman"/>
          <w:kern w:val="0"/>
          <w:sz w:val="22"/>
          <w:szCs w:val="22"/>
          <w:lang w:eastAsia="en-GB"/>
          <w14:ligatures w14:val="none"/>
        </w:rPr>
        <w:t>: listed REITs (Growthpoint, Redefine, Hyprop) provide property proxy but face structural challenges (high vacancies, low growth)</w:t>
      </w:r>
    </w:p>
    <w:p w14:paraId="456BFEB6"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Foreign vs domestic positioning</w:t>
      </w:r>
      <w:r w:rsidRPr="0032251D">
        <w:rPr>
          <w:rFonts w:ascii="Aptos" w:eastAsia="Times New Roman" w:hAnsi="Aptos" w:cs="Times New Roman"/>
          <w:kern w:val="0"/>
          <w:sz w:val="22"/>
          <w:szCs w:val="22"/>
          <w:lang w:eastAsia="en-GB"/>
          <w14:ligatures w14:val="none"/>
        </w:rPr>
        <w:t>: PIC dominates domestic; foreign investors active in SAGBs, top JSE names, and ZAR</w:t>
      </w:r>
    </w:p>
    <w:p w14:paraId="5B176B5A" w14:textId="77777777" w:rsidR="00C73C77" w:rsidRPr="0032251D" w:rsidRDefault="00C73C77" w:rsidP="00C73C77">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Cross-asset SA-specific patterns</w:t>
      </w:r>
      <w:r w:rsidRPr="0032251D">
        <w:rPr>
          <w:rFonts w:ascii="Aptos" w:eastAsia="Times New Roman" w:hAnsi="Aptos" w:cs="Times New Roman"/>
          <w:kern w:val="0"/>
          <w:sz w:val="22"/>
          <w:szCs w:val="22"/>
          <w:lang w:eastAsia="en-GB"/>
          <w14:ligatures w14:val="none"/>
        </w:rPr>
        <w:t>: ZAR-SAGB correlation; gold-mining beta; commodity-currency loops</w:t>
      </w:r>
    </w:p>
    <w:p w14:paraId="2C7E305E"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the L9 node in the SA dissonance framework, the key features are: (1) JSE concentration means equity "domestic" exposure is partly global commodity/tech exposure; (2) SAGB foreign investor share dynamics drive both discount rate and risk premium volatility; (3) ZAR is the cleanest single SA L9 exposure for macro positioning; (4) limited SA credit market means credit channel is underdeveloped in the framework; (5) PIC concentration creates flow-driven price dynamics not present in deeper markets.</w:t>
      </w:r>
    </w:p>
    <w:p w14:paraId="0012435E" w14:textId="77777777" w:rsidR="00C73C77" w:rsidRPr="0032251D" w:rsidRDefault="00C73C77" w:rsidP="00C73C7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04CF028">
          <v:rect id="_x0000_i1029" alt="" style="width:451.3pt;height:.05pt;mso-width-percent:0;mso-height-percent:0;mso-width-percent:0;mso-height-percent:0" o:hralign="center" o:hrstd="t" o:hr="t" fillcolor="#a0a0a0" stroked="f"/>
        </w:pict>
      </w:r>
    </w:p>
    <w:p w14:paraId="57AF2FFC"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Measurement choices</w:t>
      </w:r>
    </w:p>
    <w:p w14:paraId="76D0B149"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positioning data.</w:t>
      </w:r>
    </w:p>
    <w:p w14:paraId="3F2E23B9" w14:textId="77777777" w:rsidR="00C73C77" w:rsidRPr="0032251D" w:rsidRDefault="00C73C77" w:rsidP="00C73C77">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CFTC Commitments of Traders (CoT): futures positioning across asset classes</w:t>
      </w:r>
    </w:p>
    <w:p w14:paraId="681D40C1" w14:textId="77777777" w:rsidR="00C73C77" w:rsidRPr="0032251D" w:rsidRDefault="00C73C77" w:rsidP="00C73C77">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EPFR fund flows: equity and bond fund allocations</w:t>
      </w:r>
    </w:p>
    <w:p w14:paraId="454A1011" w14:textId="77777777" w:rsidR="00C73C77" w:rsidRPr="0032251D" w:rsidRDefault="00C73C77" w:rsidP="00C73C77">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ICI mutual fund data: US household-driven flows</w:t>
      </w:r>
    </w:p>
    <w:p w14:paraId="455741DA" w14:textId="77777777" w:rsidR="00C73C77" w:rsidRPr="0032251D" w:rsidRDefault="00C73C77" w:rsidP="00C73C77">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TIC data: cross-border portfolio flows into US assets</w:t>
      </w:r>
    </w:p>
    <w:p w14:paraId="3F8634B1" w14:textId="77777777" w:rsidR="00C73C77" w:rsidRPr="0032251D" w:rsidRDefault="00C73C77" w:rsidP="00C73C77">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BIS banking statistics: cross-border bank exposures</w:t>
      </w:r>
    </w:p>
    <w:p w14:paraId="1AA044BE" w14:textId="77777777" w:rsidR="00C73C77" w:rsidRPr="0032251D" w:rsidRDefault="00C73C77" w:rsidP="00C73C77">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Bloomberg consensus positioning surveys</w:t>
      </w:r>
    </w:p>
    <w:p w14:paraId="1179E9B8"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Correlation matrix estimation.</w:t>
      </w:r>
      <w:r w:rsidRPr="0032251D">
        <w:rPr>
          <w:rFonts w:ascii="Aptos" w:eastAsia="Times New Roman" w:hAnsi="Aptos" w:cs="Times New Roman"/>
          <w:kern w:val="0"/>
          <w:sz w:val="22"/>
          <w:szCs w:val="22"/>
          <w:lang w:eastAsia="en-GB"/>
          <w14:ligatures w14:val="none"/>
        </w:rPr>
        <w:t xml:space="preserve"> Empirical challenges include:</w:t>
      </w:r>
    </w:p>
    <w:p w14:paraId="0D07F045" w14:textId="77777777" w:rsidR="00C73C77" w:rsidRPr="0032251D" w:rsidRDefault="00C73C77" w:rsidP="00C73C77">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Sample length</w:t>
      </w:r>
      <w:r w:rsidRPr="0032251D">
        <w:rPr>
          <w:rFonts w:ascii="Aptos" w:eastAsia="Times New Roman" w:hAnsi="Aptos" w:cs="Times New Roman"/>
          <w:kern w:val="0"/>
          <w:sz w:val="22"/>
          <w:szCs w:val="22"/>
          <w:lang w:eastAsia="en-GB"/>
          <w14:ligatures w14:val="none"/>
        </w:rPr>
        <w:t>: short window captures regime; long window averages across regimes</w:t>
      </w:r>
    </w:p>
    <w:p w14:paraId="049931EE" w14:textId="77777777" w:rsidR="00C73C77" w:rsidRPr="0032251D" w:rsidRDefault="00C73C77" w:rsidP="00C73C77">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Frequency</w:t>
      </w:r>
      <w:r w:rsidRPr="0032251D">
        <w:rPr>
          <w:rFonts w:ascii="Aptos" w:eastAsia="Times New Roman" w:hAnsi="Aptos" w:cs="Times New Roman"/>
          <w:kern w:val="0"/>
          <w:sz w:val="22"/>
          <w:szCs w:val="22"/>
          <w:lang w:eastAsia="en-GB"/>
          <w14:ligatures w14:val="none"/>
        </w:rPr>
        <w:t>: daily, weekly, monthly give different correlation structures</w:t>
      </w:r>
    </w:p>
    <w:p w14:paraId="041D270B" w14:textId="77777777" w:rsidR="00C73C77" w:rsidRPr="0032251D" w:rsidRDefault="00C73C77" w:rsidP="00C73C77">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Rolling vs static</w:t>
      </w:r>
      <w:r w:rsidRPr="0032251D">
        <w:rPr>
          <w:rFonts w:ascii="Aptos" w:eastAsia="Times New Roman" w:hAnsi="Aptos" w:cs="Times New Roman"/>
          <w:kern w:val="0"/>
          <w:sz w:val="22"/>
          <w:szCs w:val="22"/>
          <w:lang w:eastAsia="en-GB"/>
          <w14:ligatures w14:val="none"/>
        </w:rPr>
        <w:t>: regime-conditional correlations require rolling estimation</w:t>
      </w:r>
    </w:p>
    <w:p w14:paraId="6D6F9195" w14:textId="77777777" w:rsidR="00C73C77" w:rsidRPr="0032251D" w:rsidRDefault="00C73C77" w:rsidP="00C73C77">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Robust estimation</w:t>
      </w:r>
      <w:r w:rsidRPr="0032251D">
        <w:rPr>
          <w:rFonts w:ascii="Aptos" w:eastAsia="Times New Roman" w:hAnsi="Aptos" w:cs="Times New Roman"/>
          <w:kern w:val="0"/>
          <w:sz w:val="22"/>
          <w:szCs w:val="22"/>
          <w:lang w:eastAsia="en-GB"/>
          <w14:ligatures w14:val="none"/>
        </w:rPr>
        <w:t>: outliers (single crisis days) can dominate correlation estimates; Ledoit-Wolf shrinkage and other robust methods address this</w:t>
      </w:r>
    </w:p>
    <w:p w14:paraId="6C30F0FF"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Factor exposure analysis.</w:t>
      </w:r>
    </w:p>
    <w:p w14:paraId="2C9A47D2" w14:textId="77777777" w:rsidR="00C73C77" w:rsidRPr="0032251D" w:rsidRDefault="00C73C77" w:rsidP="00C73C77">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Style factors: value, growth, momentum, quality, low-vol (Barra, MSCI, Bloomberg models)</w:t>
      </w:r>
    </w:p>
    <w:p w14:paraId="35C20D65" w14:textId="77777777" w:rsidR="00C73C77" w:rsidRPr="0032251D" w:rsidRDefault="00C73C77" w:rsidP="00C73C77">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 factors: rates, credit, FX, commodities, inflation</w:t>
      </w:r>
    </w:p>
    <w:p w14:paraId="7088A7D1" w14:textId="77777777" w:rsidR="00C73C77" w:rsidRPr="0032251D" w:rsidRDefault="00C73C77" w:rsidP="00C73C77">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Statistical factors: PCA-extracted common variance</w:t>
      </w:r>
    </w:p>
    <w:p w14:paraId="459AEBBF"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regime classification.</w:t>
      </w:r>
    </w:p>
    <w:p w14:paraId="6352CABD" w14:textId="77777777" w:rsidR="00C73C77" w:rsidRPr="0032251D" w:rsidRDefault="00C73C77" w:rsidP="00C73C77">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VIX regimes (low / normal / elevated / stress)</w:t>
      </w:r>
    </w:p>
    <w:p w14:paraId="7A389205" w14:textId="77777777" w:rsidR="00C73C77" w:rsidRPr="0032251D" w:rsidRDefault="00C73C77" w:rsidP="00C73C77">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VIX term structure (contango / backwardation)</w:t>
      </w:r>
    </w:p>
    <w:p w14:paraId="6746B017" w14:textId="77777777" w:rsidR="00C73C77" w:rsidRPr="0032251D" w:rsidRDefault="00C73C77" w:rsidP="00C73C77">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MOVE regimes (rates vol)</w:t>
      </w:r>
    </w:p>
    <w:p w14:paraId="1DDE6050" w14:textId="77777777" w:rsidR="00C73C77" w:rsidRPr="0032251D" w:rsidRDefault="00C73C77" w:rsidP="00C73C77">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Cross-asset volatility composite (equity vol + rates vol + FX vol + credit spread vol)</w:t>
      </w:r>
    </w:p>
    <w:p w14:paraId="77219D7F" w14:textId="77777777" w:rsidR="00C73C77" w:rsidRPr="0032251D" w:rsidRDefault="00C73C77" w:rsidP="00C73C77">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Hidden Markov models for regime identification</w:t>
      </w:r>
    </w:p>
    <w:p w14:paraId="5FA4196E" w14:textId="77777777" w:rsidR="00C73C77" w:rsidRPr="0032251D" w:rsidRDefault="00C73C77" w:rsidP="00C73C77">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PCA on cross-asset returns to extract risk-on/risk-off factor</w:t>
      </w:r>
    </w:p>
    <w:p w14:paraId="35707A63"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Dispersion measures.</w:t>
      </w:r>
    </w:p>
    <w:p w14:paraId="3713F13F" w14:textId="77777777" w:rsidR="00C73C77" w:rsidRPr="0032251D" w:rsidRDefault="00C73C77" w:rsidP="00C73C77">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Implied correlation indices (CBOE Implied Correlation Index)</w:t>
      </w:r>
    </w:p>
    <w:p w14:paraId="131ACA18" w14:textId="77777777" w:rsidR="00C73C77" w:rsidRPr="0032251D" w:rsidRDefault="00C73C77" w:rsidP="00C73C77">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Realised vs implied correlation gap</w:t>
      </w:r>
    </w:p>
    <w:p w14:paraId="05C7A3C9" w14:textId="77777777" w:rsidR="00C73C77" w:rsidRPr="0032251D" w:rsidRDefault="00C73C77" w:rsidP="00C73C77">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Sector dispersion within indices</w:t>
      </w:r>
    </w:p>
    <w:p w14:paraId="56E2F7D0" w14:textId="77777777" w:rsidR="00C73C77" w:rsidRPr="0032251D" w:rsidRDefault="00C73C77" w:rsidP="00C73C77">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Cross-country dispersion within EM</w:t>
      </w:r>
    </w:p>
    <w:p w14:paraId="5C49BD54"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measures.</w:t>
      </w:r>
    </w:p>
    <w:p w14:paraId="13F12665" w14:textId="77777777" w:rsidR="00C73C77" w:rsidRPr="0032251D" w:rsidRDefault="00C73C77" w:rsidP="00C73C77">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Bid-ask spreads</w:t>
      </w:r>
    </w:p>
    <w:p w14:paraId="255AB33B" w14:textId="77777777" w:rsidR="00C73C77" w:rsidRPr="0032251D" w:rsidRDefault="00C73C77" w:rsidP="00C73C77">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Market depth at touch</w:t>
      </w:r>
    </w:p>
    <w:p w14:paraId="239A9D4D" w14:textId="77777777" w:rsidR="00C73C77" w:rsidRPr="0032251D" w:rsidRDefault="00C73C77" w:rsidP="00C73C77">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Amihud illiquidity measure</w:t>
      </w:r>
    </w:p>
    <w:p w14:paraId="7D9155A8" w14:textId="77777777" w:rsidR="00C73C77" w:rsidRPr="0032251D" w:rsidRDefault="00C73C77" w:rsidP="00C73C77">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TRACE for credit market liquidity</w:t>
      </w:r>
    </w:p>
    <w:p w14:paraId="4B900132" w14:textId="77777777" w:rsidR="00C73C77" w:rsidRPr="0032251D" w:rsidRDefault="00C73C77" w:rsidP="00C73C77">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Volume-weighted average price (VWAP) deviation</w:t>
      </w:r>
    </w:p>
    <w:p w14:paraId="6E8ABC0B" w14:textId="77777777" w:rsidR="00C73C77" w:rsidRPr="0032251D" w:rsidRDefault="00C73C77" w:rsidP="00C73C7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2A61197">
          <v:rect id="_x0000_i1030" alt="" style="width:451.3pt;height:.05pt;mso-width-percent:0;mso-height-percent:0;mso-width-percent:0;mso-height-percent:0" o:hralign="center" o:hrstd="t" o:hr="t" fillcolor="#a0a0a0" stroked="f"/>
        </w:pict>
      </w:r>
    </w:p>
    <w:p w14:paraId="5B5CECE1"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16F84962"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L9:</w:t>
      </w:r>
    </w:p>
    <w:p w14:paraId="4E23FFAE"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L9 sub-components should move consistently with the regime narrative implied by upstream framework nodes. Dissonance fires when:</w:t>
      </w:r>
    </w:p>
    <w:p w14:paraId="56149033" w14:textId="77777777" w:rsidR="00C73C77" w:rsidRPr="0032251D" w:rsidRDefault="00C73C77" w:rsidP="00C73C77">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Cross-asset correlation breakdown.</w:t>
      </w:r>
      <w:r w:rsidRPr="0032251D">
        <w:rPr>
          <w:rFonts w:ascii="Aptos" w:eastAsia="Times New Roman" w:hAnsi="Aptos" w:cs="Times New Roman"/>
          <w:kern w:val="0"/>
          <w:sz w:val="22"/>
          <w:szCs w:val="22"/>
          <w:lang w:eastAsia="en-GB"/>
          <w14:ligatures w14:val="none"/>
        </w:rPr>
        <w:t xml:space="preserve"> Risk assets all selling together while </w:t>
      </w:r>
      <w:proofErr w:type="gramStart"/>
      <w:r w:rsidRPr="0032251D">
        <w:rPr>
          <w:rFonts w:ascii="Aptos" w:eastAsia="Times New Roman" w:hAnsi="Aptos" w:cs="Times New Roman"/>
          <w:kern w:val="0"/>
          <w:sz w:val="22"/>
          <w:szCs w:val="22"/>
          <w:lang w:eastAsia="en-GB"/>
          <w14:ligatures w14:val="none"/>
        </w:rPr>
        <w:t>safe haven</w:t>
      </w:r>
      <w:proofErr w:type="gramEnd"/>
      <w:r w:rsidRPr="0032251D">
        <w:rPr>
          <w:rFonts w:ascii="Aptos" w:eastAsia="Times New Roman" w:hAnsi="Aptos" w:cs="Times New Roman"/>
          <w:kern w:val="0"/>
          <w:sz w:val="22"/>
          <w:szCs w:val="22"/>
          <w:lang w:eastAsia="en-GB"/>
          <w14:ligatures w14:val="none"/>
        </w:rPr>
        <w:t xml:space="preserve"> assets do not rally — the "everything sells off" stress pattern; signals liquidity-driven rather than risk-driven repricing.</w:t>
      </w:r>
    </w:p>
    <w:p w14:paraId="6DECD422" w14:textId="77777777" w:rsidR="00C73C77" w:rsidRPr="0032251D" w:rsidRDefault="00C73C77" w:rsidP="00C73C77">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Equity-bond correlation regime shift.</w:t>
      </w:r>
      <w:r w:rsidRPr="0032251D">
        <w:rPr>
          <w:rFonts w:ascii="Aptos" w:eastAsia="Times New Roman" w:hAnsi="Aptos" w:cs="Times New Roman"/>
          <w:kern w:val="0"/>
          <w:sz w:val="22"/>
          <w:szCs w:val="22"/>
          <w:lang w:eastAsia="en-GB"/>
          <w14:ligatures w14:val="none"/>
        </w:rPr>
        <w:t xml:space="preserve"> The standard negative equity-bond correlation flipping to positive — signals a regime change (typically inflation risk premium dominating </w:t>
      </w:r>
      <w:proofErr w:type="gramStart"/>
      <w:r w:rsidRPr="0032251D">
        <w:rPr>
          <w:rFonts w:ascii="Aptos" w:eastAsia="Times New Roman" w:hAnsi="Aptos" w:cs="Times New Roman"/>
          <w:kern w:val="0"/>
          <w:sz w:val="22"/>
          <w:szCs w:val="22"/>
          <w:lang w:eastAsia="en-GB"/>
          <w14:ligatures w14:val="none"/>
        </w:rPr>
        <w:t>over growth</w:t>
      </w:r>
      <w:proofErr w:type="gramEnd"/>
      <w:r w:rsidRPr="0032251D">
        <w:rPr>
          <w:rFonts w:ascii="Aptos" w:eastAsia="Times New Roman" w:hAnsi="Aptos" w:cs="Times New Roman"/>
          <w:kern w:val="0"/>
          <w:sz w:val="22"/>
          <w:szCs w:val="22"/>
          <w:lang w:eastAsia="en-GB"/>
          <w14:ligatures w14:val="none"/>
        </w:rPr>
        <w:t xml:space="preserve"> risk premium). The 2022 episode was a canonical example.</w:t>
      </w:r>
    </w:p>
    <w:p w14:paraId="319313DD" w14:textId="77777777" w:rsidR="00C73C77" w:rsidRPr="0032251D" w:rsidRDefault="00C73C77" w:rsidP="00C73C77">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Within-asset-class dispersion divergence.</w:t>
      </w:r>
      <w:r w:rsidRPr="0032251D">
        <w:rPr>
          <w:rFonts w:ascii="Aptos" w:eastAsia="Times New Roman" w:hAnsi="Aptos" w:cs="Times New Roman"/>
          <w:kern w:val="0"/>
          <w:sz w:val="22"/>
          <w:szCs w:val="22"/>
          <w:lang w:eastAsia="en-GB"/>
          <w14:ligatures w14:val="none"/>
        </w:rPr>
        <w:t xml:space="preserve"> Index level stable while internal dispersion (sector spread, single-stock spread) rises — signals concentrated stress within otherwise calm headline.</w:t>
      </w:r>
    </w:p>
    <w:p w14:paraId="726DD455" w14:textId="77777777" w:rsidR="00C73C77" w:rsidRPr="0032251D" w:rsidRDefault="00C73C77" w:rsidP="00C73C77">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Cross-country EM divergence.</w:t>
      </w:r>
      <w:r w:rsidRPr="0032251D">
        <w:rPr>
          <w:rFonts w:ascii="Aptos" w:eastAsia="Times New Roman" w:hAnsi="Aptos" w:cs="Times New Roman"/>
          <w:kern w:val="0"/>
          <w:sz w:val="22"/>
          <w:szCs w:val="22"/>
          <w:lang w:eastAsia="en-GB"/>
          <w14:ligatures w14:val="none"/>
        </w:rPr>
        <w:t xml:space="preserve"> Brazil equities rallying while South African equities sell off — signals country-specific factors dominating EM-broad factors (potentially informative about local framework dissonance).</w:t>
      </w:r>
    </w:p>
    <w:p w14:paraId="7A77B2EB" w14:textId="77777777" w:rsidR="00C73C77" w:rsidRPr="0032251D" w:rsidRDefault="00C73C77" w:rsidP="00C73C77">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Spot vs derivatives divergence.</w:t>
      </w:r>
      <w:r w:rsidRPr="0032251D">
        <w:rPr>
          <w:rFonts w:ascii="Aptos" w:eastAsia="Times New Roman" w:hAnsi="Aptos" w:cs="Times New Roman"/>
          <w:kern w:val="0"/>
          <w:sz w:val="22"/>
          <w:szCs w:val="22"/>
          <w:lang w:eastAsia="en-GB"/>
          <w14:ligatures w14:val="none"/>
        </w:rPr>
        <w:t xml:space="preserve"> Cash market moves not matched by derivatives positioning (or vice versa) — signals segmented price discovery or hedging mismatch.</w:t>
      </w:r>
    </w:p>
    <w:p w14:paraId="5D17CCE4" w14:textId="77777777" w:rsidR="00C73C77" w:rsidRPr="0032251D" w:rsidRDefault="00C73C77" w:rsidP="00C73C77">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 vs price.</w:t>
      </w:r>
      <w:r w:rsidRPr="0032251D">
        <w:rPr>
          <w:rFonts w:ascii="Aptos" w:eastAsia="Times New Roman" w:hAnsi="Aptos" w:cs="Times New Roman"/>
          <w:kern w:val="0"/>
          <w:sz w:val="22"/>
          <w:szCs w:val="22"/>
          <w:lang w:eastAsia="en-GB"/>
          <w14:ligatures w14:val="none"/>
        </w:rPr>
        <w:t xml:space="preserve"> Bid-ask spreads widening without spot price moving — signals dealer balance sheet stress (L5c channel) before it shows in prices.</w:t>
      </w:r>
    </w:p>
    <w:p w14:paraId="751C39D7"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w:t>
      </w:r>
    </w:p>
    <w:p w14:paraId="56E3E657" w14:textId="77777777" w:rsidR="00C73C77" w:rsidRPr="0032251D" w:rsidRDefault="00C73C77" w:rsidP="00C73C77">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L1 → L9: Rule moves should produce predictable L9 patterns. Dissonance fires when policy moves but L9 prices do not </w:t>
      </w:r>
      <w:proofErr w:type="gramStart"/>
      <w:r w:rsidRPr="0032251D">
        <w:rPr>
          <w:rFonts w:ascii="Aptos" w:eastAsia="Times New Roman" w:hAnsi="Aptos" w:cs="Times New Roman"/>
          <w:kern w:val="0"/>
          <w:sz w:val="22"/>
          <w:szCs w:val="22"/>
          <w:lang w:eastAsia="en-GB"/>
          <w14:ligatures w14:val="none"/>
        </w:rPr>
        <w:t>respond, or</w:t>
      </w:r>
      <w:proofErr w:type="gramEnd"/>
      <w:r w:rsidRPr="0032251D">
        <w:rPr>
          <w:rFonts w:ascii="Aptos" w:eastAsia="Times New Roman" w:hAnsi="Aptos" w:cs="Times New Roman"/>
          <w:kern w:val="0"/>
          <w:sz w:val="22"/>
          <w:szCs w:val="22"/>
          <w:lang w:eastAsia="en-GB"/>
          <w14:ligatures w14:val="none"/>
        </w:rPr>
        <w:t xml:space="preserve"> move opposite — transmission breakdown at the terminal node.</w:t>
      </w:r>
    </w:p>
    <w:p w14:paraId="00086D8D" w14:textId="77777777" w:rsidR="00C73C77" w:rsidRPr="0032251D" w:rsidRDefault="00C73C77" w:rsidP="00C73C77">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L3a → L9: Rate moves should shift risk-free rate inputs to all valuation models. Dissonance fires when rate hikes but L9 risk assets rally — search-for-yield exhaustion or sentiment overwhelming policy.</w:t>
      </w:r>
    </w:p>
    <w:p w14:paraId="5E5F7ACF" w14:textId="77777777" w:rsidR="00C73C77" w:rsidRPr="0032251D" w:rsidRDefault="00C73C77" w:rsidP="00C73C77">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L9: Balance sheet operations affect long rates and convenience yield, which affect L9 prices. Dissonance fires when QE/QT moves without L9 response.</w:t>
      </w:r>
    </w:p>
    <w:p w14:paraId="0FF74712" w14:textId="77777777" w:rsidR="00C73C77" w:rsidRPr="0032251D" w:rsidRDefault="00C73C77" w:rsidP="00C73C77">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L9: Guidance shapes forward expectations, which should affect L9 prices today. Dissonance fires when guidance moves without L9 response.</w:t>
      </w:r>
    </w:p>
    <w:p w14:paraId="1C6E45EC" w14:textId="77777777" w:rsidR="00C73C77" w:rsidRPr="0032251D" w:rsidRDefault="00C73C77" w:rsidP="00C73C77">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L3d → L9: FX intervention should affect FX (L4b) and through it broader L9 (FX-sensitive assets). Dissonance fires when intervention without broad L9 response.</w:t>
      </w:r>
    </w:p>
    <w:p w14:paraId="4D7D340B" w14:textId="77777777" w:rsidR="00C73C77" w:rsidRPr="0032251D" w:rsidRDefault="00C73C77" w:rsidP="00C73C77">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L3e → L9: Macropru affects credit market within L9. Dissonance fires when macropru tightens but L9 credit doesn't.</w:t>
      </w:r>
    </w:p>
    <w:p w14:paraId="57426482" w14:textId="77777777" w:rsidR="00C73C77" w:rsidRPr="0032251D" w:rsidRDefault="00C73C77" w:rsidP="00C73C77">
      <w:pPr>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L3f → L9: Facilities affect funding-sensitive L9 segments. Dissonance fires when facilities operate but L9 stress continues.</w:t>
      </w:r>
    </w:p>
    <w:p w14:paraId="2916B940"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w:t>
      </w:r>
    </w:p>
    <w:p w14:paraId="67CDA6E9" w14:textId="77777777" w:rsidR="00C73C77" w:rsidRPr="0032251D" w:rsidRDefault="00C73C77" w:rsidP="00C73C77">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L4 → L9: L4 markets are a subset of L9 (curve, FX, BEI, vol are all in L9). L4-L9 dissonance is typically L4 moving without broader L9 confirmation.</w:t>
      </w:r>
    </w:p>
    <w:p w14:paraId="5789309B" w14:textId="77777777" w:rsidR="00C73C77" w:rsidRPr="0032251D" w:rsidRDefault="00C73C77" w:rsidP="00C73C77">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L5 → L9: Intermediary stress should transmit to L9 prices. Dissonance fires when intermediaries deleverage without L9 price response — repricing lag.</w:t>
      </w:r>
    </w:p>
    <w:p w14:paraId="451A7CBB" w14:textId="77777777" w:rsidR="00C73C77" w:rsidRPr="0032251D" w:rsidRDefault="00C73C77" w:rsidP="00C73C77">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L6 → L9: Expectations should affect prices through discount rates and cash flow forecasts. Dissonance fires when expectations move without L9 response.</w:t>
      </w:r>
    </w:p>
    <w:p w14:paraId="242FE448" w14:textId="77777777" w:rsidR="00C73C77" w:rsidRPr="0032251D" w:rsidRDefault="00C73C77" w:rsidP="00C73C77">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L7 → L9: FCI integrates the financial transmission stance and should map to L9 outcomes. Dissonance fires when FCI moves without L9 response.</w:t>
      </w:r>
    </w:p>
    <w:p w14:paraId="5C556988" w14:textId="77777777" w:rsidR="00C73C77" w:rsidRPr="0032251D" w:rsidRDefault="00C73C77" w:rsidP="00C73C77">
      <w:pPr>
        <w:numPr>
          <w:ilvl w:val="0"/>
          <w:numId w:val="2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L8 → L9: Drivers determine prices mechanically. Dissonance at L8-L9 means prices moving without driver justification (sentiment, flows, technicals dominating).</w:t>
      </w:r>
    </w:p>
    <w:p w14:paraId="53BE7C44"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w:t>
      </w:r>
    </w:p>
    <w:p w14:paraId="4DB23231" w14:textId="77777777" w:rsidR="00C73C77" w:rsidRPr="0032251D" w:rsidRDefault="00C73C77" w:rsidP="00C73C77">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L9 → L10a: Asset prices affect real economy through wealth and cost-of-capital channels. Dissonance fires when L9 moves without real-economy response — wealth effect or financing channel weak.</w:t>
      </w:r>
    </w:p>
    <w:p w14:paraId="483C5472" w14:textId="77777777" w:rsidR="00C73C77" w:rsidRPr="0032251D" w:rsidRDefault="00C73C77" w:rsidP="00C73C77">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L9 → L10b: L9 contains early stability indicators (spreads, vol, dispersion). Dissonance fires when L9 stress builds without traditional stability metrics registering it — coverage gap.</w:t>
      </w:r>
    </w:p>
    <w:p w14:paraId="4D8080AA" w14:textId="77777777" w:rsidR="00C73C77" w:rsidRPr="0032251D" w:rsidRDefault="00C73C77" w:rsidP="00C73C77">
      <w:pPr>
        <w:numPr>
          <w:ilvl w:val="0"/>
          <w:numId w:val="2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L9 → L10c: L9 cross-border correlations drive spillovers. Dissonance fires when domestic L9 moves without cross-border comovement — transmission breaking.</w:t>
      </w:r>
    </w:p>
    <w:p w14:paraId="55D4DF23"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L9 node is the </w:t>
      </w:r>
      <w:r w:rsidRPr="0032251D">
        <w:rPr>
          <w:rFonts w:ascii="Aptos" w:eastAsia="Times New Roman" w:hAnsi="Aptos" w:cs="Times New Roman"/>
          <w:i/>
          <w:iCs/>
          <w:kern w:val="0"/>
          <w:sz w:val="22"/>
          <w:szCs w:val="22"/>
          <w:lang w:eastAsia="en-GB"/>
          <w14:ligatures w14:val="none"/>
        </w:rPr>
        <w:t>primary observation layer</w:t>
      </w:r>
      <w:r w:rsidRPr="0032251D">
        <w:rPr>
          <w:rFonts w:ascii="Aptos" w:eastAsia="Times New Roman" w:hAnsi="Aptos" w:cs="Times New Roman"/>
          <w:kern w:val="0"/>
          <w:sz w:val="22"/>
          <w:szCs w:val="22"/>
          <w:lang w:eastAsia="en-GB"/>
          <w14:ligatures w14:val="none"/>
        </w:rPr>
        <w:t xml:space="preserve"> of the framework. Every framework dynamic ultimately registers here, which makes L9 both the most measurable and most diagnostic node. Dissonance at L9 typically falls into two categories: either L9 prices have not yet adjusted to upstream framework regime changes (lagged repricing — the trade opportunity), or upstream framework nodes have not yet adjusted to L9 information (lagged policy or measurement — the dissonance signal). Both categories matter, but for investment positioning the first is the actionable one.</w:t>
      </w:r>
    </w:p>
    <w:p w14:paraId="62811256"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For investment managers, L9 is where the framework's analytical value is realised. The L1-L8 nodes are the upstream machinery; L9 is where the upstream analysis translates into positioning decisions. The discipline of the framework is to make L9 positioning a function of upstream node analysis, rather than the other way around — to position from regime identification down to asset class, rather than from asset class momentum up to regime narrative.</w:t>
      </w:r>
    </w:p>
    <w:p w14:paraId="0CA9582B"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SA specifically, L9 contains the most directly tradeable framework outputs. The framework's dissonance signals from L1-L8 ultimately resolve in: ZAR positioning (the cleanest single SA macro expression), SAGB curve trades (long-end vs short-end as regime expression), JSE equity index positioning (with awareness of the global vs domestic decomposition issue), and limited but available SA credit / property exposure. The L9 node is where the framework becomes commercially operational — and the depth of the framework analysis upstream is what justifies the L9 positioning decisions downstream.</w:t>
      </w:r>
    </w:p>
    <w:p w14:paraId="57A824D0" w14:textId="77777777" w:rsidR="00C73C77" w:rsidRPr="0032251D" w:rsidRDefault="00C73C77" w:rsidP="00C73C7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w:t>
      </w:r>
      <w:proofErr w:type="gramStart"/>
      <w:r w:rsidRPr="0032251D">
        <w:rPr>
          <w:rFonts w:ascii="Aptos" w:eastAsia="Times New Roman" w:hAnsi="Aptos" w:cs="Times New Roman"/>
          <w:kern w:val="0"/>
          <w:sz w:val="22"/>
          <w:szCs w:val="22"/>
          <w:lang w:eastAsia="en-GB"/>
          <w14:ligatures w14:val="none"/>
        </w:rPr>
        <w:t>framework as a whole, L9</w:t>
      </w:r>
      <w:proofErr w:type="gramEnd"/>
      <w:r w:rsidRPr="0032251D">
        <w:rPr>
          <w:rFonts w:ascii="Aptos" w:eastAsia="Times New Roman" w:hAnsi="Aptos" w:cs="Times New Roman"/>
          <w:kern w:val="0"/>
          <w:sz w:val="22"/>
          <w:szCs w:val="22"/>
          <w:lang w:eastAsia="en-GB"/>
          <w14:ligatures w14:val="none"/>
        </w:rPr>
        <w:t xml:space="preserve"> is the </w:t>
      </w:r>
      <w:r w:rsidRPr="0032251D">
        <w:rPr>
          <w:rFonts w:ascii="Aptos" w:eastAsia="Times New Roman" w:hAnsi="Aptos" w:cs="Times New Roman"/>
          <w:i/>
          <w:iCs/>
          <w:kern w:val="0"/>
          <w:sz w:val="22"/>
          <w:szCs w:val="22"/>
          <w:lang w:eastAsia="en-GB"/>
          <w14:ligatures w14:val="none"/>
        </w:rPr>
        <w:t>terminal observable</w:t>
      </w:r>
      <w:r w:rsidRPr="0032251D">
        <w:rPr>
          <w:rFonts w:ascii="Aptos" w:eastAsia="Times New Roman" w:hAnsi="Aptos" w:cs="Times New Roman"/>
          <w:kern w:val="0"/>
          <w:sz w:val="22"/>
          <w:szCs w:val="22"/>
          <w:lang w:eastAsia="en-GB"/>
          <w14:ligatures w14:val="none"/>
        </w:rPr>
        <w:t xml:space="preserve"> — the final manifestation of all framework dynamics in prices that can be measured, decomposed, and traded. Dissonance at L9 is the framework's most visible output, and the framework's commercial value derives almost entirely from L9 dissonance signals that flag misalignment between upstream policy/economic dynamics and downstream observable prices.</w:t>
      </w:r>
    </w:p>
    <w:p w14:paraId="1C713D1A" w14:textId="77777777" w:rsidR="004B4A76" w:rsidRDefault="004B4A76"/>
    <w:sectPr w:rsidR="004B4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4BF"/>
    <w:multiLevelType w:val="multilevel"/>
    <w:tmpl w:val="7D1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61E3"/>
    <w:multiLevelType w:val="multilevel"/>
    <w:tmpl w:val="3A9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35AD"/>
    <w:multiLevelType w:val="multilevel"/>
    <w:tmpl w:val="FD5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1032"/>
    <w:multiLevelType w:val="multilevel"/>
    <w:tmpl w:val="DE3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514A"/>
    <w:multiLevelType w:val="multilevel"/>
    <w:tmpl w:val="ACB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C63C2"/>
    <w:multiLevelType w:val="multilevel"/>
    <w:tmpl w:val="AAF8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874FB"/>
    <w:multiLevelType w:val="multilevel"/>
    <w:tmpl w:val="3D8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4663A"/>
    <w:multiLevelType w:val="multilevel"/>
    <w:tmpl w:val="3CD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10DAE"/>
    <w:multiLevelType w:val="multilevel"/>
    <w:tmpl w:val="E1F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73F56"/>
    <w:multiLevelType w:val="multilevel"/>
    <w:tmpl w:val="288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70B75"/>
    <w:multiLevelType w:val="multilevel"/>
    <w:tmpl w:val="5FC0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610B6"/>
    <w:multiLevelType w:val="multilevel"/>
    <w:tmpl w:val="6D7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559EC"/>
    <w:multiLevelType w:val="multilevel"/>
    <w:tmpl w:val="F92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45541"/>
    <w:multiLevelType w:val="multilevel"/>
    <w:tmpl w:val="C5B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16F9A"/>
    <w:multiLevelType w:val="multilevel"/>
    <w:tmpl w:val="63F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F4EEA"/>
    <w:multiLevelType w:val="multilevel"/>
    <w:tmpl w:val="513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27A61"/>
    <w:multiLevelType w:val="multilevel"/>
    <w:tmpl w:val="495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930A3"/>
    <w:multiLevelType w:val="multilevel"/>
    <w:tmpl w:val="4E0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D016D"/>
    <w:multiLevelType w:val="multilevel"/>
    <w:tmpl w:val="C876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54826"/>
    <w:multiLevelType w:val="multilevel"/>
    <w:tmpl w:val="5EF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14EDE"/>
    <w:multiLevelType w:val="multilevel"/>
    <w:tmpl w:val="BCF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B79E6"/>
    <w:multiLevelType w:val="multilevel"/>
    <w:tmpl w:val="7732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2042">
    <w:abstractNumId w:val="17"/>
  </w:num>
  <w:num w:numId="2" w16cid:durableId="401177456">
    <w:abstractNumId w:val="20"/>
  </w:num>
  <w:num w:numId="3" w16cid:durableId="1319504917">
    <w:abstractNumId w:val="12"/>
  </w:num>
  <w:num w:numId="4" w16cid:durableId="897206713">
    <w:abstractNumId w:val="9"/>
  </w:num>
  <w:num w:numId="5" w16cid:durableId="1594435822">
    <w:abstractNumId w:val="18"/>
  </w:num>
  <w:num w:numId="6" w16cid:durableId="643698764">
    <w:abstractNumId w:val="19"/>
  </w:num>
  <w:num w:numId="7" w16cid:durableId="159472915">
    <w:abstractNumId w:val="13"/>
  </w:num>
  <w:num w:numId="8" w16cid:durableId="1055814069">
    <w:abstractNumId w:val="16"/>
  </w:num>
  <w:num w:numId="9" w16cid:durableId="1717200862">
    <w:abstractNumId w:val="3"/>
  </w:num>
  <w:num w:numId="10" w16cid:durableId="1450320765">
    <w:abstractNumId w:val="2"/>
  </w:num>
  <w:num w:numId="11" w16cid:durableId="423309956">
    <w:abstractNumId w:val="10"/>
  </w:num>
  <w:num w:numId="12" w16cid:durableId="1734743065">
    <w:abstractNumId w:val="5"/>
  </w:num>
  <w:num w:numId="13" w16cid:durableId="208807517">
    <w:abstractNumId w:val="7"/>
  </w:num>
  <w:num w:numId="14" w16cid:durableId="2080249661">
    <w:abstractNumId w:val="1"/>
  </w:num>
  <w:num w:numId="15" w16cid:durableId="974216548">
    <w:abstractNumId w:val="6"/>
  </w:num>
  <w:num w:numId="16" w16cid:durableId="1927574801">
    <w:abstractNumId w:val="0"/>
  </w:num>
  <w:num w:numId="17" w16cid:durableId="1276402291">
    <w:abstractNumId w:val="15"/>
  </w:num>
  <w:num w:numId="18" w16cid:durableId="567500722">
    <w:abstractNumId w:val="8"/>
  </w:num>
  <w:num w:numId="19" w16cid:durableId="1327633179">
    <w:abstractNumId w:val="21"/>
  </w:num>
  <w:num w:numId="20" w16cid:durableId="764495695">
    <w:abstractNumId w:val="4"/>
  </w:num>
  <w:num w:numId="21" w16cid:durableId="4523983">
    <w:abstractNumId w:val="14"/>
  </w:num>
  <w:num w:numId="22" w16cid:durableId="12174694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31"/>
    <w:rsid w:val="003B1C21"/>
    <w:rsid w:val="00415831"/>
    <w:rsid w:val="004B4A76"/>
    <w:rsid w:val="008D2B38"/>
    <w:rsid w:val="00C73C77"/>
    <w:rsid w:val="00D8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644B0B-655E-4DA8-8180-64290ED0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C77"/>
    <w:rPr>
      <w:lang w:val="en-ZA"/>
    </w:rPr>
  </w:style>
  <w:style w:type="paragraph" w:styleId="Heading1">
    <w:name w:val="heading 1"/>
    <w:basedOn w:val="Normal"/>
    <w:next w:val="Normal"/>
    <w:link w:val="Heading1Char"/>
    <w:uiPriority w:val="9"/>
    <w:qFormat/>
    <w:rsid w:val="00415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831"/>
    <w:rPr>
      <w:rFonts w:eastAsiaTheme="majorEastAsia" w:cstheme="majorBidi"/>
      <w:color w:val="272727" w:themeColor="text1" w:themeTint="D8"/>
    </w:rPr>
  </w:style>
  <w:style w:type="paragraph" w:styleId="Title">
    <w:name w:val="Title"/>
    <w:basedOn w:val="Normal"/>
    <w:next w:val="Normal"/>
    <w:link w:val="TitleChar"/>
    <w:uiPriority w:val="10"/>
    <w:qFormat/>
    <w:rsid w:val="00415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831"/>
    <w:pPr>
      <w:spacing w:before="160"/>
      <w:jc w:val="center"/>
    </w:pPr>
    <w:rPr>
      <w:i/>
      <w:iCs/>
      <w:color w:val="404040" w:themeColor="text1" w:themeTint="BF"/>
    </w:rPr>
  </w:style>
  <w:style w:type="character" w:customStyle="1" w:styleId="QuoteChar">
    <w:name w:val="Quote Char"/>
    <w:basedOn w:val="DefaultParagraphFont"/>
    <w:link w:val="Quote"/>
    <w:uiPriority w:val="29"/>
    <w:rsid w:val="00415831"/>
    <w:rPr>
      <w:i/>
      <w:iCs/>
      <w:color w:val="404040" w:themeColor="text1" w:themeTint="BF"/>
    </w:rPr>
  </w:style>
  <w:style w:type="paragraph" w:styleId="ListParagraph">
    <w:name w:val="List Paragraph"/>
    <w:basedOn w:val="Normal"/>
    <w:uiPriority w:val="34"/>
    <w:qFormat/>
    <w:rsid w:val="00415831"/>
    <w:pPr>
      <w:ind w:left="720"/>
      <w:contextualSpacing/>
    </w:pPr>
  </w:style>
  <w:style w:type="character" w:styleId="IntenseEmphasis">
    <w:name w:val="Intense Emphasis"/>
    <w:basedOn w:val="DefaultParagraphFont"/>
    <w:uiPriority w:val="21"/>
    <w:qFormat/>
    <w:rsid w:val="00415831"/>
    <w:rPr>
      <w:i/>
      <w:iCs/>
      <w:color w:val="0F4761" w:themeColor="accent1" w:themeShade="BF"/>
    </w:rPr>
  </w:style>
  <w:style w:type="paragraph" w:styleId="IntenseQuote">
    <w:name w:val="Intense Quote"/>
    <w:basedOn w:val="Normal"/>
    <w:next w:val="Normal"/>
    <w:link w:val="IntenseQuoteChar"/>
    <w:uiPriority w:val="30"/>
    <w:qFormat/>
    <w:rsid w:val="00415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831"/>
    <w:rPr>
      <w:i/>
      <w:iCs/>
      <w:color w:val="0F4761" w:themeColor="accent1" w:themeShade="BF"/>
    </w:rPr>
  </w:style>
  <w:style w:type="character" w:styleId="IntenseReference">
    <w:name w:val="Intense Reference"/>
    <w:basedOn w:val="DefaultParagraphFont"/>
    <w:uiPriority w:val="32"/>
    <w:qFormat/>
    <w:rsid w:val="00415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2858</Words>
  <Characters>17693</Characters>
  <Application>Microsoft Office Word</Application>
  <DocSecurity>0</DocSecurity>
  <Lines>294</Lines>
  <Paragraphs>123</Paragraphs>
  <ScaleCrop>false</ScaleCrop>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2026-05-16T14:15:00Z</dcterms:created>
  <dcterms:modified xsi:type="dcterms:W3CDTF">2026-05-16T14:15:00Z</dcterms:modified>
</cp:coreProperties>
</file>