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70247" w14:textId="5AC5FC45" w:rsidR="00283383" w:rsidRPr="00B84586" w:rsidRDefault="00283383" w:rsidP="00283383">
      <w:pPr>
        <w:jc w:val="center"/>
        <w:rPr>
          <w:rFonts w:ascii="Aptos" w:hAnsi="Aptos"/>
          <w:b/>
          <w:bCs/>
          <w:sz w:val="22"/>
          <w:szCs w:val="22"/>
          <w:lang w:val="en-US"/>
        </w:rPr>
      </w:pPr>
      <w:r w:rsidRPr="00B84586">
        <w:rPr>
          <w:rFonts w:ascii="Aptos" w:hAnsi="Aptos"/>
          <w:b/>
          <w:bCs/>
          <w:sz w:val="22"/>
          <w:szCs w:val="22"/>
          <w:lang w:val="en-US"/>
        </w:rPr>
        <w:t>Node-based Theoretical Framework</w:t>
      </w:r>
    </w:p>
    <w:p w14:paraId="2C463D6A" w14:textId="4D67572B" w:rsidR="00283383" w:rsidRPr="00B84586" w:rsidRDefault="00283383" w:rsidP="00283383">
      <w:pPr>
        <w:rPr>
          <w:rFonts w:ascii="Aptos" w:hAnsi="Aptos"/>
          <w:sz w:val="22"/>
          <w:szCs w:val="22"/>
          <w:lang w:val="en-US"/>
        </w:rPr>
      </w:pPr>
      <w:r w:rsidRPr="00B84586">
        <w:rPr>
          <w:rFonts w:ascii="Aptos" w:hAnsi="Aptos"/>
          <w:sz w:val="22"/>
          <w:szCs w:val="22"/>
          <w:lang w:val="en-US"/>
        </w:rPr>
        <w:t>Working template for every node:</w:t>
      </w:r>
    </w:p>
    <w:p w14:paraId="5E0683D3" w14:textId="77777777" w:rsidR="00283383" w:rsidRPr="00B84586" w:rsidRDefault="00283383" w:rsidP="00283383">
      <w:pPr>
        <w:pStyle w:val="ListParagraph"/>
        <w:numPr>
          <w:ilvl w:val="0"/>
          <w:numId w:val="1"/>
        </w:numPr>
        <w:rPr>
          <w:rFonts w:ascii="Aptos" w:hAnsi="Aptos"/>
          <w:sz w:val="22"/>
          <w:szCs w:val="22"/>
          <w:lang w:val="en-US"/>
        </w:rPr>
      </w:pPr>
      <w:r w:rsidRPr="00B84586">
        <w:rPr>
          <w:rFonts w:ascii="Aptos" w:hAnsi="Aptos"/>
          <w:sz w:val="22"/>
          <w:szCs w:val="22"/>
          <w:lang w:val="en-US"/>
        </w:rPr>
        <w:t>Definition (the headline, with operational formula if applicable)</w:t>
      </w:r>
    </w:p>
    <w:p w14:paraId="69A4A173" w14:textId="77777777" w:rsidR="00283383" w:rsidRPr="00B84586" w:rsidRDefault="00283383" w:rsidP="00283383">
      <w:pPr>
        <w:pStyle w:val="ListParagraph"/>
        <w:numPr>
          <w:ilvl w:val="0"/>
          <w:numId w:val="1"/>
        </w:numPr>
        <w:rPr>
          <w:rFonts w:ascii="Aptos" w:hAnsi="Aptos"/>
          <w:sz w:val="22"/>
          <w:szCs w:val="22"/>
          <w:lang w:val="en-US"/>
        </w:rPr>
      </w:pPr>
      <w:r w:rsidRPr="00B84586">
        <w:rPr>
          <w:rFonts w:ascii="Aptos" w:hAnsi="Aptos"/>
          <w:sz w:val="22"/>
          <w:szCs w:val="22"/>
          <w:lang w:val="en-US"/>
        </w:rPr>
        <w:t>Theory (foundational why)</w:t>
      </w:r>
    </w:p>
    <w:p w14:paraId="26DFF892" w14:textId="77777777" w:rsidR="00283383" w:rsidRPr="00B84586" w:rsidRDefault="00283383" w:rsidP="00283383">
      <w:pPr>
        <w:pStyle w:val="ListParagraph"/>
        <w:numPr>
          <w:ilvl w:val="0"/>
          <w:numId w:val="1"/>
        </w:numPr>
        <w:rPr>
          <w:rFonts w:ascii="Aptos" w:hAnsi="Aptos"/>
          <w:sz w:val="22"/>
          <w:szCs w:val="22"/>
          <w:lang w:val="en-US"/>
        </w:rPr>
      </w:pPr>
      <w:r w:rsidRPr="00B84586">
        <w:rPr>
          <w:rFonts w:ascii="Aptos" w:hAnsi="Aptos"/>
          <w:sz w:val="22"/>
          <w:szCs w:val="22"/>
          <w:lang w:val="en-US"/>
        </w:rPr>
        <w:t>Canonical specifications and parameters (formula variations, what coefficients encode)</w:t>
      </w:r>
    </w:p>
    <w:p w14:paraId="256A0A4E" w14:textId="77777777" w:rsidR="00283383" w:rsidRPr="00B84586" w:rsidRDefault="00283383" w:rsidP="00283383">
      <w:pPr>
        <w:pStyle w:val="ListParagraph"/>
        <w:numPr>
          <w:ilvl w:val="0"/>
          <w:numId w:val="1"/>
        </w:numPr>
        <w:rPr>
          <w:rFonts w:ascii="Aptos" w:hAnsi="Aptos"/>
          <w:sz w:val="22"/>
          <w:szCs w:val="22"/>
          <w:lang w:val="en-US"/>
        </w:rPr>
      </w:pPr>
      <w:r w:rsidRPr="00B84586">
        <w:rPr>
          <w:rFonts w:ascii="Aptos" w:hAnsi="Aptos"/>
          <w:sz w:val="22"/>
          <w:szCs w:val="22"/>
          <w:lang w:val="en-US"/>
        </w:rPr>
        <w:t>Why this matters for asset prices (investment lens)</w:t>
      </w:r>
    </w:p>
    <w:p w14:paraId="6F0CE00A" w14:textId="77777777" w:rsidR="00283383" w:rsidRPr="00B84586" w:rsidRDefault="00283383" w:rsidP="00283383">
      <w:pPr>
        <w:pStyle w:val="ListParagraph"/>
        <w:numPr>
          <w:ilvl w:val="0"/>
          <w:numId w:val="1"/>
        </w:numPr>
        <w:rPr>
          <w:rFonts w:ascii="Aptos" w:hAnsi="Aptos"/>
          <w:sz w:val="22"/>
          <w:szCs w:val="22"/>
          <w:lang w:val="en-US"/>
        </w:rPr>
      </w:pPr>
      <w:r w:rsidRPr="00B84586">
        <w:rPr>
          <w:rFonts w:ascii="Aptos" w:hAnsi="Aptos"/>
          <w:sz w:val="22"/>
          <w:szCs w:val="22"/>
          <w:lang w:val="en-US"/>
        </w:rPr>
        <w:t>EM extension or regime variation (cross-country heterogeneity)</w:t>
      </w:r>
    </w:p>
    <w:p w14:paraId="3D0B155A" w14:textId="77777777" w:rsidR="00283383" w:rsidRPr="00B84586" w:rsidRDefault="00283383" w:rsidP="00283383">
      <w:pPr>
        <w:pStyle w:val="ListParagraph"/>
        <w:numPr>
          <w:ilvl w:val="0"/>
          <w:numId w:val="1"/>
        </w:numPr>
        <w:rPr>
          <w:rFonts w:ascii="Aptos" w:hAnsi="Aptos"/>
          <w:sz w:val="22"/>
          <w:szCs w:val="22"/>
          <w:lang w:val="en-US"/>
        </w:rPr>
      </w:pPr>
      <w:r w:rsidRPr="00B84586">
        <w:rPr>
          <w:rFonts w:ascii="Aptos" w:hAnsi="Aptos"/>
          <w:sz w:val="22"/>
          <w:szCs w:val="22"/>
          <w:lang w:val="en-US"/>
        </w:rPr>
        <w:t>Empirical pitfalls (estimation hazards)</w:t>
      </w:r>
    </w:p>
    <w:p w14:paraId="1B094CB2" w14:textId="05F16D02" w:rsidR="00B84586" w:rsidRPr="00B84586" w:rsidRDefault="00283383" w:rsidP="00B84586">
      <w:pPr>
        <w:pStyle w:val="ListParagraph"/>
        <w:numPr>
          <w:ilvl w:val="0"/>
          <w:numId w:val="1"/>
        </w:numPr>
        <w:rPr>
          <w:rFonts w:ascii="Aptos" w:hAnsi="Aptos"/>
          <w:sz w:val="22"/>
          <w:szCs w:val="22"/>
          <w:lang w:val="en-US"/>
        </w:rPr>
      </w:pPr>
      <w:r w:rsidRPr="00B84586">
        <w:rPr>
          <w:rFonts w:ascii="Aptos" w:hAnsi="Aptos"/>
          <w:sz w:val="22"/>
          <w:szCs w:val="22"/>
          <w:lang w:val="en-US"/>
        </w:rPr>
        <w:t>Where dissonance lives (intra-node and vertical to other levels — the bridge to the framework)</w:t>
      </w:r>
    </w:p>
    <w:p w14:paraId="2AED84DC" w14:textId="77777777" w:rsidR="00B84586" w:rsidRPr="00B84586" w:rsidRDefault="00B84586" w:rsidP="00B84586">
      <w:pPr>
        <w:spacing w:before="100" w:beforeAutospacing="1" w:after="100" w:afterAutospacing="1" w:line="240" w:lineRule="auto"/>
        <w:jc w:val="center"/>
        <w:rPr>
          <w:rFonts w:ascii="Aptos" w:eastAsia="Times New Roman" w:hAnsi="Aptos" w:cs="Times New Roman"/>
          <w:kern w:val="0"/>
          <w:sz w:val="22"/>
          <w:szCs w:val="22"/>
          <w:lang w:eastAsia="en-GB"/>
          <w14:ligatures w14:val="none"/>
        </w:rPr>
      </w:pPr>
      <w:r w:rsidRPr="00B84586">
        <w:rPr>
          <w:rFonts w:ascii="Aptos" w:eastAsia="Times New Roman" w:hAnsi="Aptos" w:cs="Times New Roman"/>
          <w:b/>
          <w:bCs/>
          <w:kern w:val="0"/>
          <w:sz w:val="22"/>
          <w:szCs w:val="22"/>
          <w:lang w:eastAsia="en-GB"/>
          <w14:ligatures w14:val="none"/>
        </w:rPr>
        <w:t>Level 1 — The Reaction Function</w:t>
      </w:r>
    </w:p>
    <w:p w14:paraId="750EA2C4" w14:textId="77777777" w:rsidR="00B84586" w:rsidRPr="00B84586" w:rsidRDefault="00B84586" w:rsidP="00B8458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i/>
          <w:iCs/>
          <w:kern w:val="0"/>
          <w:sz w:val="22"/>
          <w:szCs w:val="22"/>
          <w:lang w:eastAsia="en-GB"/>
          <w14:ligatures w14:val="none"/>
        </w:rPr>
        <w:t>Definition.</w:t>
      </w:r>
      <w:r w:rsidRPr="00B84586">
        <w:rPr>
          <w:rFonts w:ascii="Aptos" w:eastAsia="Times New Roman" w:hAnsi="Aptos" w:cs="Times New Roman"/>
          <w:kern w:val="0"/>
          <w:sz w:val="22"/>
          <w:szCs w:val="22"/>
          <w:lang w:eastAsia="en-GB"/>
          <w14:ligatures w14:val="none"/>
        </w:rPr>
        <w:t xml:space="preserve"> The reaction function is the rule that maps the state of the economy to the central bank's policy rate decision. It is the systematic component of policy: what the bank does, given what the world looks like. The canonical form is:</w:t>
      </w:r>
    </w:p>
    <w:p w14:paraId="4D8737E8" w14:textId="77777777" w:rsidR="00B84586" w:rsidRPr="00B84586" w:rsidRDefault="00B84586" w:rsidP="00B84586">
      <w:p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B84586">
        <w:rPr>
          <w:rFonts w:ascii="Aptos" w:eastAsia="Times New Roman" w:hAnsi="Aptos" w:cs="Times New Roman"/>
          <w:kern w:val="0"/>
          <w:sz w:val="22"/>
          <w:szCs w:val="22"/>
          <w:lang w:eastAsia="en-GB"/>
          <w14:ligatures w14:val="none"/>
        </w:rPr>
        <w:t>i_t</w:t>
      </w:r>
      <w:proofErr w:type="spellEnd"/>
      <w:r w:rsidRPr="00B84586">
        <w:rPr>
          <w:rFonts w:ascii="Aptos" w:eastAsia="Times New Roman" w:hAnsi="Aptos" w:cs="Times New Roman"/>
          <w:kern w:val="0"/>
          <w:sz w:val="22"/>
          <w:szCs w:val="22"/>
          <w:lang w:eastAsia="en-GB"/>
          <w14:ligatures w14:val="none"/>
        </w:rPr>
        <w:t xml:space="preserve"> = r* + π* + </w:t>
      </w:r>
      <w:proofErr w:type="gramStart"/>
      <w:r w:rsidRPr="00B84586">
        <w:rPr>
          <w:rFonts w:ascii="Aptos" w:eastAsia="Times New Roman" w:hAnsi="Aptos" w:cs="Times New Roman"/>
          <w:kern w:val="0"/>
          <w:sz w:val="22"/>
          <w:szCs w:val="22"/>
          <w:lang w:eastAsia="en-GB"/>
          <w14:ligatures w14:val="none"/>
        </w:rPr>
        <w:t>α(</w:t>
      </w:r>
      <w:proofErr w:type="gramEnd"/>
      <w:r w:rsidRPr="00B84586">
        <w:rPr>
          <w:rFonts w:ascii="Aptos" w:eastAsia="Times New Roman" w:hAnsi="Aptos" w:cs="Times New Roman"/>
          <w:kern w:val="0"/>
          <w:sz w:val="22"/>
          <w:szCs w:val="22"/>
          <w:lang w:eastAsia="en-GB"/>
          <w14:ligatures w14:val="none"/>
        </w:rPr>
        <w:t>π_t − π*) + β·</w:t>
      </w:r>
      <w:proofErr w:type="spellStart"/>
      <w:r w:rsidRPr="00B84586">
        <w:rPr>
          <w:rFonts w:ascii="Aptos" w:eastAsia="Times New Roman" w:hAnsi="Aptos" w:cs="Times New Roman"/>
          <w:kern w:val="0"/>
          <w:sz w:val="22"/>
          <w:szCs w:val="22"/>
          <w:lang w:eastAsia="en-GB"/>
          <w14:ligatures w14:val="none"/>
        </w:rPr>
        <w:t>ỹ_t</w:t>
      </w:r>
      <w:proofErr w:type="spellEnd"/>
    </w:p>
    <w:p w14:paraId="2E359003" w14:textId="77777777" w:rsidR="00B84586" w:rsidRDefault="00B84586" w:rsidP="00B8458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kern w:val="0"/>
          <w:sz w:val="22"/>
          <w:szCs w:val="22"/>
          <w:lang w:eastAsia="en-GB"/>
          <w14:ligatures w14:val="none"/>
        </w:rPr>
        <w:t xml:space="preserve">where </w:t>
      </w:r>
      <w:proofErr w:type="spellStart"/>
      <w:r w:rsidRPr="00B84586">
        <w:rPr>
          <w:rFonts w:ascii="Aptos" w:eastAsia="Times New Roman" w:hAnsi="Aptos" w:cs="Times New Roman"/>
          <w:kern w:val="0"/>
          <w:sz w:val="22"/>
          <w:szCs w:val="22"/>
          <w:lang w:eastAsia="en-GB"/>
          <w14:ligatures w14:val="none"/>
        </w:rPr>
        <w:t>i_t</w:t>
      </w:r>
      <w:proofErr w:type="spellEnd"/>
      <w:r w:rsidRPr="00B84586">
        <w:rPr>
          <w:rFonts w:ascii="Aptos" w:eastAsia="Times New Roman" w:hAnsi="Aptos" w:cs="Times New Roman"/>
          <w:kern w:val="0"/>
          <w:sz w:val="22"/>
          <w:szCs w:val="22"/>
          <w:lang w:eastAsia="en-GB"/>
          <w14:ligatures w14:val="none"/>
        </w:rPr>
        <w:t xml:space="preserve"> is the policy rate, r* is the neutral real rate, π* is the inflation target, (π_t − π*) is the inflation gap, and </w:t>
      </w:r>
      <w:proofErr w:type="spellStart"/>
      <w:r w:rsidRPr="00B84586">
        <w:rPr>
          <w:rFonts w:ascii="Aptos" w:eastAsia="Times New Roman" w:hAnsi="Aptos" w:cs="Times New Roman"/>
          <w:kern w:val="0"/>
          <w:sz w:val="22"/>
          <w:szCs w:val="22"/>
          <w:lang w:eastAsia="en-GB"/>
          <w14:ligatures w14:val="none"/>
        </w:rPr>
        <w:t>ỹ_t</w:t>
      </w:r>
      <w:proofErr w:type="spellEnd"/>
      <w:r w:rsidRPr="00B84586">
        <w:rPr>
          <w:rFonts w:ascii="Aptos" w:eastAsia="Times New Roman" w:hAnsi="Aptos" w:cs="Times New Roman"/>
          <w:kern w:val="0"/>
          <w:sz w:val="22"/>
          <w:szCs w:val="22"/>
          <w:lang w:eastAsia="en-GB"/>
          <w14:ligatures w14:val="none"/>
        </w:rPr>
        <w:t xml:space="preserve"> is the output gap. The coefficients α and β are the bank's type: a hawk has high α, a dove has high β.</w:t>
      </w:r>
    </w:p>
    <w:p w14:paraId="2B600EBC" w14:textId="4732CDC5" w:rsidR="00B84586" w:rsidRPr="00B84586" w:rsidRDefault="00B84586">
      <w:pPr>
        <w:pStyle w:val="ListParagraph"/>
        <w:numPr>
          <w:ilvl w:val="0"/>
          <w:numId w:val="16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b/>
          <w:bCs/>
          <w:kern w:val="0"/>
          <w:sz w:val="22"/>
          <w:szCs w:val="22"/>
          <w:lang w:eastAsia="en-GB"/>
          <w14:ligatures w14:val="none"/>
        </w:rPr>
        <w:t xml:space="preserve"> Theory</w:t>
      </w:r>
    </w:p>
    <w:p w14:paraId="738E816D" w14:textId="298340F7" w:rsidR="00B84586" w:rsidRPr="00B84586" w:rsidRDefault="00B84586" w:rsidP="00B8458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kern w:val="0"/>
          <w:sz w:val="22"/>
          <w:szCs w:val="22"/>
          <w:lang w:eastAsia="en-GB"/>
          <w14:ligatures w14:val="none"/>
        </w:rPr>
        <w:t xml:space="preserve">The reaction function exists because monetary policy without a rule is </w:t>
      </w:r>
      <w:proofErr w:type="gramStart"/>
      <w:r w:rsidRPr="00B84586">
        <w:rPr>
          <w:rFonts w:ascii="Aptos" w:eastAsia="Times New Roman" w:hAnsi="Aptos" w:cs="Times New Roman"/>
          <w:kern w:val="0"/>
          <w:sz w:val="22"/>
          <w:szCs w:val="22"/>
          <w:lang w:eastAsia="en-GB"/>
          <w14:ligatures w14:val="none"/>
        </w:rPr>
        <w:t>time-inconsistent</w:t>
      </w:r>
      <w:proofErr w:type="gramEnd"/>
      <w:r w:rsidRPr="00B84586">
        <w:rPr>
          <w:rFonts w:ascii="Aptos" w:eastAsia="Times New Roman" w:hAnsi="Aptos" w:cs="Times New Roman"/>
          <w:kern w:val="0"/>
          <w:sz w:val="22"/>
          <w:szCs w:val="22"/>
          <w:lang w:eastAsia="en-GB"/>
          <w14:ligatures w14:val="none"/>
        </w:rPr>
        <w:t>. Kydland-Prescott (1977) showed that a benevolent central bank choosing the optimal policy each period — discretion — produces an inflation bias relative to a committed rule. The bank cannot credibly promise low inflation when, ex post, surprising the public with looser policy is always tempting. A rule commits the bank to a known mapping from state to action, which anchors expectations. Barro-Gordon (1983) formalised this and Rogoff (1985) showed that appointing a conservative banker with high α effectively imposes a rule by selection rather than commitment.</w:t>
      </w:r>
    </w:p>
    <w:p w14:paraId="7A7B634A" w14:textId="60645D99" w:rsidR="00B84586" w:rsidRPr="00B84586" w:rsidRDefault="00B84586" w:rsidP="00B8458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kern w:val="0"/>
          <w:sz w:val="22"/>
          <w:szCs w:val="22"/>
          <w:lang w:eastAsia="en-GB"/>
          <w14:ligatures w14:val="none"/>
        </w:rPr>
        <w:t xml:space="preserve">The reaction function is therefore not a behavioural description of the bank — it is the </w:t>
      </w:r>
      <w:r w:rsidRPr="00B84586">
        <w:rPr>
          <w:rFonts w:ascii="Aptos" w:eastAsia="Times New Roman" w:hAnsi="Aptos" w:cs="Times New Roman"/>
          <w:i/>
          <w:iCs/>
          <w:kern w:val="0"/>
          <w:sz w:val="22"/>
          <w:szCs w:val="22"/>
          <w:lang w:eastAsia="en-GB"/>
          <w14:ligatures w14:val="none"/>
        </w:rPr>
        <w:t>institutional solution</w:t>
      </w:r>
      <w:r w:rsidRPr="00B84586">
        <w:rPr>
          <w:rFonts w:ascii="Aptos" w:eastAsia="Times New Roman" w:hAnsi="Aptos" w:cs="Times New Roman"/>
          <w:kern w:val="0"/>
          <w:sz w:val="22"/>
          <w:szCs w:val="22"/>
          <w:lang w:eastAsia="en-GB"/>
          <w14:ligatures w14:val="none"/>
        </w:rPr>
        <w:t xml:space="preserve"> to the commitment problem. Taylor (1993) provided the first canonical specification and showed it tracked Fed behaviour 1987–1992 remarkably well. The rule did not describe what the Fed said it was doing; it described what it </w:t>
      </w:r>
      <w:proofErr w:type="gramStart"/>
      <w:r w:rsidRPr="00B84586">
        <w:rPr>
          <w:rFonts w:ascii="Aptos" w:eastAsia="Times New Roman" w:hAnsi="Aptos" w:cs="Times New Roman"/>
          <w:kern w:val="0"/>
          <w:sz w:val="22"/>
          <w:szCs w:val="22"/>
          <w:lang w:eastAsia="en-GB"/>
          <w14:ligatures w14:val="none"/>
        </w:rPr>
        <w:t>actually did</w:t>
      </w:r>
      <w:proofErr w:type="gramEnd"/>
      <w:r w:rsidRPr="00B84586">
        <w:rPr>
          <w:rFonts w:ascii="Aptos" w:eastAsia="Times New Roman" w:hAnsi="Aptos" w:cs="Times New Roman"/>
          <w:kern w:val="0"/>
          <w:sz w:val="22"/>
          <w:szCs w:val="22"/>
          <w:lang w:eastAsia="en-GB"/>
          <w14:ligatures w14:val="none"/>
        </w:rPr>
        <w:t>.</w:t>
      </w:r>
    </w:p>
    <w:p w14:paraId="6A9D187F" w14:textId="4392DCB3" w:rsidR="00B84586" w:rsidRPr="00B84586" w:rsidRDefault="00B84586">
      <w:pPr>
        <w:pStyle w:val="ListParagraph"/>
        <w:numPr>
          <w:ilvl w:val="0"/>
          <w:numId w:val="16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b/>
          <w:bCs/>
          <w:kern w:val="0"/>
          <w:sz w:val="22"/>
          <w:szCs w:val="22"/>
          <w:lang w:eastAsia="en-GB"/>
          <w14:ligatures w14:val="none"/>
        </w:rPr>
        <w:t xml:space="preserve"> Canonical specifications and the coefficients</w:t>
      </w:r>
    </w:p>
    <w:p w14:paraId="27C1C1B1" w14:textId="77777777" w:rsidR="00B84586" w:rsidRPr="00B84586" w:rsidRDefault="00B84586" w:rsidP="00B8458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kern w:val="0"/>
          <w:sz w:val="22"/>
          <w:szCs w:val="22"/>
          <w:lang w:eastAsia="en-GB"/>
          <w14:ligatures w14:val="none"/>
        </w:rPr>
        <w:t>The literature has progressively enriched Taylor's original form.</w:t>
      </w:r>
    </w:p>
    <w:p w14:paraId="4F3058F3" w14:textId="77777777" w:rsidR="00B84586" w:rsidRPr="00B84586" w:rsidRDefault="00B84586" w:rsidP="00B8458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i/>
          <w:iCs/>
          <w:kern w:val="0"/>
          <w:sz w:val="22"/>
          <w:szCs w:val="22"/>
          <w:lang w:eastAsia="en-GB"/>
          <w14:ligatures w14:val="none"/>
        </w:rPr>
        <w:t>Forward-looking (Clarida-</w:t>
      </w:r>
      <w:proofErr w:type="spellStart"/>
      <w:r w:rsidRPr="00B84586">
        <w:rPr>
          <w:rFonts w:ascii="Aptos" w:eastAsia="Times New Roman" w:hAnsi="Aptos" w:cs="Times New Roman"/>
          <w:i/>
          <w:iCs/>
          <w:kern w:val="0"/>
          <w:sz w:val="22"/>
          <w:szCs w:val="22"/>
          <w:lang w:eastAsia="en-GB"/>
          <w14:ligatures w14:val="none"/>
        </w:rPr>
        <w:t>Galí</w:t>
      </w:r>
      <w:proofErr w:type="spellEnd"/>
      <w:r w:rsidRPr="00B84586">
        <w:rPr>
          <w:rFonts w:ascii="Aptos" w:eastAsia="Times New Roman" w:hAnsi="Aptos" w:cs="Times New Roman"/>
          <w:i/>
          <w:iCs/>
          <w:kern w:val="0"/>
          <w:sz w:val="22"/>
          <w:szCs w:val="22"/>
          <w:lang w:eastAsia="en-GB"/>
          <w14:ligatures w14:val="none"/>
        </w:rPr>
        <w:t>-Gertler 1999):</w:t>
      </w:r>
      <w:r w:rsidRPr="00B84586">
        <w:rPr>
          <w:rFonts w:ascii="Aptos" w:eastAsia="Times New Roman" w:hAnsi="Aptos" w:cs="Times New Roman"/>
          <w:kern w:val="0"/>
          <w:sz w:val="22"/>
          <w:szCs w:val="22"/>
          <w:lang w:eastAsia="en-GB"/>
          <w14:ligatures w14:val="none"/>
        </w:rPr>
        <w:t xml:space="preserve"> </w:t>
      </w:r>
      <w:proofErr w:type="spellStart"/>
      <w:r w:rsidRPr="00B84586">
        <w:rPr>
          <w:rFonts w:ascii="Aptos" w:eastAsia="Times New Roman" w:hAnsi="Aptos" w:cs="Times New Roman"/>
          <w:kern w:val="0"/>
          <w:sz w:val="22"/>
          <w:szCs w:val="22"/>
          <w:lang w:eastAsia="en-GB"/>
          <w14:ligatures w14:val="none"/>
        </w:rPr>
        <w:t>i_t</w:t>
      </w:r>
      <w:proofErr w:type="spellEnd"/>
      <w:r w:rsidRPr="00B84586">
        <w:rPr>
          <w:rFonts w:ascii="Aptos" w:eastAsia="Times New Roman" w:hAnsi="Aptos" w:cs="Times New Roman"/>
          <w:kern w:val="0"/>
          <w:sz w:val="22"/>
          <w:szCs w:val="22"/>
          <w:lang w:eastAsia="en-GB"/>
          <w14:ligatures w14:val="none"/>
        </w:rPr>
        <w:t xml:space="preserve"> = r* + α·</w:t>
      </w:r>
      <w:proofErr w:type="spellStart"/>
      <w:r w:rsidRPr="00B84586">
        <w:rPr>
          <w:rFonts w:ascii="Aptos" w:eastAsia="Times New Roman" w:hAnsi="Aptos" w:cs="Times New Roman"/>
          <w:kern w:val="0"/>
          <w:sz w:val="22"/>
          <w:szCs w:val="22"/>
          <w:lang w:eastAsia="en-GB"/>
          <w14:ligatures w14:val="none"/>
        </w:rPr>
        <w:t>E_t</w:t>
      </w:r>
      <w:proofErr w:type="spellEnd"/>
      <w:r w:rsidRPr="00B84586">
        <w:rPr>
          <w:rFonts w:ascii="Aptos" w:eastAsia="Times New Roman" w:hAnsi="Aptos" w:cs="Times New Roman"/>
          <w:kern w:val="0"/>
          <w:sz w:val="22"/>
          <w:szCs w:val="22"/>
          <w:lang w:eastAsia="en-GB"/>
          <w14:ligatures w14:val="none"/>
        </w:rPr>
        <w:t>[π_{t+4} − π*] + β·</w:t>
      </w:r>
      <w:proofErr w:type="spellStart"/>
      <w:r w:rsidRPr="00B84586">
        <w:rPr>
          <w:rFonts w:ascii="Aptos" w:eastAsia="Times New Roman" w:hAnsi="Aptos" w:cs="Times New Roman"/>
          <w:kern w:val="0"/>
          <w:sz w:val="22"/>
          <w:szCs w:val="22"/>
          <w:lang w:eastAsia="en-GB"/>
          <w14:ligatures w14:val="none"/>
        </w:rPr>
        <w:t>E_t</w:t>
      </w:r>
      <w:proofErr w:type="spellEnd"/>
      <w:r w:rsidRPr="00B84586">
        <w:rPr>
          <w:rFonts w:ascii="Aptos" w:eastAsia="Times New Roman" w:hAnsi="Aptos" w:cs="Times New Roman"/>
          <w:kern w:val="0"/>
          <w:sz w:val="22"/>
          <w:szCs w:val="22"/>
          <w:lang w:eastAsia="en-GB"/>
          <w14:ligatures w14:val="none"/>
        </w:rPr>
        <w:t>[</w:t>
      </w:r>
      <w:proofErr w:type="spellStart"/>
      <w:r w:rsidRPr="00B84586">
        <w:rPr>
          <w:rFonts w:ascii="Aptos" w:eastAsia="Times New Roman" w:hAnsi="Aptos" w:cs="Times New Roman"/>
          <w:kern w:val="0"/>
          <w:sz w:val="22"/>
          <w:szCs w:val="22"/>
          <w:lang w:eastAsia="en-GB"/>
          <w14:ligatures w14:val="none"/>
        </w:rPr>
        <w:t>ỹ_t</w:t>
      </w:r>
      <w:proofErr w:type="spellEnd"/>
      <w:r w:rsidRPr="00B84586">
        <w:rPr>
          <w:rFonts w:ascii="Aptos" w:eastAsia="Times New Roman" w:hAnsi="Aptos" w:cs="Times New Roman"/>
          <w:kern w:val="0"/>
          <w:sz w:val="22"/>
          <w:szCs w:val="22"/>
          <w:lang w:eastAsia="en-GB"/>
          <w14:ligatures w14:val="none"/>
        </w:rPr>
        <w:t xml:space="preserve">]. The bank responds to expected future inflation, not realised — captures the lag in monetary transmission. </w:t>
      </w:r>
      <w:r w:rsidRPr="00B84586">
        <w:rPr>
          <w:rFonts w:ascii="Aptos" w:eastAsia="Times New Roman" w:hAnsi="Aptos" w:cs="Times New Roman"/>
          <w:i/>
          <w:iCs/>
          <w:kern w:val="0"/>
          <w:sz w:val="22"/>
          <w:szCs w:val="22"/>
          <w:lang w:eastAsia="en-GB"/>
          <w14:ligatures w14:val="none"/>
        </w:rPr>
        <w:t>Smoothed (CGG 2000):</w:t>
      </w:r>
      <w:r w:rsidRPr="00B84586">
        <w:rPr>
          <w:rFonts w:ascii="Aptos" w:eastAsia="Times New Roman" w:hAnsi="Aptos" w:cs="Times New Roman"/>
          <w:kern w:val="0"/>
          <w:sz w:val="22"/>
          <w:szCs w:val="22"/>
          <w:lang w:eastAsia="en-GB"/>
          <w14:ligatures w14:val="none"/>
        </w:rPr>
        <w:t xml:space="preserve"> </w:t>
      </w:r>
      <w:proofErr w:type="spellStart"/>
      <w:r w:rsidRPr="00B84586">
        <w:rPr>
          <w:rFonts w:ascii="Aptos" w:eastAsia="Times New Roman" w:hAnsi="Aptos" w:cs="Times New Roman"/>
          <w:kern w:val="0"/>
          <w:sz w:val="22"/>
          <w:szCs w:val="22"/>
          <w:lang w:eastAsia="en-GB"/>
          <w14:ligatures w14:val="none"/>
        </w:rPr>
        <w:t>i_t</w:t>
      </w:r>
      <w:proofErr w:type="spellEnd"/>
      <w:r w:rsidRPr="00B84586">
        <w:rPr>
          <w:rFonts w:ascii="Aptos" w:eastAsia="Times New Roman" w:hAnsi="Aptos" w:cs="Times New Roman"/>
          <w:kern w:val="0"/>
          <w:sz w:val="22"/>
          <w:szCs w:val="22"/>
          <w:lang w:eastAsia="en-GB"/>
          <w14:ligatures w14:val="none"/>
        </w:rPr>
        <w:t xml:space="preserve"> = </w:t>
      </w:r>
      <w:proofErr w:type="spellStart"/>
      <w:r w:rsidRPr="00B84586">
        <w:rPr>
          <w:rFonts w:ascii="Aptos" w:eastAsia="Times New Roman" w:hAnsi="Aptos" w:cs="Times New Roman"/>
          <w:kern w:val="0"/>
          <w:sz w:val="22"/>
          <w:szCs w:val="22"/>
          <w:lang w:eastAsia="en-GB"/>
          <w14:ligatures w14:val="none"/>
        </w:rPr>
        <w:t>ρ·i</w:t>
      </w:r>
      <w:proofErr w:type="spellEnd"/>
      <w:r w:rsidRPr="00B84586">
        <w:rPr>
          <w:rFonts w:ascii="Aptos" w:eastAsia="Times New Roman" w:hAnsi="Aptos" w:cs="Times New Roman"/>
          <w:kern w:val="0"/>
          <w:sz w:val="22"/>
          <w:szCs w:val="22"/>
          <w:lang w:eastAsia="en-GB"/>
          <w14:ligatures w14:val="none"/>
        </w:rPr>
        <w:t>_{t-1} + (1−</w:t>
      </w:r>
      <w:proofErr w:type="gramStart"/>
      <w:r w:rsidRPr="00B84586">
        <w:rPr>
          <w:rFonts w:ascii="Aptos" w:eastAsia="Times New Roman" w:hAnsi="Aptos" w:cs="Times New Roman"/>
          <w:kern w:val="0"/>
          <w:sz w:val="22"/>
          <w:szCs w:val="22"/>
          <w:lang w:eastAsia="en-GB"/>
          <w14:ligatures w14:val="none"/>
        </w:rPr>
        <w:t>ρ)[</w:t>
      </w:r>
      <w:proofErr w:type="gramEnd"/>
      <w:r w:rsidRPr="00B84586">
        <w:rPr>
          <w:rFonts w:ascii="Aptos" w:eastAsia="Times New Roman" w:hAnsi="Aptos" w:cs="Times New Roman"/>
          <w:kern w:val="0"/>
          <w:sz w:val="22"/>
          <w:szCs w:val="22"/>
          <w:lang w:eastAsia="en-GB"/>
          <w14:ligatures w14:val="none"/>
        </w:rPr>
        <w:t>r* + α·</w:t>
      </w:r>
      <w:proofErr w:type="spellStart"/>
      <w:r w:rsidRPr="00B84586">
        <w:rPr>
          <w:rFonts w:ascii="Aptos" w:eastAsia="Times New Roman" w:hAnsi="Aptos" w:cs="Times New Roman"/>
          <w:kern w:val="0"/>
          <w:sz w:val="22"/>
          <w:szCs w:val="22"/>
          <w:lang w:eastAsia="en-GB"/>
          <w14:ligatures w14:val="none"/>
        </w:rPr>
        <w:t>E_t</w:t>
      </w:r>
      <w:proofErr w:type="spellEnd"/>
      <w:r w:rsidRPr="00B84586">
        <w:rPr>
          <w:rFonts w:ascii="Aptos" w:eastAsia="Times New Roman" w:hAnsi="Aptos" w:cs="Times New Roman"/>
          <w:kern w:val="0"/>
          <w:sz w:val="22"/>
          <w:szCs w:val="22"/>
          <w:lang w:eastAsia="en-GB"/>
          <w14:ligatures w14:val="none"/>
        </w:rPr>
        <w:t xml:space="preserve"> π_{t+4} + β·</w:t>
      </w:r>
      <w:proofErr w:type="spellStart"/>
      <w:r w:rsidRPr="00B84586">
        <w:rPr>
          <w:rFonts w:ascii="Aptos" w:eastAsia="Times New Roman" w:hAnsi="Aptos" w:cs="Times New Roman"/>
          <w:kern w:val="0"/>
          <w:sz w:val="22"/>
          <w:szCs w:val="22"/>
          <w:lang w:eastAsia="en-GB"/>
          <w14:ligatures w14:val="none"/>
        </w:rPr>
        <w:t>E_t</w:t>
      </w:r>
      <w:proofErr w:type="spellEnd"/>
      <w:r w:rsidRPr="00B84586">
        <w:rPr>
          <w:rFonts w:ascii="Aptos" w:eastAsia="Times New Roman" w:hAnsi="Aptos" w:cs="Times New Roman"/>
          <w:kern w:val="0"/>
          <w:sz w:val="22"/>
          <w:szCs w:val="22"/>
          <w:lang w:eastAsia="en-GB"/>
          <w14:ligatures w14:val="none"/>
        </w:rPr>
        <w:t xml:space="preserve"> </w:t>
      </w:r>
      <w:proofErr w:type="spellStart"/>
      <w:r w:rsidRPr="00B84586">
        <w:rPr>
          <w:rFonts w:ascii="Aptos" w:eastAsia="Times New Roman" w:hAnsi="Aptos" w:cs="Times New Roman"/>
          <w:kern w:val="0"/>
          <w:sz w:val="22"/>
          <w:szCs w:val="22"/>
          <w:lang w:eastAsia="en-GB"/>
          <w14:ligatures w14:val="none"/>
        </w:rPr>
        <w:t>ỹ_t</w:t>
      </w:r>
      <w:proofErr w:type="spellEnd"/>
      <w:r w:rsidRPr="00B84586">
        <w:rPr>
          <w:rFonts w:ascii="Aptos" w:eastAsia="Times New Roman" w:hAnsi="Aptos" w:cs="Times New Roman"/>
          <w:kern w:val="0"/>
          <w:sz w:val="22"/>
          <w:szCs w:val="22"/>
          <w:lang w:eastAsia="en-GB"/>
          <w14:ligatures w14:val="none"/>
        </w:rPr>
        <w:t xml:space="preserve">]. The interest-rate smoothing parameter ρ captures the empirical regularity that banks change rates </w:t>
      </w:r>
      <w:r w:rsidRPr="00B84586">
        <w:rPr>
          <w:rFonts w:ascii="Aptos" w:eastAsia="Times New Roman" w:hAnsi="Aptos" w:cs="Times New Roman"/>
          <w:kern w:val="0"/>
          <w:sz w:val="22"/>
          <w:szCs w:val="22"/>
          <w:lang w:eastAsia="en-GB"/>
          <w14:ligatures w14:val="none"/>
        </w:rPr>
        <w:lastRenderedPageBreak/>
        <w:t xml:space="preserve">gradually; ρ is typically estimated at 0.7–0.9. </w:t>
      </w:r>
      <w:r w:rsidRPr="00B84586">
        <w:rPr>
          <w:rFonts w:ascii="Aptos" w:eastAsia="Times New Roman" w:hAnsi="Aptos" w:cs="Times New Roman"/>
          <w:i/>
          <w:iCs/>
          <w:kern w:val="0"/>
          <w:sz w:val="22"/>
          <w:szCs w:val="22"/>
          <w:lang w:eastAsia="en-GB"/>
          <w14:ligatures w14:val="none"/>
        </w:rPr>
        <w:t>Open-economy extensions:</w:t>
      </w:r>
      <w:r w:rsidRPr="00B84586">
        <w:rPr>
          <w:rFonts w:ascii="Aptos" w:eastAsia="Times New Roman" w:hAnsi="Aptos" w:cs="Times New Roman"/>
          <w:kern w:val="0"/>
          <w:sz w:val="22"/>
          <w:szCs w:val="22"/>
          <w:lang w:eastAsia="en-GB"/>
          <w14:ligatures w14:val="none"/>
        </w:rPr>
        <w:t xml:space="preserve"> add </w:t>
      </w:r>
      <w:proofErr w:type="spellStart"/>
      <w:r w:rsidRPr="00B84586">
        <w:rPr>
          <w:rFonts w:ascii="Aptos" w:eastAsia="Times New Roman" w:hAnsi="Aptos" w:cs="Times New Roman"/>
          <w:kern w:val="0"/>
          <w:sz w:val="22"/>
          <w:szCs w:val="22"/>
          <w:lang w:eastAsia="en-GB"/>
          <w14:ligatures w14:val="none"/>
        </w:rPr>
        <w:t>γ·Δq_t</w:t>
      </w:r>
      <w:proofErr w:type="spellEnd"/>
      <w:r w:rsidRPr="00B84586">
        <w:rPr>
          <w:rFonts w:ascii="Aptos" w:eastAsia="Times New Roman" w:hAnsi="Aptos" w:cs="Times New Roman"/>
          <w:kern w:val="0"/>
          <w:sz w:val="22"/>
          <w:szCs w:val="22"/>
          <w:lang w:eastAsia="en-GB"/>
          <w14:ligatures w14:val="none"/>
        </w:rPr>
        <w:t xml:space="preserve"> (REER) or </w:t>
      </w:r>
      <w:proofErr w:type="spellStart"/>
      <w:r w:rsidRPr="00B84586">
        <w:rPr>
          <w:rFonts w:ascii="Aptos" w:eastAsia="Times New Roman" w:hAnsi="Aptos" w:cs="Times New Roman"/>
          <w:kern w:val="0"/>
          <w:sz w:val="22"/>
          <w:szCs w:val="22"/>
          <w:lang w:eastAsia="en-GB"/>
          <w14:ligatures w14:val="none"/>
        </w:rPr>
        <w:t>δ·i_t^foreign</w:t>
      </w:r>
      <w:proofErr w:type="spellEnd"/>
      <w:r w:rsidRPr="00B84586">
        <w:rPr>
          <w:rFonts w:ascii="Aptos" w:eastAsia="Times New Roman" w:hAnsi="Aptos" w:cs="Times New Roman"/>
          <w:kern w:val="0"/>
          <w:sz w:val="22"/>
          <w:szCs w:val="22"/>
          <w:lang w:eastAsia="en-GB"/>
          <w14:ligatures w14:val="none"/>
        </w:rPr>
        <w:t xml:space="preserve"> for EM banks responding to currency and external rates.</w:t>
      </w:r>
    </w:p>
    <w:p w14:paraId="0CD13E38" w14:textId="77777777" w:rsidR="00B84586" w:rsidRPr="00B84586" w:rsidRDefault="00B84586" w:rsidP="00B8458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kern w:val="0"/>
          <w:sz w:val="22"/>
          <w:szCs w:val="22"/>
          <w:lang w:eastAsia="en-GB"/>
          <w14:ligatures w14:val="none"/>
        </w:rPr>
        <w:t xml:space="preserve">The </w:t>
      </w:r>
      <w:r w:rsidRPr="00B84586">
        <w:rPr>
          <w:rFonts w:ascii="Aptos" w:eastAsia="Times New Roman" w:hAnsi="Aptos" w:cs="Times New Roman"/>
          <w:b/>
          <w:bCs/>
          <w:kern w:val="0"/>
          <w:sz w:val="22"/>
          <w:szCs w:val="22"/>
          <w:lang w:eastAsia="en-GB"/>
          <w14:ligatures w14:val="none"/>
        </w:rPr>
        <w:t>Taylor principle</w:t>
      </w:r>
      <w:r w:rsidRPr="00B84586">
        <w:rPr>
          <w:rFonts w:ascii="Aptos" w:eastAsia="Times New Roman" w:hAnsi="Aptos" w:cs="Times New Roman"/>
          <w:kern w:val="0"/>
          <w:sz w:val="22"/>
          <w:szCs w:val="22"/>
          <w:lang w:eastAsia="en-GB"/>
          <w14:ligatures w14:val="none"/>
        </w:rPr>
        <w:t xml:space="preserve"> requires α &gt; 1: the bank must raise nominal rates more than one-for-one with inflation to </w:t>
      </w:r>
      <w:proofErr w:type="gramStart"/>
      <w:r w:rsidRPr="00B84586">
        <w:rPr>
          <w:rFonts w:ascii="Aptos" w:eastAsia="Times New Roman" w:hAnsi="Aptos" w:cs="Times New Roman"/>
          <w:kern w:val="0"/>
          <w:sz w:val="22"/>
          <w:szCs w:val="22"/>
          <w:lang w:eastAsia="en-GB"/>
          <w14:ligatures w14:val="none"/>
        </w:rPr>
        <w:t>actually raise</w:t>
      </w:r>
      <w:proofErr w:type="gramEnd"/>
      <w:r w:rsidRPr="00B84586">
        <w:rPr>
          <w:rFonts w:ascii="Aptos" w:eastAsia="Times New Roman" w:hAnsi="Aptos" w:cs="Times New Roman"/>
          <w:kern w:val="0"/>
          <w:sz w:val="22"/>
          <w:szCs w:val="22"/>
          <w:lang w:eastAsia="en-GB"/>
          <w14:ligatures w14:val="none"/>
        </w:rPr>
        <w:t xml:space="preserve"> </w:t>
      </w:r>
      <w:r w:rsidRPr="00B84586">
        <w:rPr>
          <w:rFonts w:ascii="Aptos" w:eastAsia="Times New Roman" w:hAnsi="Aptos" w:cs="Times New Roman"/>
          <w:i/>
          <w:iCs/>
          <w:kern w:val="0"/>
          <w:sz w:val="22"/>
          <w:szCs w:val="22"/>
          <w:lang w:eastAsia="en-GB"/>
          <w14:ligatures w14:val="none"/>
        </w:rPr>
        <w:t>real</w:t>
      </w:r>
      <w:r w:rsidRPr="00B84586">
        <w:rPr>
          <w:rFonts w:ascii="Aptos" w:eastAsia="Times New Roman" w:hAnsi="Aptos" w:cs="Times New Roman"/>
          <w:kern w:val="0"/>
          <w:sz w:val="22"/>
          <w:szCs w:val="22"/>
          <w:lang w:eastAsia="en-GB"/>
          <w14:ligatures w14:val="none"/>
        </w:rPr>
        <w:t xml:space="preserve"> rates. If α &lt; 1, the rule is indeterminate — inflation expectations can spiral.</w:t>
      </w:r>
    </w:p>
    <w:p w14:paraId="524C98F3" w14:textId="77777777" w:rsidR="00B84586" w:rsidRPr="00B84586" w:rsidRDefault="00B84586" w:rsidP="00B8458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kern w:val="0"/>
          <w:sz w:val="22"/>
          <w:szCs w:val="22"/>
          <w:lang w:eastAsia="en-GB"/>
          <w14:ligatures w14:val="none"/>
        </w:rPr>
        <w:t>The estimated coefficient vector θ̂ = {α̂, β̂, ρ̂, γ̂, δ̂} is the bank's reduced-form identity. High α: inflation-targeting hawk. High β: dual-mandate dove. High ρ: gradualist. High γ: fear-of-floating EM bank. When these coefficients drift over time, the bank's identity is changing — sometimes silently. The Volcker, Greenspan, and Bernanke Fed regimes each had measurably different coefficient profiles, often before any announced strategy change.</w:t>
      </w:r>
    </w:p>
    <w:p w14:paraId="5F947B5E" w14:textId="77777777" w:rsidR="00B84586" w:rsidRPr="00B84586" w:rsidRDefault="00000000" w:rsidP="00B84586">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1191C68F">
          <v:rect id="_x0000_i1025" alt="" style="width:451.3pt;height:.05pt;mso-width-percent:0;mso-height-percent:0;mso-width-percent:0;mso-height-percent:0" o:hralign="center" o:hrstd="t" o:hr="t" fillcolor="#a0a0a0" stroked="f"/>
        </w:pict>
      </w:r>
    </w:p>
    <w:p w14:paraId="5E4D9DDD" w14:textId="77777777" w:rsidR="00B84586" w:rsidRPr="00B84586" w:rsidRDefault="00B84586" w:rsidP="00B8458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b/>
          <w:bCs/>
          <w:kern w:val="0"/>
          <w:sz w:val="22"/>
          <w:szCs w:val="22"/>
          <w:lang w:eastAsia="en-GB"/>
          <w14:ligatures w14:val="none"/>
        </w:rPr>
        <w:t>Sub-node: Why this matters for asset prices</w:t>
      </w:r>
    </w:p>
    <w:p w14:paraId="62AE0385" w14:textId="77777777" w:rsidR="00B84586" w:rsidRPr="00B84586" w:rsidRDefault="00B84586" w:rsidP="00B8458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kern w:val="0"/>
          <w:sz w:val="22"/>
          <w:szCs w:val="22"/>
          <w:lang w:eastAsia="en-GB"/>
          <w14:ligatures w14:val="none"/>
        </w:rPr>
        <w:t>Once the bank has a known reaction function, the data itself becomes the policy signal. A high CPI print is not just news about inflation — it is news about the next rate decision. Markets re-price the entire yield curve before the bank meets because they can compute what the bank will do. This is why CPI prints often move bonds more than rate decisions themselves: the decision is already priced in by the time it arrives. The surprise in the data is what does the work.</w:t>
      </w:r>
    </w:p>
    <w:p w14:paraId="48C9F628" w14:textId="77777777" w:rsidR="00B84586" w:rsidRPr="00B84586" w:rsidRDefault="00B84586" w:rsidP="00B8458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kern w:val="0"/>
          <w:sz w:val="22"/>
          <w:szCs w:val="22"/>
          <w:lang w:eastAsia="en-GB"/>
          <w14:ligatures w14:val="none"/>
        </w:rPr>
        <w:t xml:space="preserve">A second implication: </w:t>
      </w:r>
      <w:r w:rsidRPr="00B84586">
        <w:rPr>
          <w:rFonts w:ascii="Aptos" w:eastAsia="Times New Roman" w:hAnsi="Aptos" w:cs="Times New Roman"/>
          <w:b/>
          <w:bCs/>
          <w:kern w:val="0"/>
          <w:sz w:val="22"/>
          <w:szCs w:val="22"/>
          <w:lang w:eastAsia="en-GB"/>
          <w14:ligatures w14:val="none"/>
        </w:rPr>
        <w:t>credibility is the stability of the rule</w:t>
      </w:r>
      <w:r w:rsidRPr="00B84586">
        <w:rPr>
          <w:rFonts w:ascii="Aptos" w:eastAsia="Times New Roman" w:hAnsi="Aptos" w:cs="Times New Roman"/>
          <w:kern w:val="0"/>
          <w:sz w:val="22"/>
          <w:szCs w:val="22"/>
          <w:lang w:eastAsia="en-GB"/>
          <w14:ligatures w14:val="none"/>
        </w:rPr>
        <w:t>, not the level of any one variable. A bank with stable coefficients has high credibility because markets can extrapolate; a bank with drifting coefficients has low credibility because markets must guess what they are responding to. Long-end yields and break-evens are direct reads on perceived rule stability.</w:t>
      </w:r>
    </w:p>
    <w:p w14:paraId="06F54B81" w14:textId="77777777" w:rsidR="00B84586" w:rsidRPr="00B84586" w:rsidRDefault="00000000" w:rsidP="00B84586">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26E8E860">
          <v:rect id="_x0000_i1026" alt="" style="width:451.3pt;height:.05pt;mso-width-percent:0;mso-height-percent:0;mso-width-percent:0;mso-height-percent:0" o:hralign="center" o:hrstd="t" o:hr="t" fillcolor="#a0a0a0" stroked="f"/>
        </w:pict>
      </w:r>
    </w:p>
    <w:p w14:paraId="0B5E47B8" w14:textId="77777777" w:rsidR="00B84586" w:rsidRPr="00B84586" w:rsidRDefault="00B84586" w:rsidP="00B8458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b/>
          <w:bCs/>
          <w:kern w:val="0"/>
          <w:sz w:val="22"/>
          <w:szCs w:val="22"/>
          <w:lang w:eastAsia="en-GB"/>
          <w14:ligatures w14:val="none"/>
        </w:rPr>
        <w:t>Sub-node: EM extension</w:t>
      </w:r>
    </w:p>
    <w:p w14:paraId="3AF205A2" w14:textId="77777777" w:rsidR="00B84586" w:rsidRPr="00B84586" w:rsidRDefault="00B84586" w:rsidP="00B8458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kern w:val="0"/>
          <w:sz w:val="22"/>
          <w:szCs w:val="22"/>
          <w:lang w:eastAsia="en-GB"/>
          <w14:ligatures w14:val="none"/>
        </w:rPr>
        <w:t>Most EM central banks have reaction functions richer than the DM specification:</w:t>
      </w:r>
    </w:p>
    <w:p w14:paraId="71CEDCA2" w14:textId="77777777" w:rsidR="00B84586" w:rsidRPr="00B84586" w:rsidRDefault="00B84586" w:rsidP="00B84586">
      <w:p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B84586">
        <w:rPr>
          <w:rFonts w:ascii="Aptos" w:eastAsia="Times New Roman" w:hAnsi="Aptos" w:cs="Times New Roman"/>
          <w:kern w:val="0"/>
          <w:sz w:val="22"/>
          <w:szCs w:val="22"/>
          <w:lang w:eastAsia="en-GB"/>
          <w14:ligatures w14:val="none"/>
        </w:rPr>
        <w:t>i_t</w:t>
      </w:r>
      <w:proofErr w:type="spellEnd"/>
      <w:r w:rsidRPr="00B84586">
        <w:rPr>
          <w:rFonts w:ascii="Aptos" w:eastAsia="Times New Roman" w:hAnsi="Aptos" w:cs="Times New Roman"/>
          <w:kern w:val="0"/>
          <w:sz w:val="22"/>
          <w:szCs w:val="22"/>
          <w:lang w:eastAsia="en-GB"/>
          <w14:ligatures w14:val="none"/>
        </w:rPr>
        <w:t xml:space="preserve"> = </w:t>
      </w:r>
      <w:proofErr w:type="gramStart"/>
      <w:r w:rsidRPr="00B84586">
        <w:rPr>
          <w:rFonts w:ascii="Aptos" w:eastAsia="Times New Roman" w:hAnsi="Aptos" w:cs="Times New Roman"/>
          <w:kern w:val="0"/>
          <w:sz w:val="22"/>
          <w:szCs w:val="22"/>
          <w:lang w:eastAsia="en-GB"/>
          <w14:ligatures w14:val="none"/>
        </w:rPr>
        <w:t>f(</w:t>
      </w:r>
      <w:proofErr w:type="gramEnd"/>
      <w:r w:rsidRPr="00B84586">
        <w:rPr>
          <w:rFonts w:ascii="Aptos" w:eastAsia="Times New Roman" w:hAnsi="Aptos" w:cs="Times New Roman"/>
          <w:kern w:val="0"/>
          <w:sz w:val="22"/>
          <w:szCs w:val="22"/>
          <w:lang w:eastAsia="en-GB"/>
          <w14:ligatures w14:val="none"/>
        </w:rPr>
        <w:t>π gap, output gap, FX, financial conditions, foreign rate)</w:t>
      </w:r>
    </w:p>
    <w:p w14:paraId="27F32951" w14:textId="77777777" w:rsidR="00B84586" w:rsidRPr="00B84586" w:rsidRDefault="00B84586" w:rsidP="00B8458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kern w:val="0"/>
          <w:sz w:val="22"/>
          <w:szCs w:val="22"/>
          <w:lang w:eastAsia="en-GB"/>
          <w14:ligatures w14:val="none"/>
        </w:rPr>
        <w:t>A weak currency forces hikes even when inflation and growth would suggest holding. This is the "fear of floating" extension (Calvo-Reinhart 2002). It is why EM curves are more FX-sensitive than DM curves — the market knows the bank will respond to the currency. The Aron-</w:t>
      </w:r>
      <w:proofErr w:type="spellStart"/>
      <w:r w:rsidRPr="00B84586">
        <w:rPr>
          <w:rFonts w:ascii="Aptos" w:eastAsia="Times New Roman" w:hAnsi="Aptos" w:cs="Times New Roman"/>
          <w:kern w:val="0"/>
          <w:sz w:val="22"/>
          <w:szCs w:val="22"/>
          <w:lang w:eastAsia="en-GB"/>
          <w14:ligatures w14:val="none"/>
        </w:rPr>
        <w:t>Muellbauer</w:t>
      </w:r>
      <w:proofErr w:type="spellEnd"/>
      <w:r w:rsidRPr="00B84586">
        <w:rPr>
          <w:rFonts w:ascii="Aptos" w:eastAsia="Times New Roman" w:hAnsi="Aptos" w:cs="Times New Roman"/>
          <w:kern w:val="0"/>
          <w:sz w:val="22"/>
          <w:szCs w:val="22"/>
          <w:lang w:eastAsia="en-GB"/>
          <w14:ligatures w14:val="none"/>
        </w:rPr>
        <w:t xml:space="preserve"> (2007) specification for SARB explicitly includes the REER and the Fed funds rate; Mohanty-Klau (2005) generalised this across a panel of EM banks.</w:t>
      </w:r>
    </w:p>
    <w:p w14:paraId="3684C2A5" w14:textId="77777777" w:rsidR="00B84586" w:rsidRPr="00B84586" w:rsidRDefault="00B84586" w:rsidP="00B8458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kern w:val="0"/>
          <w:sz w:val="22"/>
          <w:szCs w:val="22"/>
          <w:lang w:eastAsia="en-GB"/>
          <w14:ligatures w14:val="none"/>
        </w:rPr>
        <w:t>The EM extension matters for two reasons. First, it changes which data prints move EM curves — DXY surprises matter as much as domestic CPI. Second, it embeds a constraint the DM rule does not have: the EM rule responds to global conditions whether the bank likes it or not. The trilemma binds even with floating FX (Rey 2013).</w:t>
      </w:r>
    </w:p>
    <w:p w14:paraId="1E2C12F4" w14:textId="77777777" w:rsidR="00B84586" w:rsidRPr="00B84586" w:rsidRDefault="00000000" w:rsidP="00B84586">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6A1E28AB">
          <v:rect id="_x0000_i1027" alt="" style="width:451.3pt;height:.05pt;mso-width-percent:0;mso-height-percent:0;mso-width-percent:0;mso-height-percent:0" o:hralign="center" o:hrstd="t" o:hr="t" fillcolor="#a0a0a0" stroked="f"/>
        </w:pict>
      </w:r>
    </w:p>
    <w:p w14:paraId="1BDFDA68" w14:textId="77777777" w:rsidR="00B84586" w:rsidRPr="00B84586" w:rsidRDefault="00B84586" w:rsidP="00B8458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b/>
          <w:bCs/>
          <w:kern w:val="0"/>
          <w:sz w:val="22"/>
          <w:szCs w:val="22"/>
          <w:lang w:eastAsia="en-GB"/>
          <w14:ligatures w14:val="none"/>
        </w:rPr>
        <w:t>Sub-node: Empirical pitfalls</w:t>
      </w:r>
    </w:p>
    <w:p w14:paraId="75CA915C" w14:textId="77777777" w:rsidR="00B84586" w:rsidRPr="00B84586" w:rsidRDefault="00B84586" w:rsidP="00B8458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kern w:val="0"/>
          <w:sz w:val="22"/>
          <w:szCs w:val="22"/>
          <w:lang w:eastAsia="en-GB"/>
          <w14:ligatures w14:val="none"/>
        </w:rPr>
        <w:lastRenderedPageBreak/>
        <w:t>Three difficulties recur across the panel.</w:t>
      </w:r>
    </w:p>
    <w:p w14:paraId="77375E7F" w14:textId="77777777" w:rsidR="00B84586" w:rsidRPr="00B84586" w:rsidRDefault="00B84586" w:rsidP="00B8458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i/>
          <w:iCs/>
          <w:kern w:val="0"/>
          <w:sz w:val="22"/>
          <w:szCs w:val="22"/>
          <w:lang w:eastAsia="en-GB"/>
          <w14:ligatures w14:val="none"/>
        </w:rPr>
        <w:t>The Lucas critique.</w:t>
      </w:r>
      <w:r w:rsidRPr="00B84586">
        <w:rPr>
          <w:rFonts w:ascii="Aptos" w:eastAsia="Times New Roman" w:hAnsi="Aptos" w:cs="Times New Roman"/>
          <w:kern w:val="0"/>
          <w:sz w:val="22"/>
          <w:szCs w:val="22"/>
          <w:lang w:eastAsia="en-GB"/>
          <w14:ligatures w14:val="none"/>
        </w:rPr>
        <w:t xml:space="preserve"> Reaction function estimates are </w:t>
      </w:r>
      <w:proofErr w:type="gramStart"/>
      <w:r w:rsidRPr="00B84586">
        <w:rPr>
          <w:rFonts w:ascii="Aptos" w:eastAsia="Times New Roman" w:hAnsi="Aptos" w:cs="Times New Roman"/>
          <w:kern w:val="0"/>
          <w:sz w:val="22"/>
          <w:szCs w:val="22"/>
          <w:lang w:eastAsia="en-GB"/>
          <w14:ligatures w14:val="none"/>
        </w:rPr>
        <w:t>reduced-form</w:t>
      </w:r>
      <w:proofErr w:type="gramEnd"/>
      <w:r w:rsidRPr="00B84586">
        <w:rPr>
          <w:rFonts w:ascii="Aptos" w:eastAsia="Times New Roman" w:hAnsi="Aptos" w:cs="Times New Roman"/>
          <w:kern w:val="0"/>
          <w:sz w:val="22"/>
          <w:szCs w:val="22"/>
          <w:lang w:eastAsia="en-GB"/>
          <w14:ligatures w14:val="none"/>
        </w:rPr>
        <w:t>. The coefficients are equilibrium responses given expectations, which themselves depend on the rule. If the rule changes, the estimated coefficients will not be invariant — they shift with the regime. Estimated rules are predictive only within a regime, not across.</w:t>
      </w:r>
    </w:p>
    <w:p w14:paraId="22311384" w14:textId="77777777" w:rsidR="00B84586" w:rsidRPr="00B84586" w:rsidRDefault="00B84586" w:rsidP="00B8458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i/>
          <w:iCs/>
          <w:kern w:val="0"/>
          <w:sz w:val="22"/>
          <w:szCs w:val="22"/>
          <w:lang w:eastAsia="en-GB"/>
          <w14:ligatures w14:val="none"/>
        </w:rPr>
        <w:t>Real-time vs ex-post data.</w:t>
      </w:r>
      <w:r w:rsidRPr="00B84586">
        <w:rPr>
          <w:rFonts w:ascii="Aptos" w:eastAsia="Times New Roman" w:hAnsi="Aptos" w:cs="Times New Roman"/>
          <w:kern w:val="0"/>
          <w:sz w:val="22"/>
          <w:szCs w:val="22"/>
          <w:lang w:eastAsia="en-GB"/>
          <w14:ligatures w14:val="none"/>
        </w:rPr>
        <w:t xml:space="preserve"> Banks set policy on real-time data. Estimated rules using revised data overstate how well the bank fit the rule. Orphanides (2001) showed real-time output gap estimates for the 1970s Fed differ massively from later vintages — the Fed was reacting to mis-measured slack.</w:t>
      </w:r>
    </w:p>
    <w:p w14:paraId="4FC67FA6" w14:textId="77777777" w:rsidR="00B84586" w:rsidRPr="00B84586" w:rsidRDefault="00B84586" w:rsidP="00B8458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i/>
          <w:iCs/>
          <w:kern w:val="0"/>
          <w:sz w:val="22"/>
          <w:szCs w:val="22"/>
          <w:lang w:eastAsia="en-GB"/>
          <w14:ligatures w14:val="none"/>
        </w:rPr>
        <w:t>Identification.</w:t>
      </w:r>
      <w:r w:rsidRPr="00B84586">
        <w:rPr>
          <w:rFonts w:ascii="Aptos" w:eastAsia="Times New Roman" w:hAnsi="Aptos" w:cs="Times New Roman"/>
          <w:kern w:val="0"/>
          <w:sz w:val="22"/>
          <w:szCs w:val="22"/>
          <w:lang w:eastAsia="en-GB"/>
          <w14:ligatures w14:val="none"/>
        </w:rPr>
        <w:t xml:space="preserve"> The rate responds to the gaps; the gaps may respond to the rate. Clean estimation requires either timing assumptions (the bank reacts only to lagged data) or instruments (commodity prices, foreign shocks).</w:t>
      </w:r>
    </w:p>
    <w:p w14:paraId="0D1BF533" w14:textId="77777777" w:rsidR="00B84586" w:rsidRPr="00B84586" w:rsidRDefault="00000000" w:rsidP="00B84586">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5D4AE53A">
          <v:rect id="_x0000_i1028" alt="" style="width:451.3pt;height:.05pt;mso-width-percent:0;mso-height-percent:0;mso-width-percent:0;mso-height-percent:0" o:hralign="center" o:hrstd="t" o:hr="t" fillcolor="#a0a0a0" stroked="f"/>
        </w:pict>
      </w:r>
    </w:p>
    <w:p w14:paraId="049A5C9B" w14:textId="77777777" w:rsidR="00B84586" w:rsidRPr="00B84586" w:rsidRDefault="00B84586" w:rsidP="00B8458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b/>
          <w:bCs/>
          <w:kern w:val="0"/>
          <w:sz w:val="22"/>
          <w:szCs w:val="22"/>
          <w:lang w:eastAsia="en-GB"/>
          <w14:ligatures w14:val="none"/>
        </w:rPr>
        <w:t>Sub-node: Where dissonance lives</w:t>
      </w:r>
    </w:p>
    <w:p w14:paraId="30DF46D4" w14:textId="77777777" w:rsidR="00B84586" w:rsidRPr="00B84586" w:rsidRDefault="00B84586" w:rsidP="00B8458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kern w:val="0"/>
          <w:sz w:val="22"/>
          <w:szCs w:val="22"/>
          <w:lang w:eastAsia="en-GB"/>
          <w14:ligatures w14:val="none"/>
        </w:rPr>
        <w:t>Within L1, dissonance arises in two forms.</w:t>
      </w:r>
    </w:p>
    <w:p w14:paraId="00AD066A" w14:textId="77777777" w:rsidR="00B84586" w:rsidRPr="00B84586" w:rsidRDefault="00B84586" w:rsidP="00B8458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i/>
          <w:iCs/>
          <w:kern w:val="0"/>
          <w:sz w:val="22"/>
          <w:szCs w:val="22"/>
          <w:lang w:eastAsia="en-GB"/>
          <w14:ligatures w14:val="none"/>
        </w:rPr>
        <w:t>Intra-node, temporal.</w:t>
      </w:r>
      <w:r w:rsidRPr="00B84586">
        <w:rPr>
          <w:rFonts w:ascii="Aptos" w:eastAsia="Times New Roman" w:hAnsi="Aptos" w:cs="Times New Roman"/>
          <w:kern w:val="0"/>
          <w:sz w:val="22"/>
          <w:szCs w:val="22"/>
          <w:lang w:eastAsia="en-GB"/>
          <w14:ligatures w14:val="none"/>
        </w:rPr>
        <w:t xml:space="preserve"> The coefficient vector θ̂ drifts. Rolling-window or TVP estimates of θ̂ that move outside historical ranges signal the rule itself is changing — silent regime shift. This is the within-L1 intra-node dissonance metric.</w:t>
      </w:r>
    </w:p>
    <w:p w14:paraId="08DBCA5B" w14:textId="77777777" w:rsidR="00B84586" w:rsidRPr="00B84586" w:rsidRDefault="00B84586" w:rsidP="00B8458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i/>
          <w:iCs/>
          <w:kern w:val="0"/>
          <w:sz w:val="22"/>
          <w:szCs w:val="22"/>
          <w:lang w:eastAsia="en-GB"/>
          <w14:ligatures w14:val="none"/>
        </w:rPr>
        <w:t>Vertical, L1 → L3a.</w:t>
      </w:r>
      <w:r w:rsidRPr="00B84586">
        <w:rPr>
          <w:rFonts w:ascii="Aptos" w:eastAsia="Times New Roman" w:hAnsi="Aptos" w:cs="Times New Roman"/>
          <w:kern w:val="0"/>
          <w:sz w:val="22"/>
          <w:szCs w:val="22"/>
          <w:lang w:eastAsia="en-GB"/>
          <w14:ligatures w14:val="none"/>
        </w:rPr>
        <w:t xml:space="preserve"> The Taylor residual. The rule says do </w:t>
      </w:r>
      <w:proofErr w:type="spellStart"/>
      <w:r w:rsidRPr="00B84586">
        <w:rPr>
          <w:rFonts w:ascii="Aptos" w:eastAsia="Times New Roman" w:hAnsi="Aptos" w:cs="Times New Roman"/>
          <w:kern w:val="0"/>
          <w:sz w:val="22"/>
          <w:szCs w:val="22"/>
          <w:lang w:eastAsia="en-GB"/>
          <w14:ligatures w14:val="none"/>
        </w:rPr>
        <w:t>i</w:t>
      </w:r>
      <w:r w:rsidRPr="00B84586">
        <w:rPr>
          <w:rFonts w:ascii="Aptos" w:eastAsia="Times New Roman" w:hAnsi="Aptos" w:cs="Times New Roman"/>
          <w:i/>
          <w:iCs/>
          <w:kern w:val="0"/>
          <w:sz w:val="22"/>
          <w:szCs w:val="22"/>
          <w:lang w:eastAsia="en-GB"/>
          <w14:ligatures w14:val="none"/>
        </w:rPr>
        <w:t>_t</w:t>
      </w:r>
      <w:proofErr w:type="spellEnd"/>
      <w:r w:rsidRPr="00B84586">
        <w:rPr>
          <w:rFonts w:ascii="Aptos" w:eastAsia="Times New Roman" w:hAnsi="Aptos" w:cs="Times New Roman"/>
          <w:i/>
          <w:iCs/>
          <w:kern w:val="0"/>
          <w:sz w:val="22"/>
          <w:szCs w:val="22"/>
          <w:lang w:eastAsia="en-GB"/>
          <w14:ligatures w14:val="none"/>
        </w:rPr>
        <w:t xml:space="preserve">; the bank does </w:t>
      </w:r>
      <w:proofErr w:type="spellStart"/>
      <w:r w:rsidRPr="00B84586">
        <w:rPr>
          <w:rFonts w:ascii="Aptos" w:eastAsia="Times New Roman" w:hAnsi="Aptos" w:cs="Times New Roman"/>
          <w:i/>
          <w:iCs/>
          <w:kern w:val="0"/>
          <w:sz w:val="22"/>
          <w:szCs w:val="22"/>
          <w:lang w:eastAsia="en-GB"/>
          <w14:ligatures w14:val="none"/>
        </w:rPr>
        <w:t>i_t</w:t>
      </w:r>
      <w:proofErr w:type="spellEnd"/>
      <w:r w:rsidRPr="00B84586">
        <w:rPr>
          <w:rFonts w:ascii="Aptos" w:eastAsia="Times New Roman" w:hAnsi="Aptos" w:cs="Times New Roman"/>
          <w:i/>
          <w:iCs/>
          <w:kern w:val="0"/>
          <w:sz w:val="22"/>
          <w:szCs w:val="22"/>
          <w:lang w:eastAsia="en-GB"/>
          <w14:ligatures w14:val="none"/>
        </w:rPr>
        <w:t xml:space="preserve">. The deviation </w:t>
      </w:r>
      <w:proofErr w:type="spellStart"/>
      <w:r w:rsidRPr="00B84586">
        <w:rPr>
          <w:rFonts w:ascii="Aptos" w:eastAsia="Times New Roman" w:hAnsi="Aptos" w:cs="Times New Roman"/>
          <w:i/>
          <w:iCs/>
          <w:kern w:val="0"/>
          <w:sz w:val="22"/>
          <w:szCs w:val="22"/>
          <w:lang w:eastAsia="en-GB"/>
          <w14:ligatures w14:val="none"/>
        </w:rPr>
        <w:t>ε_t</w:t>
      </w:r>
      <w:proofErr w:type="spellEnd"/>
      <w:r w:rsidRPr="00B84586">
        <w:rPr>
          <w:rFonts w:ascii="Aptos" w:eastAsia="Times New Roman" w:hAnsi="Aptos" w:cs="Times New Roman"/>
          <w:i/>
          <w:iCs/>
          <w:kern w:val="0"/>
          <w:sz w:val="22"/>
          <w:szCs w:val="22"/>
          <w:lang w:eastAsia="en-GB"/>
          <w14:ligatures w14:val="none"/>
        </w:rPr>
        <w:t xml:space="preserve"> = </w:t>
      </w:r>
      <w:proofErr w:type="spellStart"/>
      <w:r w:rsidRPr="00B84586">
        <w:rPr>
          <w:rFonts w:ascii="Aptos" w:eastAsia="Times New Roman" w:hAnsi="Aptos" w:cs="Times New Roman"/>
          <w:i/>
          <w:iCs/>
          <w:kern w:val="0"/>
          <w:sz w:val="22"/>
          <w:szCs w:val="22"/>
          <w:lang w:eastAsia="en-GB"/>
          <w14:ligatures w14:val="none"/>
        </w:rPr>
        <w:t>i_t</w:t>
      </w:r>
      <w:proofErr w:type="spellEnd"/>
      <w:r w:rsidRPr="00B84586">
        <w:rPr>
          <w:rFonts w:ascii="Aptos" w:eastAsia="Times New Roman" w:hAnsi="Aptos" w:cs="Times New Roman"/>
          <w:i/>
          <w:iCs/>
          <w:kern w:val="0"/>
          <w:sz w:val="22"/>
          <w:szCs w:val="22"/>
          <w:lang w:eastAsia="en-GB"/>
          <w14:ligatures w14:val="none"/>
        </w:rPr>
        <w:t xml:space="preserve"> − </w:t>
      </w:r>
      <w:proofErr w:type="spellStart"/>
      <w:r w:rsidRPr="00B84586">
        <w:rPr>
          <w:rFonts w:ascii="Aptos" w:eastAsia="Times New Roman" w:hAnsi="Aptos" w:cs="Times New Roman"/>
          <w:i/>
          <w:iCs/>
          <w:kern w:val="0"/>
          <w:sz w:val="22"/>
          <w:szCs w:val="22"/>
          <w:lang w:eastAsia="en-GB"/>
          <w14:ligatures w14:val="none"/>
        </w:rPr>
        <w:t>i</w:t>
      </w:r>
      <w:r w:rsidRPr="00B84586">
        <w:rPr>
          <w:rFonts w:ascii="Aptos" w:eastAsia="Times New Roman" w:hAnsi="Aptos" w:cs="Times New Roman"/>
          <w:kern w:val="0"/>
          <w:sz w:val="22"/>
          <w:szCs w:val="22"/>
          <w:lang w:eastAsia="en-GB"/>
          <w14:ligatures w14:val="none"/>
        </w:rPr>
        <w:t>_t</w:t>
      </w:r>
      <w:proofErr w:type="spellEnd"/>
      <w:r w:rsidRPr="00B84586">
        <w:rPr>
          <w:rFonts w:ascii="Aptos" w:eastAsia="Times New Roman" w:hAnsi="Aptos" w:cs="Times New Roman"/>
          <w:kern w:val="0"/>
          <w:sz w:val="22"/>
          <w:szCs w:val="22"/>
          <w:lang w:eastAsia="en-GB"/>
          <w14:ligatures w14:val="none"/>
        </w:rPr>
        <w:t xml:space="preserve"> is the bank choosing not to follow its own rule. Small residuals: the rule is intact. Large or persistent residuals: the bank is acting on something the rule does not capture — a new shock, a new constraint, a new mandate.</w:t>
      </w:r>
    </w:p>
    <w:p w14:paraId="72EEC139" w14:textId="77777777" w:rsidR="00B84586" w:rsidRPr="00B84586" w:rsidRDefault="00B84586" w:rsidP="00B8458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kern w:val="0"/>
          <w:sz w:val="22"/>
          <w:szCs w:val="22"/>
          <w:lang w:eastAsia="en-GB"/>
          <w14:ligatures w14:val="none"/>
        </w:rPr>
        <w:t xml:space="preserve">The L1 node is where the bank's </w:t>
      </w:r>
      <w:r w:rsidRPr="00B84586">
        <w:rPr>
          <w:rFonts w:ascii="Aptos" w:eastAsia="Times New Roman" w:hAnsi="Aptos" w:cs="Times New Roman"/>
          <w:i/>
          <w:iCs/>
          <w:kern w:val="0"/>
          <w:sz w:val="22"/>
          <w:szCs w:val="22"/>
          <w:lang w:eastAsia="en-GB"/>
          <w14:ligatures w14:val="none"/>
        </w:rPr>
        <w:t>systematic policy intent</w:t>
      </w:r>
      <w:r w:rsidRPr="00B84586">
        <w:rPr>
          <w:rFonts w:ascii="Aptos" w:eastAsia="Times New Roman" w:hAnsi="Aptos" w:cs="Times New Roman"/>
          <w:kern w:val="0"/>
          <w:sz w:val="22"/>
          <w:szCs w:val="22"/>
          <w:lang w:eastAsia="en-GB"/>
          <w14:ligatures w14:val="none"/>
        </w:rPr>
        <w:t xml:space="preserve"> lives. Dissonance at L1 means the intent itself is unstable. Markets pricing through that instability is the asset-price consequence.</w:t>
      </w:r>
    </w:p>
    <w:p w14:paraId="4C77ADF1" w14:textId="13B6AF83" w:rsidR="00B84586" w:rsidRPr="00B84586" w:rsidRDefault="00B84586" w:rsidP="00B84586">
      <w:pPr>
        <w:spacing w:after="0" w:line="240" w:lineRule="auto"/>
        <w:rPr>
          <w:rFonts w:ascii="Aptos" w:eastAsia="Times New Roman" w:hAnsi="Aptos" w:cs="Times New Roman"/>
          <w:kern w:val="0"/>
          <w:sz w:val="22"/>
          <w:szCs w:val="22"/>
          <w:lang w:eastAsia="en-GB"/>
          <w14:ligatures w14:val="none"/>
        </w:rPr>
      </w:pPr>
    </w:p>
    <w:p w14:paraId="686501EF" w14:textId="77777777" w:rsidR="00283383" w:rsidRDefault="00283383" w:rsidP="00283383">
      <w:pPr>
        <w:rPr>
          <w:rFonts w:ascii="Aptos" w:hAnsi="Aptos"/>
          <w:sz w:val="22"/>
          <w:szCs w:val="22"/>
          <w:lang w:val="en-US"/>
        </w:rPr>
      </w:pPr>
    </w:p>
    <w:p w14:paraId="6CF32A99" w14:textId="77777777" w:rsidR="00B84586" w:rsidRDefault="00B84586" w:rsidP="00283383">
      <w:pPr>
        <w:rPr>
          <w:rFonts w:ascii="Aptos" w:hAnsi="Aptos"/>
          <w:sz w:val="22"/>
          <w:szCs w:val="22"/>
          <w:lang w:val="en-US"/>
        </w:rPr>
      </w:pPr>
    </w:p>
    <w:p w14:paraId="18454C86" w14:textId="77777777" w:rsidR="00B84586" w:rsidRDefault="00B84586" w:rsidP="00283383">
      <w:pPr>
        <w:rPr>
          <w:rFonts w:ascii="Aptos" w:hAnsi="Aptos"/>
          <w:sz w:val="22"/>
          <w:szCs w:val="22"/>
          <w:lang w:val="en-US"/>
        </w:rPr>
      </w:pPr>
    </w:p>
    <w:p w14:paraId="3E081186" w14:textId="77777777" w:rsidR="00B84586" w:rsidRDefault="00B84586" w:rsidP="00283383">
      <w:pPr>
        <w:rPr>
          <w:rFonts w:ascii="Aptos" w:hAnsi="Aptos"/>
          <w:sz w:val="22"/>
          <w:szCs w:val="22"/>
          <w:lang w:val="en-US"/>
        </w:rPr>
      </w:pPr>
    </w:p>
    <w:p w14:paraId="319B2B7F" w14:textId="77777777" w:rsidR="00B84586" w:rsidRDefault="00B84586" w:rsidP="00283383">
      <w:pPr>
        <w:rPr>
          <w:rFonts w:ascii="Aptos" w:hAnsi="Aptos"/>
          <w:sz w:val="22"/>
          <w:szCs w:val="22"/>
          <w:lang w:val="en-US"/>
        </w:rPr>
      </w:pPr>
    </w:p>
    <w:p w14:paraId="484222AC" w14:textId="77777777" w:rsidR="00B84586" w:rsidRDefault="00B84586" w:rsidP="00283383">
      <w:pPr>
        <w:rPr>
          <w:rFonts w:ascii="Aptos" w:hAnsi="Aptos"/>
          <w:sz w:val="22"/>
          <w:szCs w:val="22"/>
          <w:lang w:val="en-US"/>
        </w:rPr>
      </w:pPr>
    </w:p>
    <w:p w14:paraId="21CB299C" w14:textId="77777777" w:rsidR="00B84586" w:rsidRPr="00B84586" w:rsidRDefault="00B84586" w:rsidP="00283383">
      <w:pPr>
        <w:rPr>
          <w:rFonts w:ascii="Aptos" w:hAnsi="Aptos"/>
          <w:sz w:val="22"/>
          <w:szCs w:val="22"/>
          <w:lang w:val="en-US"/>
        </w:rPr>
      </w:pPr>
    </w:p>
    <w:p w14:paraId="4986E637" w14:textId="0A080C68" w:rsidR="00283383" w:rsidRPr="00B84586" w:rsidRDefault="00283383" w:rsidP="00B84586">
      <w:pPr>
        <w:jc w:val="center"/>
        <w:rPr>
          <w:rFonts w:ascii="Aptos" w:hAnsi="Aptos"/>
          <w:b/>
          <w:bCs/>
          <w:sz w:val="22"/>
          <w:szCs w:val="22"/>
          <w:lang w:val="en-US"/>
        </w:rPr>
      </w:pPr>
      <w:r w:rsidRPr="00B84586">
        <w:rPr>
          <w:rFonts w:ascii="Aptos" w:hAnsi="Aptos"/>
          <w:b/>
          <w:bCs/>
          <w:sz w:val="22"/>
          <w:szCs w:val="22"/>
          <w:lang w:val="en-US"/>
        </w:rPr>
        <w:t>Level 3: Instruments</w:t>
      </w:r>
    </w:p>
    <w:p w14:paraId="71A89A61" w14:textId="77777777" w:rsidR="001F2E56" w:rsidRPr="001F2E5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b/>
          <w:bCs/>
          <w:kern w:val="0"/>
          <w:sz w:val="22"/>
          <w:szCs w:val="22"/>
          <w:lang w:eastAsia="en-GB"/>
          <w14:ligatures w14:val="none"/>
        </w:rPr>
        <w:t>Level 3a — The Policy Rate</w:t>
      </w:r>
    </w:p>
    <w:p w14:paraId="27043052" w14:textId="77777777" w:rsidR="001F2E56" w:rsidRPr="00B8458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lastRenderedPageBreak/>
        <w:t>Definition.</w:t>
      </w:r>
      <w:r w:rsidRPr="001F2E56">
        <w:rPr>
          <w:rFonts w:ascii="Aptos" w:eastAsia="Times New Roman" w:hAnsi="Aptos" w:cs="Times New Roman"/>
          <w:kern w:val="0"/>
          <w:sz w:val="22"/>
          <w:szCs w:val="22"/>
          <w:lang w:eastAsia="en-GB"/>
          <w14:ligatures w14:val="none"/>
        </w:rPr>
        <w:t xml:space="preserve"> The policy rate is the interest rate the central bank charges or pays on overnight funds between itself and the banking system. It is the single price the bank directly controls. In the US, it is the federal funds target range. In SA, the repo rate. In the eurozone, the deposit facility rate. In Brazil, SELIC. The mechanism: the bank is the monopoly supplier of bank reserves, and by controlling the price (or quantity) of reserves it controls the marginal cost of bank funding. The policy rate is therefore not just a number — it is the price of liquidity in the banking system.</w:t>
      </w:r>
    </w:p>
    <w:p w14:paraId="6A97D132" w14:textId="44B320F5" w:rsidR="001F2E56" w:rsidRPr="001F2E5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b/>
          <w:bCs/>
          <w:kern w:val="0"/>
          <w:sz w:val="22"/>
          <w:szCs w:val="22"/>
          <w:lang w:eastAsia="en-GB"/>
          <w14:ligatures w14:val="none"/>
        </w:rPr>
        <w:t>Sub-node: Theory</w:t>
      </w:r>
    </w:p>
    <w:p w14:paraId="5D414860" w14:textId="77777777" w:rsidR="001F2E56" w:rsidRPr="001F2E5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kern w:val="0"/>
          <w:sz w:val="22"/>
          <w:szCs w:val="22"/>
          <w:lang w:eastAsia="en-GB"/>
          <w14:ligatures w14:val="none"/>
        </w:rPr>
        <w:t>Three foundations sit underneath the policy rate as the dominant monetary instrument.</w:t>
      </w:r>
    </w:p>
    <w:p w14:paraId="2C826338" w14:textId="77777777" w:rsidR="001F2E56" w:rsidRPr="001F2E5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1F2E56">
        <w:rPr>
          <w:rFonts w:ascii="Aptos" w:eastAsia="Times New Roman" w:hAnsi="Aptos" w:cs="Times New Roman"/>
          <w:i/>
          <w:iCs/>
          <w:kern w:val="0"/>
          <w:sz w:val="22"/>
          <w:szCs w:val="22"/>
          <w:lang w:eastAsia="en-GB"/>
          <w14:ligatures w14:val="none"/>
        </w:rPr>
        <w:t>Wicksellian</w:t>
      </w:r>
      <w:proofErr w:type="spellEnd"/>
      <w:r w:rsidRPr="001F2E56">
        <w:rPr>
          <w:rFonts w:ascii="Aptos" w:eastAsia="Times New Roman" w:hAnsi="Aptos" w:cs="Times New Roman"/>
          <w:i/>
          <w:iCs/>
          <w:kern w:val="0"/>
          <w:sz w:val="22"/>
          <w:szCs w:val="22"/>
          <w:lang w:eastAsia="en-GB"/>
          <w14:ligatures w14:val="none"/>
        </w:rPr>
        <w:t xml:space="preserve"> rate-setting.</w:t>
      </w:r>
      <w:r w:rsidRPr="001F2E56">
        <w:rPr>
          <w:rFonts w:ascii="Aptos" w:eastAsia="Times New Roman" w:hAnsi="Aptos" w:cs="Times New Roman"/>
          <w:kern w:val="0"/>
          <w:sz w:val="22"/>
          <w:szCs w:val="22"/>
          <w:lang w:eastAsia="en-GB"/>
          <w14:ligatures w14:val="none"/>
        </w:rPr>
        <w:t xml:space="preserve"> Wicksell distinguished the "natural rate" — the equilibrium rate consistent with stable inflation and full employment — from the "market rate" — what the bank </w:t>
      </w:r>
      <w:proofErr w:type="gramStart"/>
      <w:r w:rsidRPr="001F2E56">
        <w:rPr>
          <w:rFonts w:ascii="Aptos" w:eastAsia="Times New Roman" w:hAnsi="Aptos" w:cs="Times New Roman"/>
          <w:kern w:val="0"/>
          <w:sz w:val="22"/>
          <w:szCs w:val="22"/>
          <w:lang w:eastAsia="en-GB"/>
          <w14:ligatures w14:val="none"/>
        </w:rPr>
        <w:t>actually sets</w:t>
      </w:r>
      <w:proofErr w:type="gramEnd"/>
      <w:r w:rsidRPr="001F2E56">
        <w:rPr>
          <w:rFonts w:ascii="Aptos" w:eastAsia="Times New Roman" w:hAnsi="Aptos" w:cs="Times New Roman"/>
          <w:kern w:val="0"/>
          <w:sz w:val="22"/>
          <w:szCs w:val="22"/>
          <w:lang w:eastAsia="en-GB"/>
          <w14:ligatures w14:val="none"/>
        </w:rPr>
        <w:t xml:space="preserve">. When the market rate sits below the natural rate, inflation accelerates; above it, inflation decelerates. The bank's job is to set the market rate near the natural rate. Modern central banking is structurally </w:t>
      </w:r>
      <w:proofErr w:type="spellStart"/>
      <w:r w:rsidRPr="001F2E56">
        <w:rPr>
          <w:rFonts w:ascii="Aptos" w:eastAsia="Times New Roman" w:hAnsi="Aptos" w:cs="Times New Roman"/>
          <w:kern w:val="0"/>
          <w:sz w:val="22"/>
          <w:szCs w:val="22"/>
          <w:lang w:eastAsia="en-GB"/>
          <w14:ligatures w14:val="none"/>
        </w:rPr>
        <w:t>Wicksellian</w:t>
      </w:r>
      <w:proofErr w:type="spellEnd"/>
      <w:r w:rsidRPr="001F2E56">
        <w:rPr>
          <w:rFonts w:ascii="Aptos" w:eastAsia="Times New Roman" w:hAnsi="Aptos" w:cs="Times New Roman"/>
          <w:kern w:val="0"/>
          <w:sz w:val="22"/>
          <w:szCs w:val="22"/>
          <w:lang w:eastAsia="en-GB"/>
          <w14:ligatures w14:val="none"/>
        </w:rPr>
        <w:t>: the bank does not target money quantities; it sets the price of money and lets equilibrium adjust.</w:t>
      </w:r>
    </w:p>
    <w:p w14:paraId="212514BE" w14:textId="77777777" w:rsidR="001F2E56" w:rsidRPr="001F2E5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t>The expectations hypothesis.</w:t>
      </w:r>
      <w:r w:rsidRPr="001F2E56">
        <w:rPr>
          <w:rFonts w:ascii="Aptos" w:eastAsia="Times New Roman" w:hAnsi="Aptos" w:cs="Times New Roman"/>
          <w:kern w:val="0"/>
          <w:sz w:val="22"/>
          <w:szCs w:val="22"/>
          <w:lang w:eastAsia="en-GB"/>
          <w14:ligatures w14:val="none"/>
        </w:rPr>
        <w:t xml:space="preserve"> Long rates are weighted averages of expected future short rates plus a term premium. </w:t>
      </w:r>
      <w:proofErr w:type="gramStart"/>
      <w:r w:rsidRPr="001F2E56">
        <w:rPr>
          <w:rFonts w:ascii="Aptos" w:eastAsia="Times New Roman" w:hAnsi="Aptos" w:cs="Times New Roman"/>
          <w:kern w:val="0"/>
          <w:sz w:val="22"/>
          <w:szCs w:val="22"/>
          <w:lang w:eastAsia="en-GB"/>
          <w14:ligatures w14:val="none"/>
        </w:rPr>
        <w:t>So</w:t>
      </w:r>
      <w:proofErr w:type="gramEnd"/>
      <w:r w:rsidRPr="001F2E56">
        <w:rPr>
          <w:rFonts w:ascii="Aptos" w:eastAsia="Times New Roman" w:hAnsi="Aptos" w:cs="Times New Roman"/>
          <w:kern w:val="0"/>
          <w:sz w:val="22"/>
          <w:szCs w:val="22"/>
          <w:lang w:eastAsia="en-GB"/>
          <w14:ligatures w14:val="none"/>
        </w:rPr>
        <w:t xml:space="preserve"> a single overnight rate, properly communicated about its future path, transmits across the entire yield curve. Woodford (2003) showed in a New Keynesian framework that what matters for output and inflation is the </w:t>
      </w:r>
      <w:r w:rsidRPr="001F2E56">
        <w:rPr>
          <w:rFonts w:ascii="Aptos" w:eastAsia="Times New Roman" w:hAnsi="Aptos" w:cs="Times New Roman"/>
          <w:i/>
          <w:iCs/>
          <w:kern w:val="0"/>
          <w:sz w:val="22"/>
          <w:szCs w:val="22"/>
          <w:lang w:eastAsia="en-GB"/>
          <w14:ligatures w14:val="none"/>
        </w:rPr>
        <w:t>expected path</w:t>
      </w:r>
      <w:r w:rsidRPr="001F2E56">
        <w:rPr>
          <w:rFonts w:ascii="Aptos" w:eastAsia="Times New Roman" w:hAnsi="Aptos" w:cs="Times New Roman"/>
          <w:kern w:val="0"/>
          <w:sz w:val="22"/>
          <w:szCs w:val="22"/>
          <w:lang w:eastAsia="en-GB"/>
          <w14:ligatures w14:val="none"/>
        </w:rPr>
        <w:t xml:space="preserve"> of real short rates, not the level today. The bank does not need a tool for every maturity — one short rate plus credible communication about the path suffices.</w:t>
      </w:r>
    </w:p>
    <w:p w14:paraId="269975BF" w14:textId="77777777" w:rsidR="001F2E56" w:rsidRPr="001F2E5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t>Price-targeting vs quantity-targeting.</w:t>
      </w:r>
      <w:r w:rsidRPr="001F2E56">
        <w:rPr>
          <w:rFonts w:ascii="Aptos" w:eastAsia="Times New Roman" w:hAnsi="Aptos" w:cs="Times New Roman"/>
          <w:kern w:val="0"/>
          <w:sz w:val="22"/>
          <w:szCs w:val="22"/>
          <w:lang w:eastAsia="en-GB"/>
          <w14:ligatures w14:val="none"/>
        </w:rPr>
        <w:t xml:space="preserve"> Pre-1980s many central banks targeted money aggregates (M1, M2). The Volcker Fed shifted explicitly to a price target. The reason: financial innovation made the money-demand relation unstable, breaking the money-multiplier link. Price targeting is also more transparent and more accountable — markets can see what the bank is doing in real time.</w:t>
      </w:r>
    </w:p>
    <w:p w14:paraId="6846E71E" w14:textId="77777777" w:rsidR="001F2E56" w:rsidRPr="001F2E56" w:rsidRDefault="00000000" w:rsidP="001F2E56">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343B5C74">
          <v:rect id="_x0000_i1029" alt="" style="width:451.3pt;height:.05pt;mso-width-percent:0;mso-height-percent:0;mso-width-percent:0;mso-height-percent:0" o:hralign="center" o:hrstd="t" o:hr="t" fillcolor="#a0a0a0" stroked="f"/>
        </w:pict>
      </w:r>
    </w:p>
    <w:p w14:paraId="031D55B9" w14:textId="77777777" w:rsidR="001F2E56" w:rsidRPr="001F2E5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b/>
          <w:bCs/>
          <w:kern w:val="0"/>
          <w:sz w:val="22"/>
          <w:szCs w:val="22"/>
          <w:lang w:eastAsia="en-GB"/>
          <w14:ligatures w14:val="none"/>
        </w:rPr>
        <w:t>Sub-node: Canonical specifications and parameters</w:t>
      </w:r>
    </w:p>
    <w:p w14:paraId="176E5C4C" w14:textId="77777777" w:rsidR="001F2E56" w:rsidRPr="001F2E5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kern w:val="0"/>
          <w:sz w:val="22"/>
          <w:szCs w:val="22"/>
          <w:lang w:eastAsia="en-GB"/>
          <w14:ligatures w14:val="none"/>
        </w:rPr>
        <w:t xml:space="preserve">The policy rate is implemented operationally through a </w:t>
      </w:r>
      <w:r w:rsidRPr="001F2E56">
        <w:rPr>
          <w:rFonts w:ascii="Aptos" w:eastAsia="Times New Roman" w:hAnsi="Aptos" w:cs="Times New Roman"/>
          <w:i/>
          <w:iCs/>
          <w:kern w:val="0"/>
          <w:sz w:val="22"/>
          <w:szCs w:val="22"/>
          <w:lang w:eastAsia="en-GB"/>
          <w14:ligatures w14:val="none"/>
        </w:rPr>
        <w:t>corridor system</w:t>
      </w:r>
      <w:r w:rsidRPr="001F2E56">
        <w:rPr>
          <w:rFonts w:ascii="Aptos" w:eastAsia="Times New Roman" w:hAnsi="Aptos" w:cs="Times New Roman"/>
          <w:kern w:val="0"/>
          <w:sz w:val="22"/>
          <w:szCs w:val="22"/>
          <w:lang w:eastAsia="en-GB"/>
          <w14:ligatures w14:val="none"/>
        </w:rPr>
        <w:t>. Three rates define the corridor:</w:t>
      </w:r>
    </w:p>
    <w:p w14:paraId="7FD78B07" w14:textId="77777777" w:rsidR="001F2E56" w:rsidRPr="001F2E5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t>Floor:</w:t>
      </w:r>
      <w:r w:rsidRPr="001F2E56">
        <w:rPr>
          <w:rFonts w:ascii="Aptos" w:eastAsia="Times New Roman" w:hAnsi="Aptos" w:cs="Times New Roman"/>
          <w:kern w:val="0"/>
          <w:sz w:val="22"/>
          <w:szCs w:val="22"/>
          <w:lang w:eastAsia="en-GB"/>
          <w14:ligatures w14:val="none"/>
        </w:rPr>
        <w:t xml:space="preserve"> interest paid on reserves (Fed IORB, ECB deposit facility rate, SARB lower standing facility). Banks will not lend reserves below this; it is the lowest rate in the system.</w:t>
      </w:r>
    </w:p>
    <w:p w14:paraId="0AFD7DF6" w14:textId="77777777" w:rsidR="001F2E56" w:rsidRPr="001F2E5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t>Mid (or target):</w:t>
      </w:r>
      <w:r w:rsidRPr="001F2E56">
        <w:rPr>
          <w:rFonts w:ascii="Aptos" w:eastAsia="Times New Roman" w:hAnsi="Aptos" w:cs="Times New Roman"/>
          <w:kern w:val="0"/>
          <w:sz w:val="22"/>
          <w:szCs w:val="22"/>
          <w:lang w:eastAsia="en-GB"/>
          <w14:ligatures w14:val="none"/>
        </w:rPr>
        <w:t xml:space="preserve"> the announced policy rate. In normal times, the rate at which interbank lending clears.</w:t>
      </w:r>
    </w:p>
    <w:p w14:paraId="39D607EE" w14:textId="77777777" w:rsidR="001F2E56" w:rsidRPr="001F2E5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t>Ceiling:</w:t>
      </w:r>
      <w:r w:rsidRPr="001F2E56">
        <w:rPr>
          <w:rFonts w:ascii="Aptos" w:eastAsia="Times New Roman" w:hAnsi="Aptos" w:cs="Times New Roman"/>
          <w:kern w:val="0"/>
          <w:sz w:val="22"/>
          <w:szCs w:val="22"/>
          <w:lang w:eastAsia="en-GB"/>
          <w14:ligatures w14:val="none"/>
        </w:rPr>
        <w:t xml:space="preserve"> the discount window or standing lending facility. Banks will not pay more than this for overnight liquidity.</w:t>
      </w:r>
    </w:p>
    <w:p w14:paraId="62FB0CD3" w14:textId="77777777" w:rsidR="001F2E56" w:rsidRPr="001F2E5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kern w:val="0"/>
          <w:sz w:val="22"/>
          <w:szCs w:val="22"/>
          <w:lang w:eastAsia="en-GB"/>
          <w14:ligatures w14:val="none"/>
        </w:rPr>
        <w:t xml:space="preserve">The corridor width matters operationally. A narrow corridor pins overnight market rates tightly to the target. A wide corridor lets effective rates drift within the band. SARB runs a ±50bp corridor; </w:t>
      </w:r>
      <w:r w:rsidRPr="001F2E56">
        <w:rPr>
          <w:rFonts w:ascii="Aptos" w:eastAsia="Times New Roman" w:hAnsi="Aptos" w:cs="Times New Roman"/>
          <w:kern w:val="0"/>
          <w:sz w:val="22"/>
          <w:szCs w:val="22"/>
          <w:lang w:eastAsia="en-GB"/>
          <w14:ligatures w14:val="none"/>
        </w:rPr>
        <w:lastRenderedPageBreak/>
        <w:t>the Fed effectively runs a near-zero corridor in the post-2008 ample-reserves regime, with IORB and ON-RRP pinning the range.</w:t>
      </w:r>
    </w:p>
    <w:p w14:paraId="5427F2E9" w14:textId="77777777" w:rsidR="001F2E56" w:rsidRPr="001F2E5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kern w:val="0"/>
          <w:sz w:val="22"/>
          <w:szCs w:val="22"/>
          <w:lang w:eastAsia="en-GB"/>
          <w14:ligatures w14:val="none"/>
        </w:rPr>
        <w:t xml:space="preserve">There are two operational regimes. Pre-2008, banks ran </w:t>
      </w:r>
      <w:r w:rsidRPr="001F2E56">
        <w:rPr>
          <w:rFonts w:ascii="Aptos" w:eastAsia="Times New Roman" w:hAnsi="Aptos" w:cs="Times New Roman"/>
          <w:i/>
          <w:iCs/>
          <w:kern w:val="0"/>
          <w:sz w:val="22"/>
          <w:szCs w:val="22"/>
          <w:lang w:eastAsia="en-GB"/>
          <w14:ligatures w14:val="none"/>
        </w:rPr>
        <w:t>scarce-reserves</w:t>
      </w:r>
      <w:r w:rsidRPr="001F2E56">
        <w:rPr>
          <w:rFonts w:ascii="Aptos" w:eastAsia="Times New Roman" w:hAnsi="Aptos" w:cs="Times New Roman"/>
          <w:kern w:val="0"/>
          <w:sz w:val="22"/>
          <w:szCs w:val="22"/>
          <w:lang w:eastAsia="en-GB"/>
          <w14:ligatures w14:val="none"/>
        </w:rPr>
        <w:t xml:space="preserve"> systems where reserves were a binding constraint; the bank set the price by adjusting reserve quantities through open market operations. Post-2008, </w:t>
      </w:r>
      <w:r w:rsidRPr="001F2E56">
        <w:rPr>
          <w:rFonts w:ascii="Aptos" w:eastAsia="Times New Roman" w:hAnsi="Aptos" w:cs="Times New Roman"/>
          <w:i/>
          <w:iCs/>
          <w:kern w:val="0"/>
          <w:sz w:val="22"/>
          <w:szCs w:val="22"/>
          <w:lang w:eastAsia="en-GB"/>
          <w14:ligatures w14:val="none"/>
        </w:rPr>
        <w:t>abundant-reserves</w:t>
      </w:r>
      <w:r w:rsidRPr="001F2E56">
        <w:rPr>
          <w:rFonts w:ascii="Aptos" w:eastAsia="Times New Roman" w:hAnsi="Aptos" w:cs="Times New Roman"/>
          <w:kern w:val="0"/>
          <w:sz w:val="22"/>
          <w:szCs w:val="22"/>
          <w:lang w:eastAsia="en-GB"/>
          <w14:ligatures w14:val="none"/>
        </w:rPr>
        <w:t xml:space="preserve"> systems mean reserves are no longer scarce; the policy rate is set by the rate paid on reserves directly. Most DM banks now run abundant-reserves systems; many EM banks remain in scarce-reserves regimes.</w:t>
      </w:r>
    </w:p>
    <w:p w14:paraId="1B9EC2F1" w14:textId="77777777" w:rsidR="001F2E56" w:rsidRPr="001F2E5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kern w:val="0"/>
          <w:sz w:val="22"/>
          <w:szCs w:val="22"/>
          <w:lang w:eastAsia="en-GB"/>
          <w14:ligatures w14:val="none"/>
        </w:rPr>
        <w:t xml:space="preserve">The other key parameter </w:t>
      </w:r>
      <w:proofErr w:type="gramStart"/>
      <w:r w:rsidRPr="001F2E56">
        <w:rPr>
          <w:rFonts w:ascii="Aptos" w:eastAsia="Times New Roman" w:hAnsi="Aptos" w:cs="Times New Roman"/>
          <w:kern w:val="0"/>
          <w:sz w:val="22"/>
          <w:szCs w:val="22"/>
          <w:lang w:eastAsia="en-GB"/>
          <w14:ligatures w14:val="none"/>
        </w:rPr>
        <w:t>set:</w:t>
      </w:r>
      <w:proofErr w:type="gramEnd"/>
      <w:r w:rsidRPr="001F2E56">
        <w:rPr>
          <w:rFonts w:ascii="Aptos" w:eastAsia="Times New Roman" w:hAnsi="Aptos" w:cs="Times New Roman"/>
          <w:kern w:val="0"/>
          <w:sz w:val="22"/>
          <w:szCs w:val="22"/>
          <w:lang w:eastAsia="en-GB"/>
          <w14:ligatures w14:val="none"/>
        </w:rPr>
        <w:t xml:space="preserve"> </w:t>
      </w:r>
      <w:r w:rsidRPr="001F2E56">
        <w:rPr>
          <w:rFonts w:ascii="Aptos" w:eastAsia="Times New Roman" w:hAnsi="Aptos" w:cs="Times New Roman"/>
          <w:i/>
          <w:iCs/>
          <w:kern w:val="0"/>
          <w:sz w:val="22"/>
          <w:szCs w:val="22"/>
          <w:lang w:eastAsia="en-GB"/>
          <w14:ligatures w14:val="none"/>
        </w:rPr>
        <w:t>pass-through coefficients.</w:t>
      </w:r>
      <w:r w:rsidRPr="001F2E56">
        <w:rPr>
          <w:rFonts w:ascii="Aptos" w:eastAsia="Times New Roman" w:hAnsi="Aptos" w:cs="Times New Roman"/>
          <w:kern w:val="0"/>
          <w:sz w:val="22"/>
          <w:szCs w:val="22"/>
          <w:lang w:eastAsia="en-GB"/>
          <w14:ligatures w14:val="none"/>
        </w:rPr>
        <w:t xml:space="preserve"> How much of a policy rate move passes through to interbank rates, deposit rates (the "deposit beta"), and lending rates. Pass-through is the empirical bridge between the policy rate and what borrowers and savers </w:t>
      </w:r>
      <w:proofErr w:type="gramStart"/>
      <w:r w:rsidRPr="001F2E56">
        <w:rPr>
          <w:rFonts w:ascii="Aptos" w:eastAsia="Times New Roman" w:hAnsi="Aptos" w:cs="Times New Roman"/>
          <w:kern w:val="0"/>
          <w:sz w:val="22"/>
          <w:szCs w:val="22"/>
          <w:lang w:eastAsia="en-GB"/>
          <w14:ligatures w14:val="none"/>
        </w:rPr>
        <w:t>actually face</w:t>
      </w:r>
      <w:proofErr w:type="gramEnd"/>
      <w:r w:rsidRPr="001F2E56">
        <w:rPr>
          <w:rFonts w:ascii="Aptos" w:eastAsia="Times New Roman" w:hAnsi="Aptos" w:cs="Times New Roman"/>
          <w:kern w:val="0"/>
          <w:sz w:val="22"/>
          <w:szCs w:val="22"/>
          <w:lang w:eastAsia="en-GB"/>
          <w14:ligatures w14:val="none"/>
        </w:rPr>
        <w:t>. It varies across banks, loan types, and cycles.</w:t>
      </w:r>
    </w:p>
    <w:p w14:paraId="34A9596A" w14:textId="77777777" w:rsidR="001F2E56" w:rsidRPr="001F2E56" w:rsidRDefault="00000000" w:rsidP="001F2E56">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067F654A">
          <v:rect id="_x0000_i1030" alt="" style="width:451.3pt;height:.05pt;mso-width-percent:0;mso-height-percent:0;mso-width-percent:0;mso-height-percent:0" o:hralign="center" o:hrstd="t" o:hr="t" fillcolor="#a0a0a0" stroked="f"/>
        </w:pict>
      </w:r>
    </w:p>
    <w:p w14:paraId="5FD80462" w14:textId="77777777" w:rsidR="001F2E56" w:rsidRPr="001F2E5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b/>
          <w:bCs/>
          <w:kern w:val="0"/>
          <w:sz w:val="22"/>
          <w:szCs w:val="22"/>
          <w:lang w:eastAsia="en-GB"/>
          <w14:ligatures w14:val="none"/>
        </w:rPr>
        <w:t>Sub-node: Why this matters for asset prices</w:t>
      </w:r>
    </w:p>
    <w:p w14:paraId="7D2D0B60" w14:textId="77777777" w:rsidR="001F2E56" w:rsidRPr="001F2E5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kern w:val="0"/>
          <w:sz w:val="22"/>
          <w:szCs w:val="22"/>
          <w:lang w:eastAsia="en-GB"/>
          <w14:ligatures w14:val="none"/>
        </w:rPr>
        <w:t>The policy rate is the foundation of every other interest rate, hence every other asset price. The transmission has two distinct channels.</w:t>
      </w:r>
    </w:p>
    <w:p w14:paraId="441A51AB" w14:textId="77777777" w:rsidR="001F2E56" w:rsidRPr="001F2E5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t>The mechanical channel — front end.</w:t>
      </w:r>
      <w:r w:rsidRPr="001F2E56">
        <w:rPr>
          <w:rFonts w:ascii="Aptos" w:eastAsia="Times New Roman" w:hAnsi="Aptos" w:cs="Times New Roman"/>
          <w:kern w:val="0"/>
          <w:sz w:val="22"/>
          <w:szCs w:val="22"/>
          <w:lang w:eastAsia="en-GB"/>
          <w14:ligatures w14:val="none"/>
        </w:rPr>
        <w:t xml:space="preserve"> The policy rate pins the very short end of the curve directly. A 25bp move re-prices 1-month, 3-month, 6-month rates almost instantly. This is automatic, fast, and effectively guaranteed if the corridor is functioning.</w:t>
      </w:r>
    </w:p>
    <w:p w14:paraId="40BBE743" w14:textId="77777777" w:rsidR="001F2E56" w:rsidRPr="001F2E5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t>The expectations channel — the rest of the curve.</w:t>
      </w:r>
      <w:r w:rsidRPr="001F2E56">
        <w:rPr>
          <w:rFonts w:ascii="Aptos" w:eastAsia="Times New Roman" w:hAnsi="Aptos" w:cs="Times New Roman"/>
          <w:kern w:val="0"/>
          <w:sz w:val="22"/>
          <w:szCs w:val="22"/>
          <w:lang w:eastAsia="en-GB"/>
          <w14:ligatures w14:val="none"/>
        </w:rPr>
        <w:t xml:space="preserve"> The 2-year, 5-year, 10-year rates are weighted averages of expected future policy rates plus term premia. Markets infer the future path from the current decision plus communication. </w:t>
      </w:r>
      <w:proofErr w:type="gramStart"/>
      <w:r w:rsidRPr="001F2E56">
        <w:rPr>
          <w:rFonts w:ascii="Aptos" w:eastAsia="Times New Roman" w:hAnsi="Aptos" w:cs="Times New Roman"/>
          <w:kern w:val="0"/>
          <w:sz w:val="22"/>
          <w:szCs w:val="22"/>
          <w:lang w:eastAsia="en-GB"/>
          <w14:ligatures w14:val="none"/>
        </w:rPr>
        <w:t>So</w:t>
      </w:r>
      <w:proofErr w:type="gramEnd"/>
      <w:r w:rsidRPr="001F2E56">
        <w:rPr>
          <w:rFonts w:ascii="Aptos" w:eastAsia="Times New Roman" w:hAnsi="Aptos" w:cs="Times New Roman"/>
          <w:kern w:val="0"/>
          <w:sz w:val="22"/>
          <w:szCs w:val="22"/>
          <w:lang w:eastAsia="en-GB"/>
          <w14:ligatures w14:val="none"/>
        </w:rPr>
        <w:t xml:space="preserve"> a 25bp move at the front end is partly a level move and partly a </w:t>
      </w:r>
      <w:r w:rsidRPr="001F2E56">
        <w:rPr>
          <w:rFonts w:ascii="Aptos" w:eastAsia="Times New Roman" w:hAnsi="Aptos" w:cs="Times New Roman"/>
          <w:i/>
          <w:iCs/>
          <w:kern w:val="0"/>
          <w:sz w:val="22"/>
          <w:szCs w:val="22"/>
          <w:lang w:eastAsia="en-GB"/>
          <w14:ligatures w14:val="none"/>
        </w:rPr>
        <w:t>signal</w:t>
      </w:r>
      <w:r w:rsidRPr="001F2E56">
        <w:rPr>
          <w:rFonts w:ascii="Aptos" w:eastAsia="Times New Roman" w:hAnsi="Aptos" w:cs="Times New Roman"/>
          <w:kern w:val="0"/>
          <w:sz w:val="22"/>
          <w:szCs w:val="22"/>
          <w:lang w:eastAsia="en-GB"/>
          <w14:ligatures w14:val="none"/>
        </w:rPr>
        <w:t xml:space="preserve"> about the path ahead. The signal often does more work than the level — a hawkish hike (signalling more hikes) lifts the long end more than a dovish hike (signalling we are nearly done).</w:t>
      </w:r>
    </w:p>
    <w:p w14:paraId="03A3BC87" w14:textId="77777777" w:rsidR="001F2E56" w:rsidRPr="001F2E5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kern w:val="0"/>
          <w:sz w:val="22"/>
          <w:szCs w:val="22"/>
          <w:lang w:eastAsia="en-GB"/>
          <w14:ligatures w14:val="none"/>
        </w:rPr>
        <w:t>This is why the same nominal rate decision can have very different asset-price consequences depending on its communication. The mechanical effect is the level; the consequential effect is the path.</w:t>
      </w:r>
    </w:p>
    <w:p w14:paraId="3B842996" w14:textId="77777777" w:rsidR="001F2E56" w:rsidRPr="001F2E5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kern w:val="0"/>
          <w:sz w:val="22"/>
          <w:szCs w:val="22"/>
          <w:lang w:eastAsia="en-GB"/>
          <w14:ligatures w14:val="none"/>
        </w:rPr>
        <w:t xml:space="preserve">For EM specifically there is a third channel: </w:t>
      </w:r>
      <w:r w:rsidRPr="001F2E56">
        <w:rPr>
          <w:rFonts w:ascii="Aptos" w:eastAsia="Times New Roman" w:hAnsi="Aptos" w:cs="Times New Roman"/>
          <w:i/>
          <w:iCs/>
          <w:kern w:val="0"/>
          <w:sz w:val="22"/>
          <w:szCs w:val="22"/>
          <w:lang w:eastAsia="en-GB"/>
          <w14:ligatures w14:val="none"/>
        </w:rPr>
        <w:t>the FX/carry channel.</w:t>
      </w:r>
      <w:r w:rsidRPr="001F2E56">
        <w:rPr>
          <w:rFonts w:ascii="Aptos" w:eastAsia="Times New Roman" w:hAnsi="Aptos" w:cs="Times New Roman"/>
          <w:kern w:val="0"/>
          <w:sz w:val="22"/>
          <w:szCs w:val="22"/>
          <w:lang w:eastAsia="en-GB"/>
          <w14:ligatures w14:val="none"/>
        </w:rPr>
        <w:t xml:space="preserve"> Higher rates attract foreign capital seeking yield, strengthening the currency and easing inflation pressure independently of domestic demand. </w:t>
      </w:r>
      <w:proofErr w:type="gramStart"/>
      <w:r w:rsidRPr="001F2E56">
        <w:rPr>
          <w:rFonts w:ascii="Aptos" w:eastAsia="Times New Roman" w:hAnsi="Aptos" w:cs="Times New Roman"/>
          <w:kern w:val="0"/>
          <w:sz w:val="22"/>
          <w:szCs w:val="22"/>
          <w:lang w:eastAsia="en-GB"/>
          <w14:ligatures w14:val="none"/>
        </w:rPr>
        <w:t>So</w:t>
      </w:r>
      <w:proofErr w:type="gramEnd"/>
      <w:r w:rsidRPr="001F2E56">
        <w:rPr>
          <w:rFonts w:ascii="Aptos" w:eastAsia="Times New Roman" w:hAnsi="Aptos" w:cs="Times New Roman"/>
          <w:kern w:val="0"/>
          <w:sz w:val="22"/>
          <w:szCs w:val="22"/>
          <w:lang w:eastAsia="en-GB"/>
          <w14:ligatures w14:val="none"/>
        </w:rPr>
        <w:t xml:space="preserve"> in EM the policy rate is both a domestic-transmission tool and an FX tool, even when not framed as such.</w:t>
      </w:r>
    </w:p>
    <w:p w14:paraId="583C2F37" w14:textId="77777777" w:rsidR="001F2E56" w:rsidRPr="001F2E56" w:rsidRDefault="00000000" w:rsidP="001F2E56">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3E6E5FCF">
          <v:rect id="_x0000_i1031" alt="" style="width:451.3pt;height:.05pt;mso-width-percent:0;mso-height-percent:0;mso-width-percent:0;mso-height-percent:0" o:hralign="center" o:hrstd="t" o:hr="t" fillcolor="#a0a0a0" stroked="f"/>
        </w:pict>
      </w:r>
    </w:p>
    <w:p w14:paraId="17EC3503" w14:textId="77777777" w:rsidR="001F2E56" w:rsidRPr="001F2E5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b/>
          <w:bCs/>
          <w:kern w:val="0"/>
          <w:sz w:val="22"/>
          <w:szCs w:val="22"/>
          <w:lang w:eastAsia="en-GB"/>
          <w14:ligatures w14:val="none"/>
        </w:rPr>
        <w:t>Sub-node: Regime and EM variation</w:t>
      </w:r>
    </w:p>
    <w:p w14:paraId="5BBA7A5F" w14:textId="77777777" w:rsidR="001F2E56" w:rsidRPr="001F2E5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kern w:val="0"/>
          <w:sz w:val="22"/>
          <w:szCs w:val="22"/>
          <w:lang w:eastAsia="en-GB"/>
          <w14:ligatures w14:val="none"/>
        </w:rPr>
        <w:t>Three differences worth flagging across the panel.</w:t>
      </w:r>
    </w:p>
    <w:p w14:paraId="1BF576E4" w14:textId="77777777" w:rsidR="001F2E56" w:rsidRPr="001F2E5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t>Corridor structure.</w:t>
      </w:r>
      <w:r w:rsidRPr="001F2E56">
        <w:rPr>
          <w:rFonts w:ascii="Aptos" w:eastAsia="Times New Roman" w:hAnsi="Aptos" w:cs="Times New Roman"/>
          <w:kern w:val="0"/>
          <w:sz w:val="22"/>
          <w:szCs w:val="22"/>
          <w:lang w:eastAsia="en-GB"/>
          <w14:ligatures w14:val="none"/>
        </w:rPr>
        <w:t xml:space="preserve"> DM banks typically run tight corridors; EM banks often run wider. SARB's ±50bp corridor is generous; BCB sets SELIC as a weighted average of all daily repo operations rather than a single point target. Wider corridors weaken the pin-down of overnight rates to the target and complicate pass-through measurement.</w:t>
      </w:r>
    </w:p>
    <w:p w14:paraId="32DEBD47" w14:textId="77777777" w:rsidR="001F2E56" w:rsidRPr="001F2E5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lastRenderedPageBreak/>
        <w:t>Pass-through asymmetry.</w:t>
      </w:r>
      <w:r w:rsidRPr="001F2E56">
        <w:rPr>
          <w:rFonts w:ascii="Aptos" w:eastAsia="Times New Roman" w:hAnsi="Aptos" w:cs="Times New Roman"/>
          <w:kern w:val="0"/>
          <w:sz w:val="22"/>
          <w:szCs w:val="22"/>
          <w:lang w:eastAsia="en-GB"/>
          <w14:ligatures w14:val="none"/>
        </w:rPr>
        <w:t xml:space="preserve"> EM lending rates are often less responsive to policy rate changes than DM. Reasons: less bank competition, more fixed-rate loan structures, sometimes regulatory rate controls. The implication: EM banks may need to over-move to get domestic traction, and the rate is a blunter tool.</w:t>
      </w:r>
    </w:p>
    <w:p w14:paraId="26102C54" w14:textId="77777777" w:rsidR="001F2E56" w:rsidRPr="001F2E5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t>ELB constraint.</w:t>
      </w:r>
      <w:r w:rsidRPr="001F2E56">
        <w:rPr>
          <w:rFonts w:ascii="Aptos" w:eastAsia="Times New Roman" w:hAnsi="Aptos" w:cs="Times New Roman"/>
          <w:kern w:val="0"/>
          <w:sz w:val="22"/>
          <w:szCs w:val="22"/>
          <w:lang w:eastAsia="en-GB"/>
          <w14:ligatures w14:val="none"/>
        </w:rPr>
        <w:t xml:space="preserve"> For DM banks since 2008, the effective lower bound makes the policy rate a non-symmetric instrument — cuts are constrained, hikes are not. The policy rate loses primacy at the </w:t>
      </w:r>
      <w:proofErr w:type="gramStart"/>
      <w:r w:rsidRPr="001F2E56">
        <w:rPr>
          <w:rFonts w:ascii="Aptos" w:eastAsia="Times New Roman" w:hAnsi="Aptos" w:cs="Times New Roman"/>
          <w:kern w:val="0"/>
          <w:sz w:val="22"/>
          <w:szCs w:val="22"/>
          <w:lang w:eastAsia="en-GB"/>
          <w14:ligatures w14:val="none"/>
        </w:rPr>
        <w:t>ELB</w:t>
      </w:r>
      <w:proofErr w:type="gramEnd"/>
      <w:r w:rsidRPr="001F2E56">
        <w:rPr>
          <w:rFonts w:ascii="Aptos" w:eastAsia="Times New Roman" w:hAnsi="Aptos" w:cs="Times New Roman"/>
          <w:kern w:val="0"/>
          <w:sz w:val="22"/>
          <w:szCs w:val="22"/>
          <w:lang w:eastAsia="en-GB"/>
          <w14:ligatures w14:val="none"/>
        </w:rPr>
        <w:t xml:space="preserve"> and alternative instruments (balance sheet, forward guidance) take over. EM banks have generally not hit the ELB; their rate space has stayed conventionally usable.</w:t>
      </w:r>
    </w:p>
    <w:p w14:paraId="55815CB2" w14:textId="77777777" w:rsidR="001F2E56" w:rsidRPr="001F2E56" w:rsidRDefault="00000000" w:rsidP="001F2E56">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5E51D803">
          <v:rect id="_x0000_i1032" alt="" style="width:451.3pt;height:.05pt;mso-width-percent:0;mso-height-percent:0;mso-width-percent:0;mso-height-percent:0" o:hralign="center" o:hrstd="t" o:hr="t" fillcolor="#a0a0a0" stroked="f"/>
        </w:pict>
      </w:r>
    </w:p>
    <w:p w14:paraId="5ECDEBC2" w14:textId="77777777" w:rsidR="001F2E56" w:rsidRPr="001F2E5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b/>
          <w:bCs/>
          <w:kern w:val="0"/>
          <w:sz w:val="22"/>
          <w:szCs w:val="22"/>
          <w:lang w:eastAsia="en-GB"/>
          <w14:ligatures w14:val="none"/>
        </w:rPr>
        <w:t>Sub-node: Empirical pitfalls</w:t>
      </w:r>
    </w:p>
    <w:p w14:paraId="1CDA5C2D" w14:textId="77777777" w:rsidR="001F2E56" w:rsidRPr="001F2E5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t>Which rate is "the" policy rate?</w:t>
      </w:r>
      <w:r w:rsidRPr="001F2E56">
        <w:rPr>
          <w:rFonts w:ascii="Aptos" w:eastAsia="Times New Roman" w:hAnsi="Aptos" w:cs="Times New Roman"/>
          <w:kern w:val="0"/>
          <w:sz w:val="22"/>
          <w:szCs w:val="22"/>
          <w:lang w:eastAsia="en-GB"/>
          <w14:ligatures w14:val="none"/>
        </w:rPr>
        <w:t xml:space="preserve"> Fed: midpoint of target range, or IORB, or effective fed funds? ECB: DFR, MRO, or MLF? For estimation, this choice matters — different rates give different answers, especially at regime breaks (2008 ample-reserves shift; 2022 ECB DFR-as-primary shift).</w:t>
      </w:r>
    </w:p>
    <w:p w14:paraId="000EF701" w14:textId="77777777" w:rsidR="001F2E56" w:rsidRPr="001F2E5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t>Announced vs effective rate.</w:t>
      </w:r>
      <w:r w:rsidRPr="001F2E56">
        <w:rPr>
          <w:rFonts w:ascii="Aptos" w:eastAsia="Times New Roman" w:hAnsi="Aptos" w:cs="Times New Roman"/>
          <w:kern w:val="0"/>
          <w:sz w:val="22"/>
          <w:szCs w:val="22"/>
          <w:lang w:eastAsia="en-GB"/>
          <w14:ligatures w14:val="none"/>
        </w:rPr>
        <w:t xml:space="preserve"> The announced rate is the bank's decision; the effective rate is what </w:t>
      </w:r>
      <w:proofErr w:type="gramStart"/>
      <w:r w:rsidRPr="001F2E56">
        <w:rPr>
          <w:rFonts w:ascii="Aptos" w:eastAsia="Times New Roman" w:hAnsi="Aptos" w:cs="Times New Roman"/>
          <w:kern w:val="0"/>
          <w:sz w:val="22"/>
          <w:szCs w:val="22"/>
          <w:lang w:eastAsia="en-GB"/>
          <w14:ligatures w14:val="none"/>
        </w:rPr>
        <w:t>actually trades</w:t>
      </w:r>
      <w:proofErr w:type="gramEnd"/>
      <w:r w:rsidRPr="001F2E56">
        <w:rPr>
          <w:rFonts w:ascii="Aptos" w:eastAsia="Times New Roman" w:hAnsi="Aptos" w:cs="Times New Roman"/>
          <w:kern w:val="0"/>
          <w:sz w:val="22"/>
          <w:szCs w:val="22"/>
          <w:lang w:eastAsia="en-GB"/>
          <w14:ligatures w14:val="none"/>
        </w:rPr>
        <w:t xml:space="preserve"> in overnight markets. These can diverge meaningfully when the corridor is wide, when reserves are scarce, or when market stress drives rates to the floor or ceiling. €STR traded persistently below the announced ECB rate through 2015–2022; SOFR has occasionally spiked through the upper bound at quarter-ends.</w:t>
      </w:r>
    </w:p>
    <w:p w14:paraId="59268DDF" w14:textId="77777777" w:rsidR="001F2E56" w:rsidRPr="001F2E5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t>Pass-through measurement.</w:t>
      </w:r>
      <w:r w:rsidRPr="001F2E56">
        <w:rPr>
          <w:rFonts w:ascii="Aptos" w:eastAsia="Times New Roman" w:hAnsi="Aptos" w:cs="Times New Roman"/>
          <w:kern w:val="0"/>
          <w:sz w:val="22"/>
          <w:szCs w:val="22"/>
          <w:lang w:eastAsia="en-GB"/>
          <w14:ligatures w14:val="none"/>
        </w:rPr>
        <w:t xml:space="preserve"> Deposit beta and loan beta require granular bank-level data. They are unstable across cycles — Drechsler, </w:t>
      </w:r>
      <w:proofErr w:type="spellStart"/>
      <w:r w:rsidRPr="001F2E56">
        <w:rPr>
          <w:rFonts w:ascii="Aptos" w:eastAsia="Times New Roman" w:hAnsi="Aptos" w:cs="Times New Roman"/>
          <w:kern w:val="0"/>
          <w:sz w:val="22"/>
          <w:szCs w:val="22"/>
          <w:lang w:eastAsia="en-GB"/>
          <w14:ligatures w14:val="none"/>
        </w:rPr>
        <w:t>Savov</w:t>
      </w:r>
      <w:proofErr w:type="spellEnd"/>
      <w:r w:rsidRPr="001F2E56">
        <w:rPr>
          <w:rFonts w:ascii="Aptos" w:eastAsia="Times New Roman" w:hAnsi="Aptos" w:cs="Times New Roman"/>
          <w:kern w:val="0"/>
          <w:sz w:val="22"/>
          <w:szCs w:val="22"/>
          <w:lang w:eastAsia="en-GB"/>
          <w14:ligatures w14:val="none"/>
        </w:rPr>
        <w:t xml:space="preserve"> &amp; Schnabl (2017) showed deposit beta varies systematically with bank market power, not just policy regime. Pre-2008 and post-2008 pass-through structures differ. Real-time identification is hard; ex-post estimation masks the dynamic adjustment.</w:t>
      </w:r>
    </w:p>
    <w:p w14:paraId="371D79CF" w14:textId="77777777" w:rsidR="001F2E56" w:rsidRPr="001F2E56" w:rsidRDefault="00000000" w:rsidP="001F2E56">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2B6488A9">
          <v:rect id="_x0000_i1033" alt="" style="width:451.3pt;height:.05pt;mso-width-percent:0;mso-height-percent:0;mso-width-percent:0;mso-height-percent:0" o:hralign="center" o:hrstd="t" o:hr="t" fillcolor="#a0a0a0" stroked="f"/>
        </w:pict>
      </w:r>
    </w:p>
    <w:p w14:paraId="00D6BA7E" w14:textId="77777777" w:rsidR="001F2E56" w:rsidRPr="001F2E5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b/>
          <w:bCs/>
          <w:kern w:val="0"/>
          <w:sz w:val="22"/>
          <w:szCs w:val="22"/>
          <w:lang w:eastAsia="en-GB"/>
          <w14:ligatures w14:val="none"/>
        </w:rPr>
        <w:t>Sub-node: Where dissonance lives</w:t>
      </w:r>
    </w:p>
    <w:p w14:paraId="48BD2168" w14:textId="77777777" w:rsidR="001F2E56" w:rsidRPr="001F2E5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kern w:val="0"/>
          <w:sz w:val="22"/>
          <w:szCs w:val="22"/>
          <w:lang w:eastAsia="en-GB"/>
          <w14:ligatures w14:val="none"/>
        </w:rPr>
        <w:t>Within L3a, dissonance is multi-dimensional.</w:t>
      </w:r>
    </w:p>
    <w:p w14:paraId="1AB75E03" w14:textId="77777777" w:rsidR="001F2E56" w:rsidRPr="001F2E5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t>Intra-node.</w:t>
      </w:r>
      <w:r w:rsidRPr="001F2E56">
        <w:rPr>
          <w:rFonts w:ascii="Aptos" w:eastAsia="Times New Roman" w:hAnsi="Aptos" w:cs="Times New Roman"/>
          <w:kern w:val="0"/>
          <w:sz w:val="22"/>
          <w:szCs w:val="22"/>
          <w:lang w:eastAsia="en-GB"/>
          <w14:ligatures w14:val="none"/>
        </w:rPr>
        <w:t xml:space="preserve"> Components of the rate node disagree. Announced rate vs effective overnight rate vs near-term FRA/OIS vs standing facility utilisation. Equilibrium: all pin to the same number. Dissonance fires when overnight rates drift from the announced target (corridor pinning failure), when standing facility usage spikes (banks cannot or will not fund at the policy rate), or when near-term FRAs price a path the bank has not signalled (market disbelieves the rule).</w:t>
      </w:r>
    </w:p>
    <w:p w14:paraId="079E661F" w14:textId="77777777" w:rsidR="001F2E56" w:rsidRPr="001F2E5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t>Vertical upward, L1 → L3a.</w:t>
      </w:r>
      <w:r w:rsidRPr="001F2E56">
        <w:rPr>
          <w:rFonts w:ascii="Aptos" w:eastAsia="Times New Roman" w:hAnsi="Aptos" w:cs="Times New Roman"/>
          <w:kern w:val="0"/>
          <w:sz w:val="22"/>
          <w:szCs w:val="22"/>
          <w:lang w:eastAsia="en-GB"/>
          <w14:ligatures w14:val="none"/>
        </w:rPr>
        <w:t xml:space="preserve"> The Taylor residual </w:t>
      </w:r>
      <w:proofErr w:type="spellStart"/>
      <w:r w:rsidRPr="001F2E56">
        <w:rPr>
          <w:rFonts w:ascii="Aptos" w:eastAsia="Times New Roman" w:hAnsi="Aptos" w:cs="Times New Roman"/>
          <w:kern w:val="0"/>
          <w:sz w:val="22"/>
          <w:szCs w:val="22"/>
          <w:lang w:eastAsia="en-GB"/>
          <w14:ligatures w14:val="none"/>
        </w:rPr>
        <w:t>ε_t</w:t>
      </w:r>
      <w:proofErr w:type="spellEnd"/>
      <w:r w:rsidRPr="001F2E56">
        <w:rPr>
          <w:rFonts w:ascii="Aptos" w:eastAsia="Times New Roman" w:hAnsi="Aptos" w:cs="Times New Roman"/>
          <w:kern w:val="0"/>
          <w:sz w:val="22"/>
          <w:szCs w:val="22"/>
          <w:lang w:eastAsia="en-GB"/>
          <w14:ligatures w14:val="none"/>
        </w:rPr>
        <w:t xml:space="preserve"> = </w:t>
      </w:r>
      <w:proofErr w:type="spellStart"/>
      <w:r w:rsidRPr="001F2E56">
        <w:rPr>
          <w:rFonts w:ascii="Aptos" w:eastAsia="Times New Roman" w:hAnsi="Aptos" w:cs="Times New Roman"/>
          <w:kern w:val="0"/>
          <w:sz w:val="22"/>
          <w:szCs w:val="22"/>
          <w:lang w:eastAsia="en-GB"/>
          <w14:ligatures w14:val="none"/>
        </w:rPr>
        <w:t>i_t</w:t>
      </w:r>
      <w:proofErr w:type="spellEnd"/>
      <w:r w:rsidRPr="001F2E56">
        <w:rPr>
          <w:rFonts w:ascii="Aptos" w:eastAsia="Times New Roman" w:hAnsi="Aptos" w:cs="Times New Roman"/>
          <w:kern w:val="0"/>
          <w:sz w:val="22"/>
          <w:szCs w:val="22"/>
          <w:lang w:eastAsia="en-GB"/>
          <w14:ligatures w14:val="none"/>
        </w:rPr>
        <w:t xml:space="preserve"> − </w:t>
      </w:r>
      <w:proofErr w:type="spellStart"/>
      <w:r w:rsidRPr="001F2E56">
        <w:rPr>
          <w:rFonts w:ascii="Aptos" w:eastAsia="Times New Roman" w:hAnsi="Aptos" w:cs="Times New Roman"/>
          <w:kern w:val="0"/>
          <w:sz w:val="22"/>
          <w:szCs w:val="22"/>
          <w:lang w:eastAsia="en-GB"/>
          <w14:ligatures w14:val="none"/>
        </w:rPr>
        <w:t>i</w:t>
      </w:r>
      <w:proofErr w:type="spellEnd"/>
      <w:r w:rsidRPr="001F2E56">
        <w:rPr>
          <w:rFonts w:ascii="Aptos" w:eastAsia="Times New Roman" w:hAnsi="Aptos" w:cs="Times New Roman"/>
          <w:kern w:val="0"/>
          <w:sz w:val="22"/>
          <w:szCs w:val="22"/>
          <w:lang w:eastAsia="en-GB"/>
          <w14:ligatures w14:val="none"/>
        </w:rPr>
        <w:t>*_t. The bank choosing not to follow its own rule. Already developed in detail.</w:t>
      </w:r>
    </w:p>
    <w:p w14:paraId="62C05C3F" w14:textId="77777777" w:rsidR="001F2E56" w:rsidRPr="001F2E5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t>Vertical downward, L3a → L4a.</w:t>
      </w:r>
      <w:r w:rsidRPr="001F2E56">
        <w:rPr>
          <w:rFonts w:ascii="Aptos" w:eastAsia="Times New Roman" w:hAnsi="Aptos" w:cs="Times New Roman"/>
          <w:kern w:val="0"/>
          <w:sz w:val="22"/>
          <w:szCs w:val="22"/>
          <w:lang w:eastAsia="en-GB"/>
          <w14:ligatures w14:val="none"/>
        </w:rPr>
        <w:t xml:space="preserve"> The policy rate sets the front end; the curve embeds the inferred path. Dissonance fires when the front re-prices but the slope, curvature, or longer-dated expectations are inconsistent with the rule.</w:t>
      </w:r>
    </w:p>
    <w:p w14:paraId="089FC471" w14:textId="77777777" w:rsidR="001F2E56" w:rsidRPr="001F2E5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lastRenderedPageBreak/>
        <w:t>Vertical downward, L3a → L5a.</w:t>
      </w:r>
      <w:r w:rsidRPr="001F2E56">
        <w:rPr>
          <w:rFonts w:ascii="Aptos" w:eastAsia="Times New Roman" w:hAnsi="Aptos" w:cs="Times New Roman"/>
          <w:kern w:val="0"/>
          <w:sz w:val="22"/>
          <w:szCs w:val="22"/>
          <w:lang w:eastAsia="en-GB"/>
          <w14:ligatures w14:val="none"/>
        </w:rPr>
        <w:t xml:space="preserve"> Pass-through. The rate moves; bank lending rates should follow with stable beta. Dissonance fires when the spread between policy rate and effective borrowing rates widens significantly — transmission impaired through the bank lending channel.</w:t>
      </w:r>
    </w:p>
    <w:p w14:paraId="743FD793" w14:textId="77777777" w:rsidR="001F2E56" w:rsidRPr="00B8458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kern w:val="0"/>
          <w:sz w:val="22"/>
          <w:szCs w:val="22"/>
          <w:lang w:eastAsia="en-GB"/>
          <w14:ligatures w14:val="none"/>
        </w:rPr>
        <w:t xml:space="preserve">The L3a node is the </w:t>
      </w:r>
      <w:r w:rsidRPr="001F2E56">
        <w:rPr>
          <w:rFonts w:ascii="Aptos" w:eastAsia="Times New Roman" w:hAnsi="Aptos" w:cs="Times New Roman"/>
          <w:i/>
          <w:iCs/>
          <w:kern w:val="0"/>
          <w:sz w:val="22"/>
          <w:szCs w:val="22"/>
          <w:lang w:eastAsia="en-GB"/>
          <w14:ligatures w14:val="none"/>
        </w:rPr>
        <w:t>price of liquidity</w:t>
      </w:r>
      <w:r w:rsidRPr="001F2E56">
        <w:rPr>
          <w:rFonts w:ascii="Aptos" w:eastAsia="Times New Roman" w:hAnsi="Aptos" w:cs="Times New Roman"/>
          <w:kern w:val="0"/>
          <w:sz w:val="22"/>
          <w:szCs w:val="22"/>
          <w:lang w:eastAsia="en-GB"/>
          <w14:ligatures w14:val="none"/>
        </w:rPr>
        <w:t xml:space="preserve"> in the banking system. Dissonance at L3a means the bank has lost some control over that price, or that the price the bank set is not the price the system is operating on. Markets pricing through that loss of control is the asset-price consequence.</w:t>
      </w:r>
    </w:p>
    <w:p w14:paraId="64A9294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Level 3b — The Balance Sheet</w:t>
      </w:r>
    </w:p>
    <w:p w14:paraId="48A0A10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Definition.</w:t>
      </w:r>
      <w:r w:rsidRPr="0032251D">
        <w:rPr>
          <w:rFonts w:ascii="Aptos" w:eastAsia="Times New Roman" w:hAnsi="Aptos" w:cs="Times New Roman"/>
          <w:kern w:val="0"/>
          <w:sz w:val="22"/>
          <w:szCs w:val="22"/>
          <w:lang w:eastAsia="en-GB"/>
          <w14:ligatures w14:val="none"/>
        </w:rPr>
        <w:t xml:space="preserve"> The central bank balance sheet is the </w:t>
      </w:r>
      <w:r w:rsidRPr="0032251D">
        <w:rPr>
          <w:rFonts w:ascii="Aptos" w:eastAsia="Times New Roman" w:hAnsi="Aptos" w:cs="Times New Roman"/>
          <w:i/>
          <w:iCs/>
          <w:kern w:val="0"/>
          <w:sz w:val="22"/>
          <w:szCs w:val="22"/>
          <w:lang w:eastAsia="en-GB"/>
          <w14:ligatures w14:val="none"/>
        </w:rPr>
        <w:t>quantity instrument</w:t>
      </w:r>
      <w:r w:rsidRPr="0032251D">
        <w:rPr>
          <w:rFonts w:ascii="Aptos" w:eastAsia="Times New Roman" w:hAnsi="Aptos" w:cs="Times New Roman"/>
          <w:kern w:val="0"/>
          <w:sz w:val="22"/>
          <w:szCs w:val="22"/>
          <w:lang w:eastAsia="en-GB"/>
          <w14:ligatures w14:val="none"/>
        </w:rPr>
        <w:t xml:space="preserve"> of monetary policy — the set of assets the bank holds (government bonds, agency MBS, foreign reserves, repo positions) and the liabilities it issues (currency, bank reserves, reverse repo). Pre-2008, the balance sheet was passive: just large enough to meet currency demand and reserve requirements. Post-2008 it became active: the bank deliberately expands or contracts size and composition to influence monetary stance and market functioning. Three operating modes — quantitative easing (QE) expands; quantitative tightening (QT) contracts; yield curve control (YCC) commits to buy or sell whatever is needed to peg a specific yield at a specific maturity.</w:t>
      </w:r>
    </w:p>
    <w:p w14:paraId="554E00B3"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69316F1A">
          <v:rect id="_x0000_i1034" alt="" style="width:451.3pt;height:.05pt;mso-width-percent:0;mso-height-percent:0;mso-width-percent:0;mso-height-percent:0" o:hralign="center" o:hrstd="t" o:hr="t" fillcolor="#a0a0a0" stroked="f"/>
        </w:pict>
      </w:r>
    </w:p>
    <w:p w14:paraId="2C7DC29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Theory</w:t>
      </w:r>
    </w:p>
    <w:p w14:paraId="6F9F2CD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balance sheet exists as a distinct instrument because the policy rate alone is insufficient under two conditions: when the rate is constrained, and when the bank wants to operate on parts of the curve the rate does not reach.</w:t>
      </w:r>
    </w:p>
    <w:p w14:paraId="4887217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Portfolio balance (Tobin).</w:t>
      </w:r>
      <w:r w:rsidRPr="0032251D">
        <w:rPr>
          <w:rFonts w:ascii="Aptos" w:eastAsia="Times New Roman" w:hAnsi="Aptos" w:cs="Times New Roman"/>
          <w:kern w:val="0"/>
          <w:sz w:val="22"/>
          <w:szCs w:val="22"/>
          <w:lang w:eastAsia="en-GB"/>
          <w14:ligatures w14:val="none"/>
        </w:rPr>
        <w:t xml:space="preserve"> Investors hold portfolios across assets. When the bank removes a specific asset — long bonds — from private holdings, investors must rebalance. They demand more of substitute assets, bidding up their prices and lowering their yields. The balance sheet works through </w:t>
      </w:r>
      <w:r w:rsidRPr="0032251D">
        <w:rPr>
          <w:rFonts w:ascii="Aptos" w:eastAsia="Times New Roman" w:hAnsi="Aptos" w:cs="Times New Roman"/>
          <w:i/>
          <w:iCs/>
          <w:kern w:val="0"/>
          <w:sz w:val="22"/>
          <w:szCs w:val="22"/>
          <w:lang w:eastAsia="en-GB"/>
          <w14:ligatures w14:val="none"/>
        </w:rPr>
        <w:t>quantities and substitution</w:t>
      </w:r>
      <w:r w:rsidRPr="0032251D">
        <w:rPr>
          <w:rFonts w:ascii="Aptos" w:eastAsia="Times New Roman" w:hAnsi="Aptos" w:cs="Times New Roman"/>
          <w:kern w:val="0"/>
          <w:sz w:val="22"/>
          <w:szCs w:val="22"/>
          <w:lang w:eastAsia="en-GB"/>
          <w14:ligatures w14:val="none"/>
        </w:rPr>
        <w:t>, not through expected short rates. The mechanism is therefore additive to the policy rate, not redundant.</w:t>
      </w:r>
    </w:p>
    <w:p w14:paraId="031BE6D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 xml:space="preserve">Preferred habitat (Modigliani-Sutch; </w:t>
      </w:r>
      <w:proofErr w:type="spellStart"/>
      <w:r w:rsidRPr="0032251D">
        <w:rPr>
          <w:rFonts w:ascii="Aptos" w:eastAsia="Times New Roman" w:hAnsi="Aptos" w:cs="Times New Roman"/>
          <w:i/>
          <w:iCs/>
          <w:kern w:val="0"/>
          <w:sz w:val="22"/>
          <w:szCs w:val="22"/>
          <w:lang w:eastAsia="en-GB"/>
          <w14:ligatures w14:val="none"/>
        </w:rPr>
        <w:t>Vayanos</w:t>
      </w:r>
      <w:proofErr w:type="spellEnd"/>
      <w:r w:rsidRPr="0032251D">
        <w:rPr>
          <w:rFonts w:ascii="Aptos" w:eastAsia="Times New Roman" w:hAnsi="Aptos" w:cs="Times New Roman"/>
          <w:i/>
          <w:iCs/>
          <w:kern w:val="0"/>
          <w:sz w:val="22"/>
          <w:szCs w:val="22"/>
          <w:lang w:eastAsia="en-GB"/>
          <w14:ligatures w14:val="none"/>
        </w:rPr>
        <w:t>-Vila).</w:t>
      </w:r>
      <w:r w:rsidRPr="0032251D">
        <w:rPr>
          <w:rFonts w:ascii="Aptos" w:eastAsia="Times New Roman" w:hAnsi="Aptos" w:cs="Times New Roman"/>
          <w:kern w:val="0"/>
          <w:sz w:val="22"/>
          <w:szCs w:val="22"/>
          <w:lang w:eastAsia="en-GB"/>
          <w14:ligatures w14:val="none"/>
        </w:rPr>
        <w:t xml:space="preserve"> Different investors have preferred maturities — insurers want long, banks want short. Markets are partially segmented. The supply of bonds at each maturity matters because investors do not freely substitute across maturities. </w:t>
      </w:r>
      <w:proofErr w:type="gramStart"/>
      <w:r w:rsidRPr="0032251D">
        <w:rPr>
          <w:rFonts w:ascii="Aptos" w:eastAsia="Times New Roman" w:hAnsi="Aptos" w:cs="Times New Roman"/>
          <w:kern w:val="0"/>
          <w:sz w:val="22"/>
          <w:szCs w:val="22"/>
          <w:lang w:eastAsia="en-GB"/>
          <w14:ligatures w14:val="none"/>
        </w:rPr>
        <w:t>So</w:t>
      </w:r>
      <w:proofErr w:type="gramEnd"/>
      <w:r w:rsidRPr="0032251D">
        <w:rPr>
          <w:rFonts w:ascii="Aptos" w:eastAsia="Times New Roman" w:hAnsi="Aptos" w:cs="Times New Roman"/>
          <w:kern w:val="0"/>
          <w:sz w:val="22"/>
          <w:szCs w:val="22"/>
          <w:lang w:eastAsia="en-GB"/>
          <w14:ligatures w14:val="none"/>
        </w:rPr>
        <w:t xml:space="preserve"> when the bank absorbs duration from the market, it lowers term premia specifically at the targeted maturities. This is what makes a maturity-extension programme distinct from a same-size programme at the front end.</w:t>
      </w:r>
    </w:p>
    <w:p w14:paraId="60729AD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Signalling (Bauer-Rudebusch).</w:t>
      </w:r>
      <w:r w:rsidRPr="0032251D">
        <w:rPr>
          <w:rFonts w:ascii="Aptos" w:eastAsia="Times New Roman" w:hAnsi="Aptos" w:cs="Times New Roman"/>
          <w:kern w:val="0"/>
          <w:sz w:val="22"/>
          <w:szCs w:val="22"/>
          <w:lang w:eastAsia="en-GB"/>
          <w14:ligatures w14:val="none"/>
        </w:rPr>
        <w:t xml:space="preserve"> QE signals the bank's commitment to easing and to keeping rates low for longer. The balance sheet move is itself information about the policy path. This makes the balance sheet partly a forward guidance device, even before reaching the term premium channel.</w:t>
      </w:r>
    </w:p>
    <w:p w14:paraId="27AA3B4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The ELB rationale.</w:t>
      </w:r>
      <w:r w:rsidRPr="0032251D">
        <w:rPr>
          <w:rFonts w:ascii="Aptos" w:eastAsia="Times New Roman" w:hAnsi="Aptos" w:cs="Times New Roman"/>
          <w:kern w:val="0"/>
          <w:sz w:val="22"/>
          <w:szCs w:val="22"/>
          <w:lang w:eastAsia="en-GB"/>
          <w14:ligatures w14:val="none"/>
        </w:rPr>
        <w:t xml:space="preserve"> When the policy rate hits zero, the bank cannot cut further. The balance sheet provides an alternative instrument — quantity-based easing when price-based easing is exhausted. This is the Tinbergen logic: when one instrument is constrained, deploy another. The BoJ first ran QE 2001-2006; post-2008 it became standard across DM banks.</w:t>
      </w:r>
    </w:p>
    <w:p w14:paraId="48B15DEC"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23D8D295">
          <v:rect id="_x0000_i1035" alt="" style="width:451.3pt;height:.05pt;mso-width-percent:0;mso-height-percent:0;mso-width-percent:0;mso-height-percent:0" o:hralign="center" o:hrstd="t" o:hr="t" fillcolor="#a0a0a0" stroked="f"/>
        </w:pict>
      </w:r>
    </w:p>
    <w:p w14:paraId="576D10F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lastRenderedPageBreak/>
        <w:t>Sub-node: Canonical specifications and parameters</w:t>
      </w:r>
    </w:p>
    <w:p w14:paraId="0E315CC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Three operational modes, each with distinct mechanics.</w:t>
      </w:r>
    </w:p>
    <w:p w14:paraId="16C01D5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QE (asset purchases).</w:t>
      </w:r>
      <w:r w:rsidRPr="0032251D">
        <w:rPr>
          <w:rFonts w:ascii="Aptos" w:eastAsia="Times New Roman" w:hAnsi="Aptos" w:cs="Times New Roman"/>
          <w:kern w:val="0"/>
          <w:sz w:val="22"/>
          <w:szCs w:val="22"/>
          <w:lang w:eastAsia="en-GB"/>
          <w14:ligatures w14:val="none"/>
        </w:rPr>
        <w:t xml:space="preserve"> Define purchases by:</w:t>
      </w:r>
    </w:p>
    <w:p w14:paraId="6332B2E0" w14:textId="77777777" w:rsidR="0032251D" w:rsidRPr="0032251D" w:rsidRDefault="0032251D">
      <w:pPr>
        <w:numPr>
          <w:ilvl w:val="0"/>
          <w:numId w:val="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Size</w:t>
      </w:r>
      <w:r w:rsidRPr="0032251D">
        <w:rPr>
          <w:rFonts w:ascii="Aptos" w:eastAsia="Times New Roman" w:hAnsi="Aptos" w:cs="Times New Roman"/>
          <w:kern w:val="0"/>
          <w:sz w:val="22"/>
          <w:szCs w:val="22"/>
          <w:lang w:eastAsia="en-GB"/>
          <w14:ligatures w14:val="none"/>
        </w:rPr>
        <w:t xml:space="preserve"> — announced flow ($80bn/month) or stock target (total holdings)</w:t>
      </w:r>
    </w:p>
    <w:p w14:paraId="2B052985" w14:textId="77777777" w:rsidR="0032251D" w:rsidRPr="0032251D" w:rsidRDefault="0032251D">
      <w:pPr>
        <w:numPr>
          <w:ilvl w:val="0"/>
          <w:numId w:val="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Composition</w:t>
      </w:r>
      <w:r w:rsidRPr="0032251D">
        <w:rPr>
          <w:rFonts w:ascii="Aptos" w:eastAsia="Times New Roman" w:hAnsi="Aptos" w:cs="Times New Roman"/>
          <w:kern w:val="0"/>
          <w:sz w:val="22"/>
          <w:szCs w:val="22"/>
          <w:lang w:eastAsia="en-GB"/>
          <w14:ligatures w14:val="none"/>
        </w:rPr>
        <w:t xml:space="preserve"> — Treasuries vs agency MBS vs corporate bonds; determines which spreads compress</w:t>
      </w:r>
    </w:p>
    <w:p w14:paraId="0016AD9C" w14:textId="77777777" w:rsidR="0032251D" w:rsidRPr="0032251D" w:rsidRDefault="0032251D">
      <w:pPr>
        <w:numPr>
          <w:ilvl w:val="0"/>
          <w:numId w:val="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Maturity profile</w:t>
      </w:r>
      <w:r w:rsidRPr="0032251D">
        <w:rPr>
          <w:rFonts w:ascii="Aptos" w:eastAsia="Times New Roman" w:hAnsi="Aptos" w:cs="Times New Roman"/>
          <w:kern w:val="0"/>
          <w:sz w:val="22"/>
          <w:szCs w:val="22"/>
          <w:lang w:eastAsia="en-GB"/>
          <w14:ligatures w14:val="none"/>
        </w:rPr>
        <w:t xml:space="preserve"> — weighted average maturity of purchases; longer = more duration absorbed</w:t>
      </w:r>
    </w:p>
    <w:p w14:paraId="010EE86E" w14:textId="77777777" w:rsidR="0032251D" w:rsidRPr="0032251D" w:rsidRDefault="0032251D">
      <w:pPr>
        <w:numPr>
          <w:ilvl w:val="0"/>
          <w:numId w:val="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Duration absorbed</w:t>
      </w:r>
      <w:r w:rsidRPr="0032251D">
        <w:rPr>
          <w:rFonts w:ascii="Aptos" w:eastAsia="Times New Roman" w:hAnsi="Aptos" w:cs="Times New Roman"/>
          <w:kern w:val="0"/>
          <w:sz w:val="22"/>
          <w:szCs w:val="22"/>
          <w:lang w:eastAsia="en-GB"/>
          <w14:ligatures w14:val="none"/>
        </w:rPr>
        <w:t xml:space="preserve"> — the key parameter. Purchases × bond duration = total duration removed from private hands. A $1tn purchase of 10-year bonds removes roughly $10tn of duration. This is what compresses term premia.</w:t>
      </w:r>
    </w:p>
    <w:p w14:paraId="33F784A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QT (balance sheet runoff or contraction).</w:t>
      </w:r>
      <w:r w:rsidRPr="0032251D">
        <w:rPr>
          <w:rFonts w:ascii="Aptos" w:eastAsia="Times New Roman" w:hAnsi="Aptos" w:cs="Times New Roman"/>
          <w:kern w:val="0"/>
          <w:sz w:val="22"/>
          <w:szCs w:val="22"/>
          <w:lang w:eastAsia="en-GB"/>
          <w14:ligatures w14:val="none"/>
        </w:rPr>
        <w:t xml:space="preserve"> Two flavours: </w:t>
      </w:r>
      <w:r w:rsidRPr="0032251D">
        <w:rPr>
          <w:rFonts w:ascii="Aptos" w:eastAsia="Times New Roman" w:hAnsi="Aptos" w:cs="Times New Roman"/>
          <w:i/>
          <w:iCs/>
          <w:kern w:val="0"/>
          <w:sz w:val="22"/>
          <w:szCs w:val="22"/>
          <w:lang w:eastAsia="en-GB"/>
          <w14:ligatures w14:val="none"/>
        </w:rPr>
        <w:t>passive QT</w:t>
      </w:r>
      <w:r w:rsidRPr="0032251D">
        <w:rPr>
          <w:rFonts w:ascii="Aptos" w:eastAsia="Times New Roman" w:hAnsi="Aptos" w:cs="Times New Roman"/>
          <w:kern w:val="0"/>
          <w:sz w:val="22"/>
          <w:szCs w:val="22"/>
          <w:lang w:eastAsia="en-GB"/>
          <w14:ligatures w14:val="none"/>
        </w:rPr>
        <w:t xml:space="preserve"> — bonds mature, proceeds not reinvested, caps on monthly runoff; </w:t>
      </w:r>
      <w:r w:rsidRPr="0032251D">
        <w:rPr>
          <w:rFonts w:ascii="Aptos" w:eastAsia="Times New Roman" w:hAnsi="Aptos" w:cs="Times New Roman"/>
          <w:i/>
          <w:iCs/>
          <w:kern w:val="0"/>
          <w:sz w:val="22"/>
          <w:szCs w:val="22"/>
          <w:lang w:eastAsia="en-GB"/>
          <w14:ligatures w14:val="none"/>
        </w:rPr>
        <w:t>active QT</w:t>
      </w:r>
      <w:r w:rsidRPr="0032251D">
        <w:rPr>
          <w:rFonts w:ascii="Aptos" w:eastAsia="Times New Roman" w:hAnsi="Aptos" w:cs="Times New Roman"/>
          <w:kern w:val="0"/>
          <w:sz w:val="22"/>
          <w:szCs w:val="22"/>
          <w:lang w:eastAsia="en-GB"/>
          <w14:ligatures w14:val="none"/>
        </w:rPr>
        <w:t xml:space="preserve"> — outright sales, </w:t>
      </w:r>
      <w:proofErr w:type="gramStart"/>
      <w:r w:rsidRPr="0032251D">
        <w:rPr>
          <w:rFonts w:ascii="Aptos" w:eastAsia="Times New Roman" w:hAnsi="Aptos" w:cs="Times New Roman"/>
          <w:kern w:val="0"/>
          <w:sz w:val="22"/>
          <w:szCs w:val="22"/>
          <w:lang w:eastAsia="en-GB"/>
          <w14:ligatures w14:val="none"/>
        </w:rPr>
        <w:t>more aggressive and rare</w:t>
      </w:r>
      <w:proofErr w:type="gramEnd"/>
      <w:r w:rsidRPr="0032251D">
        <w:rPr>
          <w:rFonts w:ascii="Aptos" w:eastAsia="Times New Roman" w:hAnsi="Aptos" w:cs="Times New Roman"/>
          <w:kern w:val="0"/>
          <w:sz w:val="22"/>
          <w:szCs w:val="22"/>
          <w:lang w:eastAsia="en-GB"/>
          <w14:ligatures w14:val="none"/>
        </w:rPr>
        <w:t xml:space="preserve"> in practice (the Fed has never done it). Pace matters: fast QT can produce market dysfunction; slow QT is orderly normalisation.</w:t>
      </w:r>
    </w:p>
    <w:p w14:paraId="39A7CC4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YCC (yield curve control).</w:t>
      </w:r>
      <w:r w:rsidRPr="0032251D">
        <w:rPr>
          <w:rFonts w:ascii="Aptos" w:eastAsia="Times New Roman" w:hAnsi="Aptos" w:cs="Times New Roman"/>
          <w:kern w:val="0"/>
          <w:sz w:val="22"/>
          <w:szCs w:val="22"/>
          <w:lang w:eastAsia="en-GB"/>
          <w14:ligatures w14:val="none"/>
        </w:rPr>
        <w:t xml:space="preserve"> The bank commits to defend a specific yield at a specific maturity by buying unlimited quantity at that price. BoJ ran YCC on the 10-year 2016-2024; RBA on the 3-year 2020-2021. Structurally, QE/QT target </w:t>
      </w:r>
      <w:r w:rsidRPr="0032251D">
        <w:rPr>
          <w:rFonts w:ascii="Aptos" w:eastAsia="Times New Roman" w:hAnsi="Aptos" w:cs="Times New Roman"/>
          <w:i/>
          <w:iCs/>
          <w:kern w:val="0"/>
          <w:sz w:val="22"/>
          <w:szCs w:val="22"/>
          <w:lang w:eastAsia="en-GB"/>
          <w14:ligatures w14:val="none"/>
        </w:rPr>
        <w:t>quantities</w:t>
      </w:r>
      <w:r w:rsidRPr="0032251D">
        <w:rPr>
          <w:rFonts w:ascii="Aptos" w:eastAsia="Times New Roman" w:hAnsi="Aptos" w:cs="Times New Roman"/>
          <w:kern w:val="0"/>
          <w:sz w:val="22"/>
          <w:szCs w:val="22"/>
          <w:lang w:eastAsia="en-GB"/>
          <w14:ligatures w14:val="none"/>
        </w:rPr>
        <w:t xml:space="preserve"> and hope for price effects; YCC targets </w:t>
      </w:r>
      <w:r w:rsidRPr="0032251D">
        <w:rPr>
          <w:rFonts w:ascii="Aptos" w:eastAsia="Times New Roman" w:hAnsi="Aptos" w:cs="Times New Roman"/>
          <w:i/>
          <w:iCs/>
          <w:kern w:val="0"/>
          <w:sz w:val="22"/>
          <w:szCs w:val="22"/>
          <w:lang w:eastAsia="en-GB"/>
          <w14:ligatures w14:val="none"/>
        </w:rPr>
        <w:t>prices</w:t>
      </w:r>
      <w:r w:rsidRPr="0032251D">
        <w:rPr>
          <w:rFonts w:ascii="Aptos" w:eastAsia="Times New Roman" w:hAnsi="Aptos" w:cs="Times New Roman"/>
          <w:kern w:val="0"/>
          <w:sz w:val="22"/>
          <w:szCs w:val="22"/>
          <w:lang w:eastAsia="en-GB"/>
          <w14:ligatures w14:val="none"/>
        </w:rPr>
        <w:t xml:space="preserve"> and lets quantities adjust. YCC is more powerful when credible (markets do the work) but more dangerous when challenged (defending the peg can require unlimited buying — the RBA's 2021 abandonment is the cautionary case).</w:t>
      </w:r>
    </w:p>
    <w:p w14:paraId="7553B10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The most consequential operational label is </w:t>
      </w:r>
      <w:r w:rsidRPr="0032251D">
        <w:rPr>
          <w:rFonts w:ascii="Aptos" w:eastAsia="Times New Roman" w:hAnsi="Aptos" w:cs="Times New Roman"/>
          <w:i/>
          <w:iCs/>
          <w:kern w:val="0"/>
          <w:sz w:val="22"/>
          <w:szCs w:val="22"/>
          <w:lang w:eastAsia="en-GB"/>
          <w14:ligatures w14:val="none"/>
        </w:rPr>
        <w:t>monetary policy vs market functioning</w:t>
      </w:r>
      <w:r w:rsidRPr="0032251D">
        <w:rPr>
          <w:rFonts w:ascii="Aptos" w:eastAsia="Times New Roman" w:hAnsi="Aptos" w:cs="Times New Roman"/>
          <w:kern w:val="0"/>
          <w:sz w:val="22"/>
          <w:szCs w:val="22"/>
          <w:lang w:eastAsia="en-GB"/>
          <w14:ligatures w14:val="none"/>
        </w:rPr>
        <w:t xml:space="preserve">. The same operation can be framed either way. The 2020 Fed "unlimited QE" began as market functioning and then drifted to monetary stance; the 2019 Treasury bill purchases were explicitly </w:t>
      </w:r>
      <w:r w:rsidRPr="0032251D">
        <w:rPr>
          <w:rFonts w:ascii="Aptos" w:eastAsia="Times New Roman" w:hAnsi="Aptos" w:cs="Times New Roman"/>
          <w:i/>
          <w:iCs/>
          <w:kern w:val="0"/>
          <w:sz w:val="22"/>
          <w:szCs w:val="22"/>
          <w:lang w:eastAsia="en-GB"/>
          <w14:ligatures w14:val="none"/>
        </w:rPr>
        <w:t>not</w:t>
      </w:r>
      <w:r w:rsidRPr="0032251D">
        <w:rPr>
          <w:rFonts w:ascii="Aptos" w:eastAsia="Times New Roman" w:hAnsi="Aptos" w:cs="Times New Roman"/>
          <w:kern w:val="0"/>
          <w:sz w:val="22"/>
          <w:szCs w:val="22"/>
          <w:lang w:eastAsia="en-GB"/>
          <w14:ligatures w14:val="none"/>
        </w:rPr>
        <w:t xml:space="preserve"> monetary policy (reserves management). The bank's own framing matters because it shapes market interpretation.</w:t>
      </w:r>
    </w:p>
    <w:p w14:paraId="26BACF0E"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5C97ECE7">
          <v:rect id="_x0000_i1036" alt="" style="width:451.3pt;height:.05pt;mso-width-percent:0;mso-height-percent:0;mso-width-percent:0;mso-height-percent:0" o:hralign="center" o:hrstd="t" o:hr="t" fillcolor="#a0a0a0" stroked="f"/>
        </w:pict>
      </w:r>
    </w:p>
    <w:p w14:paraId="67A6157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Why this matters for asset prices</w:t>
      </w:r>
    </w:p>
    <w:p w14:paraId="6991633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The balance sheet hits the discount rate through the </w:t>
      </w:r>
      <w:r w:rsidRPr="0032251D">
        <w:rPr>
          <w:rFonts w:ascii="Aptos" w:eastAsia="Times New Roman" w:hAnsi="Aptos" w:cs="Times New Roman"/>
          <w:i/>
          <w:iCs/>
          <w:kern w:val="0"/>
          <w:sz w:val="22"/>
          <w:szCs w:val="22"/>
          <w:lang w:eastAsia="en-GB"/>
          <w14:ligatures w14:val="none"/>
        </w:rPr>
        <w:t>term premium</w:t>
      </w:r>
      <w:r w:rsidRPr="0032251D">
        <w:rPr>
          <w:rFonts w:ascii="Aptos" w:eastAsia="Times New Roman" w:hAnsi="Aptos" w:cs="Times New Roman"/>
          <w:kern w:val="0"/>
          <w:sz w:val="22"/>
          <w:szCs w:val="22"/>
          <w:lang w:eastAsia="en-GB"/>
          <w14:ligatures w14:val="none"/>
        </w:rPr>
        <w:t xml:space="preserve"> component. Recall:</w:t>
      </w:r>
    </w:p>
    <w:p w14:paraId="09984D0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Long yield = Expected average short rate + Term premium</w:t>
      </w:r>
    </w:p>
    <w:p w14:paraId="32CF349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policy rate works through expected short rates. The balance sheet works through term premium. So even at the ELB, the balance sheet can move long-end yields independently of the rate. This is the central empirical point: the two instruments target different components of the same long yield.</w:t>
      </w:r>
    </w:p>
    <w:p w14:paraId="52228B02"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Term premium moves flow through to every asset class with long-duration cash flows: government bonds directly; mortgage rates (long Treasuries + MBS spread); corporate bonds (long Treasuries + credit spread); equity valuations (long real rates discounting distant cash flows); FX (relative term premia driving long-term currency views).</w:t>
      </w:r>
    </w:p>
    <w:p w14:paraId="123B9E0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lastRenderedPageBreak/>
        <w:t>For long-duration assets specifically — growth equities, infrastructure, real estate — the term premium channel dominates the rate channel because cash flows sit far in the future. This is why post-2008 QE supported asset price inflation in long-duration sectors disproportionately.</w:t>
      </w:r>
    </w:p>
    <w:p w14:paraId="14292A6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signalling effect compounds the mechanical effect. A QE announcement tells markets simultaneously: (1) the bank is buying duration mechanically, (2) the bank is committed to easing on the policy stance dimension, and (3) the bank's reaction function now includes balance sheet operations going forward. All three flow into asset prices at once, which is why announcement effects often exceed implementation effects.</w:t>
      </w:r>
    </w:p>
    <w:p w14:paraId="0A4CD1C5"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A specific consequence worth </w:t>
      </w:r>
      <w:proofErr w:type="gramStart"/>
      <w:r w:rsidRPr="0032251D">
        <w:rPr>
          <w:rFonts w:ascii="Aptos" w:eastAsia="Times New Roman" w:hAnsi="Aptos" w:cs="Times New Roman"/>
          <w:kern w:val="0"/>
          <w:sz w:val="22"/>
          <w:szCs w:val="22"/>
          <w:lang w:eastAsia="en-GB"/>
          <w14:ligatures w14:val="none"/>
        </w:rPr>
        <w:t>flagging:</w:t>
      </w:r>
      <w:proofErr w:type="gramEnd"/>
      <w:r w:rsidRPr="0032251D">
        <w:rPr>
          <w:rFonts w:ascii="Aptos" w:eastAsia="Times New Roman" w:hAnsi="Aptos" w:cs="Times New Roman"/>
          <w:kern w:val="0"/>
          <w:sz w:val="22"/>
          <w:szCs w:val="22"/>
          <w:lang w:eastAsia="en-GB"/>
          <w14:ligatures w14:val="none"/>
        </w:rPr>
        <w:t xml:space="preserve"> balance sheet expansion compresses risk premia alongside term premia. This is the financial-stability tension that became visible post-2008 — the value of safe assets falls relative to risk assets, which can build leverage. Macroprudential policy is partly a response to this side-effect.</w:t>
      </w:r>
    </w:p>
    <w:p w14:paraId="40181AF4"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6400F98E">
          <v:rect id="_x0000_i1037" alt="" style="width:451.3pt;height:.05pt;mso-width-percent:0;mso-height-percent:0;mso-width-percent:0;mso-height-percent:0" o:hralign="center" o:hrstd="t" o:hr="t" fillcolor="#a0a0a0" stroked="f"/>
        </w:pict>
      </w:r>
    </w:p>
    <w:p w14:paraId="77CED8C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Regime and EM variation</w:t>
      </w:r>
    </w:p>
    <w:p w14:paraId="556052B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deepest asymmetry in the framework. Most EM banks have not used QE in the policy-stance sense. Four reasons.</w:t>
      </w:r>
    </w:p>
    <w:p w14:paraId="6B5133E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No ELB problem.</w:t>
      </w:r>
      <w:r w:rsidRPr="0032251D">
        <w:rPr>
          <w:rFonts w:ascii="Aptos" w:eastAsia="Times New Roman" w:hAnsi="Aptos" w:cs="Times New Roman"/>
          <w:kern w:val="0"/>
          <w:sz w:val="22"/>
          <w:szCs w:val="22"/>
          <w:lang w:eastAsia="en-GB"/>
          <w14:ligatures w14:val="none"/>
        </w:rPr>
        <w:t xml:space="preserve"> EM banks have generally not hit the lower bound, so the primary motivation for QE does not apply. Their rate space remains conventional.</w:t>
      </w:r>
    </w:p>
    <w:p w14:paraId="254027F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Inflation expectations less anchored.</w:t>
      </w:r>
      <w:r w:rsidRPr="0032251D">
        <w:rPr>
          <w:rFonts w:ascii="Aptos" w:eastAsia="Times New Roman" w:hAnsi="Aptos" w:cs="Times New Roman"/>
          <w:kern w:val="0"/>
          <w:sz w:val="22"/>
          <w:szCs w:val="22"/>
          <w:lang w:eastAsia="en-GB"/>
          <w14:ligatures w14:val="none"/>
        </w:rPr>
        <w:t xml:space="preserve"> EM banks expanding balance sheets risk being read as fiscal-monetary blurring or monetary financing of deficits. Inflation expectations in EM are more sensitive to balance sheet signals than to rate signals.</w:t>
      </w:r>
    </w:p>
    <w:p w14:paraId="2948FCE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FX consequence.</w:t>
      </w:r>
      <w:r w:rsidRPr="0032251D">
        <w:rPr>
          <w:rFonts w:ascii="Aptos" w:eastAsia="Times New Roman" w:hAnsi="Aptos" w:cs="Times New Roman"/>
          <w:kern w:val="0"/>
          <w:sz w:val="22"/>
          <w:szCs w:val="22"/>
          <w:lang w:eastAsia="en-GB"/>
          <w14:ligatures w14:val="none"/>
        </w:rPr>
        <w:t xml:space="preserve"> Balance sheet expansion in EM tends to weaken the currency more than in DM, because investors interpret it as potential monetisation. The portfolio-balance channel runs through FX rather than through term premium.</w:t>
      </w:r>
    </w:p>
    <w:p w14:paraId="701BE8A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Smaller bond markets.</w:t>
      </w:r>
      <w:r w:rsidRPr="0032251D">
        <w:rPr>
          <w:rFonts w:ascii="Aptos" w:eastAsia="Times New Roman" w:hAnsi="Aptos" w:cs="Times New Roman"/>
          <w:kern w:val="0"/>
          <w:sz w:val="22"/>
          <w:szCs w:val="22"/>
          <w:lang w:eastAsia="en-GB"/>
          <w14:ligatures w14:val="none"/>
        </w:rPr>
        <w:t xml:space="preserve"> EM bond markets are smaller and less liquid. Balance sheet operations can dominate price formation, which the bank may not want.</w:t>
      </w:r>
    </w:p>
    <w:p w14:paraId="79B9900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IMF's Integrated Policy Framework (Adrian et al. 2020) formalises when balance sheet operations are appropriate in EM — typically when FX markets are dysfunctional, not as primary monetary stance.</w:t>
      </w:r>
    </w:p>
    <w:p w14:paraId="5ED8623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For SA specifically: SARB has never run an asset purchase programme in the monetary stance sense. In 2020 it conducted a small secondary-market purchase programme (around R10-12bn) explicitly labelled market functioning. SA is effectively </w:t>
      </w:r>
      <w:r w:rsidRPr="0032251D">
        <w:rPr>
          <w:rFonts w:ascii="Aptos" w:eastAsia="Times New Roman" w:hAnsi="Aptos" w:cs="Times New Roman"/>
          <w:i/>
          <w:iCs/>
          <w:kern w:val="0"/>
          <w:sz w:val="22"/>
          <w:szCs w:val="22"/>
          <w:lang w:eastAsia="en-GB"/>
          <w14:ligatures w14:val="none"/>
        </w:rPr>
        <w:t>not estimable</w:t>
      </w:r>
      <w:r w:rsidRPr="0032251D">
        <w:rPr>
          <w:rFonts w:ascii="Aptos" w:eastAsia="Times New Roman" w:hAnsi="Aptos" w:cs="Times New Roman"/>
          <w:kern w:val="0"/>
          <w:sz w:val="22"/>
          <w:szCs w:val="22"/>
          <w:lang w:eastAsia="en-GB"/>
          <w14:ligatures w14:val="none"/>
        </w:rPr>
        <w:t xml:space="preserve"> on monetary-stance L3b — which is itself an empirical result for the panel.</w:t>
      </w:r>
    </w:p>
    <w:p w14:paraId="2E3DD9C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For the DM panel: balance sheet is co-equal with rate in the post-2008 regime. The Fed, ECB, BoE, BoJ have all run large QE; QT followed for most. The BoJ ran explicit YCC 2016-2024.</w:t>
      </w:r>
    </w:p>
    <w:p w14:paraId="15D8D820"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31FF8A3F">
          <v:rect id="_x0000_i1038" alt="" style="width:451.3pt;height:.05pt;mso-width-percent:0;mso-height-percent:0;mso-width-percent:0;mso-height-percent:0" o:hralign="center" o:hrstd="t" o:hr="t" fillcolor="#a0a0a0" stroked="f"/>
        </w:pict>
      </w:r>
    </w:p>
    <w:p w14:paraId="3AE810E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Empirical pitfalls</w:t>
      </w:r>
    </w:p>
    <w:p w14:paraId="73DC45A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What is "the" balance sheet stance?</w:t>
      </w:r>
      <w:r w:rsidRPr="0032251D">
        <w:rPr>
          <w:rFonts w:ascii="Aptos" w:eastAsia="Times New Roman" w:hAnsi="Aptos" w:cs="Times New Roman"/>
          <w:kern w:val="0"/>
          <w:sz w:val="22"/>
          <w:szCs w:val="22"/>
          <w:lang w:eastAsia="en-GB"/>
          <w14:ligatures w14:val="none"/>
        </w:rPr>
        <w:t xml:space="preserve"> Total size? Net flow? Duration absorbed? Announced vs realised? Each gives a different stance reading at the same point in time. The 2019 Fed Treasury bill purchases expanded size without absorbing duration — different metrics gave opposing stance signals.</w:t>
      </w:r>
    </w:p>
    <w:p w14:paraId="64680CA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Stance vs market-functioning labelling.</w:t>
      </w:r>
      <w:r w:rsidRPr="0032251D">
        <w:rPr>
          <w:rFonts w:ascii="Aptos" w:eastAsia="Times New Roman" w:hAnsi="Aptos" w:cs="Times New Roman"/>
          <w:kern w:val="0"/>
          <w:sz w:val="22"/>
          <w:szCs w:val="22"/>
          <w:lang w:eastAsia="en-GB"/>
          <w14:ligatures w14:val="none"/>
        </w:rPr>
        <w:t xml:space="preserve"> The same operation can be either, depending on the bank's framing. The 2020 Fed unlimited QE was first one then the other. PEPP blended both. Measurement requires a labelling decision the bank itself sometimes blurs deliberately.</w:t>
      </w:r>
    </w:p>
    <w:p w14:paraId="06BB24F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Shadow rate construction.</w:t>
      </w:r>
      <w:r w:rsidRPr="0032251D">
        <w:rPr>
          <w:rFonts w:ascii="Aptos" w:eastAsia="Times New Roman" w:hAnsi="Aptos" w:cs="Times New Roman"/>
          <w:kern w:val="0"/>
          <w:sz w:val="22"/>
          <w:szCs w:val="22"/>
          <w:lang w:eastAsia="en-GB"/>
          <w14:ligatures w14:val="none"/>
        </w:rPr>
        <w:t xml:space="preserve"> To compare balance sheet stance to a rate-equivalent at the ELB, shadow rate models (</w:t>
      </w:r>
      <w:proofErr w:type="gramStart"/>
      <w:r w:rsidRPr="0032251D">
        <w:rPr>
          <w:rFonts w:ascii="Aptos" w:eastAsia="Times New Roman" w:hAnsi="Aptos" w:cs="Times New Roman"/>
          <w:kern w:val="0"/>
          <w:sz w:val="22"/>
          <w:szCs w:val="22"/>
          <w:lang w:eastAsia="en-GB"/>
          <w14:ligatures w14:val="none"/>
        </w:rPr>
        <w:t>Wu-Xia</w:t>
      </w:r>
      <w:proofErr w:type="gramEnd"/>
      <w:r w:rsidRPr="0032251D">
        <w:rPr>
          <w:rFonts w:ascii="Aptos" w:eastAsia="Times New Roman" w:hAnsi="Aptos" w:cs="Times New Roman"/>
          <w:kern w:val="0"/>
          <w:sz w:val="22"/>
          <w:szCs w:val="22"/>
          <w:lang w:eastAsia="en-GB"/>
          <w14:ligatures w14:val="none"/>
        </w:rPr>
        <w:t xml:space="preserve">, Krippner) extrapolate a hypothetical negative rate consistent with observed yield curves. The shadow rate is sensitive to model specification — </w:t>
      </w:r>
      <w:proofErr w:type="gramStart"/>
      <w:r w:rsidRPr="0032251D">
        <w:rPr>
          <w:rFonts w:ascii="Aptos" w:eastAsia="Times New Roman" w:hAnsi="Aptos" w:cs="Times New Roman"/>
          <w:kern w:val="0"/>
          <w:sz w:val="22"/>
          <w:szCs w:val="22"/>
          <w:lang w:eastAsia="en-GB"/>
          <w14:ligatures w14:val="none"/>
        </w:rPr>
        <w:t>Wu-Xia</w:t>
      </w:r>
      <w:proofErr w:type="gramEnd"/>
      <w:r w:rsidRPr="0032251D">
        <w:rPr>
          <w:rFonts w:ascii="Aptos" w:eastAsia="Times New Roman" w:hAnsi="Aptos" w:cs="Times New Roman"/>
          <w:kern w:val="0"/>
          <w:sz w:val="22"/>
          <w:szCs w:val="22"/>
          <w:lang w:eastAsia="en-GB"/>
          <w14:ligatures w14:val="none"/>
        </w:rPr>
        <w:t xml:space="preserve"> and Krippner can differ by 100-200bp at the same date.</w:t>
      </w:r>
    </w:p>
    <w:p w14:paraId="5484C7B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Identifying balance sheet shocks.</w:t>
      </w:r>
      <w:r w:rsidRPr="0032251D">
        <w:rPr>
          <w:rFonts w:ascii="Aptos" w:eastAsia="Times New Roman" w:hAnsi="Aptos" w:cs="Times New Roman"/>
          <w:kern w:val="0"/>
          <w:sz w:val="22"/>
          <w:szCs w:val="22"/>
          <w:lang w:eastAsia="en-GB"/>
          <w14:ligatures w14:val="none"/>
        </w:rPr>
        <w:t xml:space="preserve"> Rate decision surprises are clean (decision minus OIS-implied). Balance sheet surprises are harder. Event-study approaches (Krishnamurthy-Vissing-Jorgensen, Gagnon et al.) use daily yield changes around announcements; high-frequency identification (Bauer-Swanson) uses tight windows. Different approaches give different effect sizes — sometimes by factors of two or three.</w:t>
      </w:r>
    </w:p>
    <w:p w14:paraId="04EF21C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Stock vs flow effects.</w:t>
      </w:r>
      <w:r w:rsidRPr="0032251D">
        <w:rPr>
          <w:rFonts w:ascii="Aptos" w:eastAsia="Times New Roman" w:hAnsi="Aptos" w:cs="Times New Roman"/>
          <w:kern w:val="0"/>
          <w:sz w:val="22"/>
          <w:szCs w:val="22"/>
          <w:lang w:eastAsia="en-GB"/>
          <w14:ligatures w14:val="none"/>
        </w:rPr>
        <w:t xml:space="preserve"> Does the balance sheet level matter (stock) or the change (flow)? Empirically, both. Stock effects compress term premium persistently; flow effects produce concentrated impact at announcement.</w:t>
      </w:r>
    </w:p>
    <w:p w14:paraId="64EFCF1E"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12980DBE">
          <v:rect id="_x0000_i1039" alt="" style="width:451.3pt;height:.05pt;mso-width-percent:0;mso-height-percent:0;mso-width-percent:0;mso-height-percent:0" o:hralign="center" o:hrstd="t" o:hr="t" fillcolor="#a0a0a0" stroked="f"/>
        </w:pict>
      </w:r>
    </w:p>
    <w:p w14:paraId="5EE9AD7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Where dissonance lives</w:t>
      </w:r>
    </w:p>
    <w:p w14:paraId="45B0292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Within L3b, dissonance has structural richness.</w:t>
      </w:r>
    </w:p>
    <w:p w14:paraId="1226F012"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Intra-node.</w:t>
      </w:r>
      <w:r w:rsidRPr="0032251D">
        <w:rPr>
          <w:rFonts w:ascii="Aptos" w:eastAsia="Times New Roman" w:hAnsi="Aptos" w:cs="Times New Roman"/>
          <w:kern w:val="0"/>
          <w:sz w:val="22"/>
          <w:szCs w:val="22"/>
          <w:lang w:eastAsia="en-GB"/>
          <w14:ligatures w14:val="none"/>
        </w:rPr>
        <w:t xml:space="preserve"> Multiple stance readings disagree:</w:t>
      </w:r>
    </w:p>
    <w:p w14:paraId="7AD49988" w14:textId="77777777" w:rsidR="0032251D" w:rsidRPr="0032251D" w:rsidRDefault="0032251D">
      <w:pPr>
        <w:numPr>
          <w:ilvl w:val="0"/>
          <w:numId w:val="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Size vs composition.</w:t>
      </w:r>
      <w:r w:rsidRPr="0032251D">
        <w:rPr>
          <w:rFonts w:ascii="Aptos" w:eastAsia="Times New Roman" w:hAnsi="Aptos" w:cs="Times New Roman"/>
          <w:kern w:val="0"/>
          <w:sz w:val="22"/>
          <w:szCs w:val="22"/>
          <w:lang w:eastAsia="en-GB"/>
          <w14:ligatures w14:val="none"/>
        </w:rPr>
        <w:t xml:space="preserve"> Balance sheet expands but duration profile of holdings shortens (2019 Fed)</w:t>
      </w:r>
    </w:p>
    <w:p w14:paraId="4913030C" w14:textId="77777777" w:rsidR="0032251D" w:rsidRPr="0032251D" w:rsidRDefault="0032251D">
      <w:pPr>
        <w:numPr>
          <w:ilvl w:val="0"/>
          <w:numId w:val="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Announced vs realised pace.</w:t>
      </w:r>
      <w:r w:rsidRPr="0032251D">
        <w:rPr>
          <w:rFonts w:ascii="Aptos" w:eastAsia="Times New Roman" w:hAnsi="Aptos" w:cs="Times New Roman"/>
          <w:kern w:val="0"/>
          <w:sz w:val="22"/>
          <w:szCs w:val="22"/>
          <w:lang w:eastAsia="en-GB"/>
          <w14:ligatures w14:val="none"/>
        </w:rPr>
        <w:t xml:space="preserve"> Bank says it will buy $X/month; actual purchases differ</w:t>
      </w:r>
    </w:p>
    <w:p w14:paraId="7968BAF3" w14:textId="77777777" w:rsidR="0032251D" w:rsidRPr="0032251D" w:rsidRDefault="0032251D">
      <w:pPr>
        <w:numPr>
          <w:ilvl w:val="0"/>
          <w:numId w:val="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Monetary vs market-functioning label.</w:t>
      </w:r>
      <w:r w:rsidRPr="0032251D">
        <w:rPr>
          <w:rFonts w:ascii="Aptos" w:eastAsia="Times New Roman" w:hAnsi="Aptos" w:cs="Times New Roman"/>
          <w:kern w:val="0"/>
          <w:sz w:val="22"/>
          <w:szCs w:val="22"/>
          <w:lang w:eastAsia="en-GB"/>
          <w14:ligatures w14:val="none"/>
        </w:rPr>
        <w:t xml:space="preserve"> Stated purpose changes but actual operations do not, or vice versa</w:t>
      </w:r>
    </w:p>
    <w:p w14:paraId="41D8E314" w14:textId="77777777" w:rsidR="0032251D" w:rsidRPr="0032251D" w:rsidRDefault="0032251D">
      <w:pPr>
        <w:numPr>
          <w:ilvl w:val="0"/>
          <w:numId w:val="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Purpose-effect gap.</w:t>
      </w:r>
      <w:r w:rsidRPr="0032251D">
        <w:rPr>
          <w:rFonts w:ascii="Aptos" w:eastAsia="Times New Roman" w:hAnsi="Aptos" w:cs="Times New Roman"/>
          <w:kern w:val="0"/>
          <w:sz w:val="22"/>
          <w:szCs w:val="22"/>
          <w:lang w:eastAsia="en-GB"/>
          <w14:ligatures w14:val="none"/>
        </w:rPr>
        <w:t xml:space="preserve"> Announced monetary stance does not produce term-premium move, or stated market-functioning operations produce stance-like signals</w:t>
      </w:r>
    </w:p>
    <w:p w14:paraId="388C583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upward, L2 → L3b.</w:t>
      </w:r>
      <w:r w:rsidRPr="0032251D">
        <w:rPr>
          <w:rFonts w:ascii="Aptos" w:eastAsia="Times New Roman" w:hAnsi="Aptos" w:cs="Times New Roman"/>
          <w:kern w:val="0"/>
          <w:sz w:val="22"/>
          <w:szCs w:val="22"/>
          <w:lang w:eastAsia="en-GB"/>
          <w14:ligatures w14:val="none"/>
        </w:rPr>
        <w:t xml:space="preserve"> At the ELB, the loss function activates balance sheet because the rate is constrained. Dissonance fires when ELB binds but balance sheet remains dormant — the bank refusing to deploy available tools.</w:t>
      </w:r>
    </w:p>
    <w:p w14:paraId="7B205F8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upward, L1 → L3b.</w:t>
      </w:r>
      <w:r w:rsidRPr="0032251D">
        <w:rPr>
          <w:rFonts w:ascii="Aptos" w:eastAsia="Times New Roman" w:hAnsi="Aptos" w:cs="Times New Roman"/>
          <w:kern w:val="0"/>
          <w:sz w:val="22"/>
          <w:szCs w:val="22"/>
          <w:lang w:eastAsia="en-GB"/>
          <w14:ligatures w14:val="none"/>
        </w:rPr>
        <w:t xml:space="preserve"> For banks that have integrated balance sheet into their reaction function (post-2008 DM), the rule prescribes a balance sheet stance alongside the rate. Dissonance fires when balance sheet operations contradict the rule's implied stance.</w:t>
      </w:r>
    </w:p>
    <w:p w14:paraId="23FD0D4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 L3b → L4a.</w:t>
      </w:r>
      <w:r w:rsidRPr="0032251D">
        <w:rPr>
          <w:rFonts w:ascii="Aptos" w:eastAsia="Times New Roman" w:hAnsi="Aptos" w:cs="Times New Roman"/>
          <w:kern w:val="0"/>
          <w:sz w:val="22"/>
          <w:szCs w:val="22"/>
          <w:lang w:eastAsia="en-GB"/>
          <w14:ligatures w14:val="none"/>
        </w:rPr>
        <w:t xml:space="preserve"> The balance sheet should compress (in QE) or lift (in QT) term premium. Dissonance fires when operations do not produce the expected term-premium </w:t>
      </w:r>
      <w:r w:rsidRPr="0032251D">
        <w:rPr>
          <w:rFonts w:ascii="Aptos" w:eastAsia="Times New Roman" w:hAnsi="Aptos" w:cs="Times New Roman"/>
          <w:kern w:val="0"/>
          <w:sz w:val="22"/>
          <w:szCs w:val="22"/>
          <w:lang w:eastAsia="en-GB"/>
          <w14:ligatures w14:val="none"/>
        </w:rPr>
        <w:lastRenderedPageBreak/>
        <w:t>response. The 2022-2023 QT did not lift term premium as much as models predicted — possibly because abundant private demand absorbed the supply.</w:t>
      </w:r>
    </w:p>
    <w:p w14:paraId="3DF2BA1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 L3b → L8 (convenience yield).</w:t>
      </w:r>
      <w:r w:rsidRPr="0032251D">
        <w:rPr>
          <w:rFonts w:ascii="Aptos" w:eastAsia="Times New Roman" w:hAnsi="Aptos" w:cs="Times New Roman"/>
          <w:kern w:val="0"/>
          <w:sz w:val="22"/>
          <w:szCs w:val="22"/>
          <w:lang w:eastAsia="en-GB"/>
          <w14:ligatures w14:val="none"/>
        </w:rPr>
        <w:t xml:space="preserve"> Balance sheet operations directly affect the convenience yield by changing the supply of safe assets in private hands. QE compresses convenience yield; QT widens it. Dissonance fires when this channel is disrupted (debt ceiling episodes, dealer balance sheet constraints).</w:t>
      </w:r>
    </w:p>
    <w:p w14:paraId="23DA4D7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The L3b node is the bank's </w:t>
      </w:r>
      <w:r w:rsidRPr="0032251D">
        <w:rPr>
          <w:rFonts w:ascii="Aptos" w:eastAsia="Times New Roman" w:hAnsi="Aptos" w:cs="Times New Roman"/>
          <w:i/>
          <w:iCs/>
          <w:kern w:val="0"/>
          <w:sz w:val="22"/>
          <w:szCs w:val="22"/>
          <w:lang w:eastAsia="en-GB"/>
          <w14:ligatures w14:val="none"/>
        </w:rPr>
        <w:t>quantity instrument</w:t>
      </w:r>
      <w:r w:rsidRPr="0032251D">
        <w:rPr>
          <w:rFonts w:ascii="Aptos" w:eastAsia="Times New Roman" w:hAnsi="Aptos" w:cs="Times New Roman"/>
          <w:kern w:val="0"/>
          <w:sz w:val="22"/>
          <w:szCs w:val="22"/>
          <w:lang w:eastAsia="en-GB"/>
          <w14:ligatures w14:val="none"/>
        </w:rPr>
        <w:t>. Pre-2008 passive; post-2008 actively deployed in DM. Dissonance at L3b means the bank's quantity actions do not match its stated quantity intent, or that the quantity stance is inconsistent with the price stance set by L3a.</w:t>
      </w:r>
    </w:p>
    <w:p w14:paraId="0178477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Level 3c — Forward Guidance</w:t>
      </w:r>
    </w:p>
    <w:p w14:paraId="7E5A6AB5"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Definition.</w:t>
      </w:r>
      <w:r w:rsidRPr="0032251D">
        <w:rPr>
          <w:rFonts w:ascii="Aptos" w:eastAsia="Times New Roman" w:hAnsi="Aptos" w:cs="Times New Roman"/>
          <w:kern w:val="0"/>
          <w:sz w:val="22"/>
          <w:szCs w:val="22"/>
          <w:lang w:eastAsia="en-GB"/>
          <w14:ligatures w14:val="none"/>
        </w:rPr>
        <w:t xml:space="preserve"> Forward guidance is communication by the central bank about the future path of policy. It is the practice of using words to move markets when actions alone are insufficient or constrained. Pre-2008 it was largely implicit (the cryptic Greenspan era). Post-2008 it became explicit and was elevated to a third major instrument — the policy rate moves the front of the curve, the balance sheet moves the back, and forward guidance moves the belly. It comes in several forms: open-ended qualitative ("extended period"); calendar-based ("through at least 2024"); state-contingent threshold-based ("until unemployment falls below 6.5%"); state-contingent outcome-based ("until inflation reaches 2% on a sustained basis"); and quantitative path projections (the Fed dot plot, BoE fan charts, </w:t>
      </w:r>
      <w:proofErr w:type="spellStart"/>
      <w:r w:rsidRPr="0032251D">
        <w:rPr>
          <w:rFonts w:ascii="Aptos" w:eastAsia="Times New Roman" w:hAnsi="Aptos" w:cs="Times New Roman"/>
          <w:kern w:val="0"/>
          <w:sz w:val="22"/>
          <w:szCs w:val="22"/>
          <w:lang w:eastAsia="en-GB"/>
          <w14:ligatures w14:val="none"/>
        </w:rPr>
        <w:t>Riksbank</w:t>
      </w:r>
      <w:proofErr w:type="spellEnd"/>
      <w:r w:rsidRPr="0032251D">
        <w:rPr>
          <w:rFonts w:ascii="Aptos" w:eastAsia="Times New Roman" w:hAnsi="Aptos" w:cs="Times New Roman"/>
          <w:kern w:val="0"/>
          <w:sz w:val="22"/>
          <w:szCs w:val="22"/>
          <w:lang w:eastAsia="en-GB"/>
          <w14:ligatures w14:val="none"/>
        </w:rPr>
        <w:t xml:space="preserve"> repo path).</w:t>
      </w:r>
    </w:p>
    <w:p w14:paraId="6DBC90B9"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4CBA61A2">
          <v:rect id="_x0000_i1040" alt="" style="width:451.3pt;height:.05pt;mso-width-percent:0;mso-height-percent:0;mso-width-percent:0;mso-height-percent:0" o:hralign="center" o:hrstd="t" o:hr="t" fillcolor="#a0a0a0" stroked="f"/>
        </w:pict>
      </w:r>
    </w:p>
    <w:p w14:paraId="7608EEE2"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Theory</w:t>
      </w:r>
    </w:p>
    <w:p w14:paraId="4FC140A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The deep theoretical foundation: monetary policy operates with long lags and through the expected path, not the current level. Woodford (2003) showed in a New Keynesian framework that what matters for output and inflation is the </w:t>
      </w:r>
      <w:r w:rsidRPr="0032251D">
        <w:rPr>
          <w:rFonts w:ascii="Aptos" w:eastAsia="Times New Roman" w:hAnsi="Aptos" w:cs="Times New Roman"/>
          <w:i/>
          <w:iCs/>
          <w:kern w:val="0"/>
          <w:sz w:val="22"/>
          <w:szCs w:val="22"/>
          <w:lang w:eastAsia="en-GB"/>
          <w14:ligatures w14:val="none"/>
        </w:rPr>
        <w:t>expected path</w:t>
      </w:r>
      <w:r w:rsidRPr="0032251D">
        <w:rPr>
          <w:rFonts w:ascii="Aptos" w:eastAsia="Times New Roman" w:hAnsi="Aptos" w:cs="Times New Roman"/>
          <w:kern w:val="0"/>
          <w:sz w:val="22"/>
          <w:szCs w:val="22"/>
          <w:lang w:eastAsia="en-GB"/>
          <w14:ligatures w14:val="none"/>
        </w:rPr>
        <w:t xml:space="preserve"> of real short rates, not the rate today. </w:t>
      </w:r>
      <w:proofErr w:type="gramStart"/>
      <w:r w:rsidRPr="0032251D">
        <w:rPr>
          <w:rFonts w:ascii="Aptos" w:eastAsia="Times New Roman" w:hAnsi="Aptos" w:cs="Times New Roman"/>
          <w:kern w:val="0"/>
          <w:sz w:val="22"/>
          <w:szCs w:val="22"/>
          <w:lang w:eastAsia="en-GB"/>
          <w14:ligatures w14:val="none"/>
        </w:rPr>
        <w:t>So</w:t>
      </w:r>
      <w:proofErr w:type="gramEnd"/>
      <w:r w:rsidRPr="0032251D">
        <w:rPr>
          <w:rFonts w:ascii="Aptos" w:eastAsia="Times New Roman" w:hAnsi="Aptos" w:cs="Times New Roman"/>
          <w:kern w:val="0"/>
          <w:sz w:val="22"/>
          <w:szCs w:val="22"/>
          <w:lang w:eastAsia="en-GB"/>
          <w14:ligatures w14:val="none"/>
        </w:rPr>
        <w:t xml:space="preserve"> the bank's ability to shape expectations of future policy is structurally equivalent to setting policy itself. Guidance is not a substitute for action — it is action through a different channel.</w:t>
      </w:r>
    </w:p>
    <w:p w14:paraId="43DAE7F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Delphic vs Odyssean (Campbell, Evans, Fisher, Justiniano 2012).</w:t>
      </w:r>
      <w:r w:rsidRPr="0032251D">
        <w:rPr>
          <w:rFonts w:ascii="Aptos" w:eastAsia="Times New Roman" w:hAnsi="Aptos" w:cs="Times New Roman"/>
          <w:kern w:val="0"/>
          <w:sz w:val="22"/>
          <w:szCs w:val="22"/>
          <w:lang w:eastAsia="en-GB"/>
          <w14:ligatures w14:val="none"/>
        </w:rPr>
        <w:t xml:space="preserve"> The foundational distinction.</w:t>
      </w:r>
    </w:p>
    <w:p w14:paraId="4001D4A2" w14:textId="77777777" w:rsidR="0032251D" w:rsidRPr="0032251D" w:rsidRDefault="0032251D">
      <w:pPr>
        <w:numPr>
          <w:ilvl w:val="0"/>
          <w:numId w:val="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Delphic guidance:</w:t>
      </w:r>
      <w:r w:rsidRPr="0032251D">
        <w:rPr>
          <w:rFonts w:ascii="Aptos" w:eastAsia="Times New Roman" w:hAnsi="Aptos" w:cs="Times New Roman"/>
          <w:kern w:val="0"/>
          <w:sz w:val="22"/>
          <w:szCs w:val="22"/>
          <w:lang w:eastAsia="en-GB"/>
          <w14:ligatures w14:val="none"/>
        </w:rPr>
        <w:t xml:space="preserve"> the bank shares its forecast. "We expect rates at 5% next year given our outlook." This is information about the economy, not a commitment. If the outlook changes, the path changes.</w:t>
      </w:r>
    </w:p>
    <w:p w14:paraId="214725E4" w14:textId="77777777" w:rsidR="0032251D" w:rsidRPr="0032251D" w:rsidRDefault="0032251D">
      <w:pPr>
        <w:numPr>
          <w:ilvl w:val="0"/>
          <w:numId w:val="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Odyssean guidance:</w:t>
      </w:r>
      <w:r w:rsidRPr="0032251D">
        <w:rPr>
          <w:rFonts w:ascii="Aptos" w:eastAsia="Times New Roman" w:hAnsi="Aptos" w:cs="Times New Roman"/>
          <w:kern w:val="0"/>
          <w:sz w:val="22"/>
          <w:szCs w:val="22"/>
          <w:lang w:eastAsia="en-GB"/>
          <w14:ligatures w14:val="none"/>
        </w:rPr>
        <w:t xml:space="preserve"> the bank commits to a path. "We will hold rates here through 2025 even if inflation rises." This is a binding pledge — like Odysseus tied to the mast. The bank commits to deviate from what data alone would prescribe.</w:t>
      </w:r>
    </w:p>
    <w:p w14:paraId="418569E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The two transmit through different channels. Delphic operates through the information effect — markets learn what the bank knows about the economy. Odyssean operates through the commitment effect — markets learn what the bank will do regardless of incoming data. Odyssean guidance is more powerful when </w:t>
      </w:r>
      <w:proofErr w:type="gramStart"/>
      <w:r w:rsidRPr="0032251D">
        <w:rPr>
          <w:rFonts w:ascii="Aptos" w:eastAsia="Times New Roman" w:hAnsi="Aptos" w:cs="Times New Roman"/>
          <w:kern w:val="0"/>
          <w:sz w:val="22"/>
          <w:szCs w:val="22"/>
          <w:lang w:eastAsia="en-GB"/>
          <w14:ligatures w14:val="none"/>
        </w:rPr>
        <w:t>believed, but</w:t>
      </w:r>
      <w:proofErr w:type="gramEnd"/>
      <w:r w:rsidRPr="0032251D">
        <w:rPr>
          <w:rFonts w:ascii="Aptos" w:eastAsia="Times New Roman" w:hAnsi="Aptos" w:cs="Times New Roman"/>
          <w:kern w:val="0"/>
          <w:sz w:val="22"/>
          <w:szCs w:val="22"/>
          <w:lang w:eastAsia="en-GB"/>
          <w14:ligatures w14:val="none"/>
        </w:rPr>
        <w:t xml:space="preserve"> only works if the bank's credibility supports the commitment.</w:t>
      </w:r>
    </w:p>
    <w:p w14:paraId="363CA71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The ELB rationale.</w:t>
      </w:r>
      <w:r w:rsidRPr="0032251D">
        <w:rPr>
          <w:rFonts w:ascii="Aptos" w:eastAsia="Times New Roman" w:hAnsi="Aptos" w:cs="Times New Roman"/>
          <w:kern w:val="0"/>
          <w:sz w:val="22"/>
          <w:szCs w:val="22"/>
          <w:lang w:eastAsia="en-GB"/>
          <w14:ligatures w14:val="none"/>
        </w:rPr>
        <w:t xml:space="preserve"> When the policy rate is constrained, the bank can still ease by promising to keep rates low for longer. Eggertsson-Woodford (2003) showed that at the ELB, the </w:t>
      </w:r>
      <w:r w:rsidRPr="0032251D">
        <w:rPr>
          <w:rFonts w:ascii="Aptos" w:eastAsia="Times New Roman" w:hAnsi="Aptos" w:cs="Times New Roman"/>
          <w:i/>
          <w:iCs/>
          <w:kern w:val="0"/>
          <w:sz w:val="22"/>
          <w:szCs w:val="22"/>
          <w:lang w:eastAsia="en-GB"/>
          <w14:ligatures w14:val="none"/>
        </w:rPr>
        <w:t>optimal</w:t>
      </w:r>
      <w:r w:rsidRPr="0032251D">
        <w:rPr>
          <w:rFonts w:ascii="Aptos" w:eastAsia="Times New Roman" w:hAnsi="Aptos" w:cs="Times New Roman"/>
          <w:kern w:val="0"/>
          <w:sz w:val="22"/>
          <w:szCs w:val="22"/>
          <w:lang w:eastAsia="en-GB"/>
          <w14:ligatures w14:val="none"/>
        </w:rPr>
        <w:t xml:space="preserve"> policy is to promise future easing — explicitly committing to deviation from the rule after the constraint releases. This lowers long rates today via the expectations hypothesis, providing easing without cutting the current rate.</w:t>
      </w:r>
    </w:p>
    <w:p w14:paraId="4FE33E4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The credibility constraint.</w:t>
      </w:r>
      <w:r w:rsidRPr="0032251D">
        <w:rPr>
          <w:rFonts w:ascii="Aptos" w:eastAsia="Times New Roman" w:hAnsi="Aptos" w:cs="Times New Roman"/>
          <w:kern w:val="0"/>
          <w:sz w:val="22"/>
          <w:szCs w:val="22"/>
          <w:lang w:eastAsia="en-GB"/>
          <w14:ligatures w14:val="none"/>
        </w:rPr>
        <w:t xml:space="preserve"> Forward guidance only works if markets believe it. A bank that has reneged on past guidance loses the ability to use it. The Fed's 2020-2021 inflation guidance under FAIT is the modern cautionary case: outcome-based guidance promising no hikes until inflation showed sustained progress, then a pivot to aggressive hiking as inflation surprised upward. The 2022 pivot damaged the credibility of subsequent guidance.</w:t>
      </w:r>
    </w:p>
    <w:p w14:paraId="5BD9F01B"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6BF10AD0">
          <v:rect id="_x0000_i1041" alt="" style="width:451.3pt;height:.05pt;mso-width-percent:0;mso-height-percent:0;mso-width-percent:0;mso-height-percent:0" o:hralign="center" o:hrstd="t" o:hr="t" fillcolor="#a0a0a0" stroked="f"/>
        </w:pict>
      </w:r>
    </w:p>
    <w:p w14:paraId="52DD175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Canonical specifications and parameters</w:t>
      </w:r>
    </w:p>
    <w:p w14:paraId="06D6700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Five operational forms, with increasing specificity:</w:t>
      </w:r>
    </w:p>
    <w:p w14:paraId="6B939DB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Open-ended qualitative.</w:t>
      </w:r>
      <w:r w:rsidRPr="0032251D">
        <w:rPr>
          <w:rFonts w:ascii="Aptos" w:eastAsia="Times New Roman" w:hAnsi="Aptos" w:cs="Times New Roman"/>
          <w:kern w:val="0"/>
          <w:sz w:val="22"/>
          <w:szCs w:val="22"/>
          <w:lang w:eastAsia="en-GB"/>
          <w14:ligatures w14:val="none"/>
        </w:rPr>
        <w:t xml:space="preserve"> Words like "patient," "considerable time," "extended period." Vague by design. Move markets through tone interpretation. Common pre-2008 and still used.</w:t>
      </w:r>
    </w:p>
    <w:p w14:paraId="19158C82"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Calendar-based.</w:t>
      </w:r>
      <w:r w:rsidRPr="0032251D">
        <w:rPr>
          <w:rFonts w:ascii="Aptos" w:eastAsia="Times New Roman" w:hAnsi="Aptos" w:cs="Times New Roman"/>
          <w:kern w:val="0"/>
          <w:sz w:val="22"/>
          <w:szCs w:val="22"/>
          <w:lang w:eastAsia="en-GB"/>
          <w14:ligatures w14:val="none"/>
        </w:rPr>
        <w:t xml:space="preserve"> Time-specific commitments. "Through mid-2013." Mechanically powerful if believed (markets price the calendar) but inflexible — incoming data may make the calendar wrong.</w:t>
      </w:r>
    </w:p>
    <w:p w14:paraId="6ABC1EC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State-contingent threshold-based.</w:t>
      </w:r>
      <w:r w:rsidRPr="0032251D">
        <w:rPr>
          <w:rFonts w:ascii="Aptos" w:eastAsia="Times New Roman" w:hAnsi="Aptos" w:cs="Times New Roman"/>
          <w:kern w:val="0"/>
          <w:sz w:val="22"/>
          <w:szCs w:val="22"/>
          <w:lang w:eastAsia="en-GB"/>
          <w14:ligatures w14:val="none"/>
        </w:rPr>
        <w:t xml:space="preserve"> Tied to observable variables. The Fed's 2012 "Evans rule" — hold rates until unemployment below 6.5% OR inflation above 2.5%. Easier to evaluate ex-post; allows markets to forecast the regime change.</w:t>
      </w:r>
    </w:p>
    <w:p w14:paraId="4DF5CA6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State-contingent outcome-based.</w:t>
      </w:r>
      <w:r w:rsidRPr="0032251D">
        <w:rPr>
          <w:rFonts w:ascii="Aptos" w:eastAsia="Times New Roman" w:hAnsi="Aptos" w:cs="Times New Roman"/>
          <w:kern w:val="0"/>
          <w:sz w:val="22"/>
          <w:szCs w:val="22"/>
          <w:lang w:eastAsia="en-GB"/>
          <w14:ligatures w14:val="none"/>
        </w:rPr>
        <w:t xml:space="preserve"> Tied to less observable outcomes. The Fed's 2020 FAIT framework — hold until inflation reaches 2% AND is "on track to moderately exceed for some time." Conceptually flexible but harder to monitor in real time. More vulnerable to credibility loss when the bank decides the condition is met.</w:t>
      </w:r>
    </w:p>
    <w:p w14:paraId="6962B2E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Quantitative path projections.</w:t>
      </w:r>
      <w:r w:rsidRPr="0032251D">
        <w:rPr>
          <w:rFonts w:ascii="Aptos" w:eastAsia="Times New Roman" w:hAnsi="Aptos" w:cs="Times New Roman"/>
          <w:kern w:val="0"/>
          <w:sz w:val="22"/>
          <w:szCs w:val="22"/>
          <w:lang w:eastAsia="en-GB"/>
          <w14:ligatures w14:val="none"/>
        </w:rPr>
        <w:t xml:space="preserve"> The Fed Summary of Economic Projections (SEP) and "dot plot" — each member's forecast of the policy rate three years out and longer run. The median dot is often treated as guidance, but </w:t>
      </w:r>
      <w:r w:rsidRPr="0032251D">
        <w:rPr>
          <w:rFonts w:ascii="Aptos" w:eastAsia="Times New Roman" w:hAnsi="Aptos" w:cs="Times New Roman"/>
          <w:i/>
          <w:iCs/>
          <w:kern w:val="0"/>
          <w:sz w:val="22"/>
          <w:szCs w:val="22"/>
          <w:lang w:eastAsia="en-GB"/>
          <w14:ligatures w14:val="none"/>
        </w:rPr>
        <w:t>dot dispersion</w:t>
      </w:r>
      <w:r w:rsidRPr="0032251D">
        <w:rPr>
          <w:rFonts w:ascii="Aptos" w:eastAsia="Times New Roman" w:hAnsi="Aptos" w:cs="Times New Roman"/>
          <w:kern w:val="0"/>
          <w:sz w:val="22"/>
          <w:szCs w:val="22"/>
          <w:lang w:eastAsia="en-GB"/>
          <w14:ligatures w14:val="none"/>
        </w:rPr>
        <w:t xml:space="preserve"> matters as much. Wide dispersion indicates committee disagreement, weakening the dot's force as a commitment.</w:t>
      </w:r>
    </w:p>
    <w:p w14:paraId="0A76077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Key parameters in any guidance regime: </w:t>
      </w:r>
      <w:r w:rsidRPr="0032251D">
        <w:rPr>
          <w:rFonts w:ascii="Aptos" w:eastAsia="Times New Roman" w:hAnsi="Aptos" w:cs="Times New Roman"/>
          <w:i/>
          <w:iCs/>
          <w:kern w:val="0"/>
          <w:sz w:val="22"/>
          <w:szCs w:val="22"/>
          <w:lang w:eastAsia="en-GB"/>
          <w14:ligatures w14:val="none"/>
        </w:rPr>
        <w:t>horizon</w:t>
      </w:r>
      <w:r w:rsidRPr="0032251D">
        <w:rPr>
          <w:rFonts w:ascii="Aptos" w:eastAsia="Times New Roman" w:hAnsi="Aptos" w:cs="Times New Roman"/>
          <w:kern w:val="0"/>
          <w:sz w:val="22"/>
          <w:szCs w:val="22"/>
          <w:lang w:eastAsia="en-GB"/>
          <w14:ligatures w14:val="none"/>
        </w:rPr>
        <w:t xml:space="preserve"> (how far out), </w:t>
      </w:r>
      <w:r w:rsidRPr="0032251D">
        <w:rPr>
          <w:rFonts w:ascii="Aptos" w:eastAsia="Times New Roman" w:hAnsi="Aptos" w:cs="Times New Roman"/>
          <w:i/>
          <w:iCs/>
          <w:kern w:val="0"/>
          <w:sz w:val="22"/>
          <w:szCs w:val="22"/>
          <w:lang w:eastAsia="en-GB"/>
          <w14:ligatures w14:val="none"/>
        </w:rPr>
        <w:t>bindingness</w:t>
      </w:r>
      <w:r w:rsidRPr="0032251D">
        <w:rPr>
          <w:rFonts w:ascii="Aptos" w:eastAsia="Times New Roman" w:hAnsi="Aptos" w:cs="Times New Roman"/>
          <w:kern w:val="0"/>
          <w:sz w:val="22"/>
          <w:szCs w:val="22"/>
          <w:lang w:eastAsia="en-GB"/>
          <w14:ligatures w14:val="none"/>
        </w:rPr>
        <w:t xml:space="preserve"> (conditional vs unconditional), </w:t>
      </w:r>
      <w:r w:rsidRPr="0032251D">
        <w:rPr>
          <w:rFonts w:ascii="Aptos" w:eastAsia="Times New Roman" w:hAnsi="Aptos" w:cs="Times New Roman"/>
          <w:i/>
          <w:iCs/>
          <w:kern w:val="0"/>
          <w:sz w:val="22"/>
          <w:szCs w:val="22"/>
          <w:lang w:eastAsia="en-GB"/>
          <w14:ligatures w14:val="none"/>
        </w:rPr>
        <w:t>specificity</w:t>
      </w:r>
      <w:r w:rsidRPr="0032251D">
        <w:rPr>
          <w:rFonts w:ascii="Aptos" w:eastAsia="Times New Roman" w:hAnsi="Aptos" w:cs="Times New Roman"/>
          <w:kern w:val="0"/>
          <w:sz w:val="22"/>
          <w:szCs w:val="22"/>
          <w:lang w:eastAsia="en-GB"/>
          <w14:ligatures w14:val="none"/>
        </w:rPr>
        <w:t xml:space="preserve"> (words vs </w:t>
      </w:r>
      <w:proofErr w:type="gramStart"/>
      <w:r w:rsidRPr="0032251D">
        <w:rPr>
          <w:rFonts w:ascii="Aptos" w:eastAsia="Times New Roman" w:hAnsi="Aptos" w:cs="Times New Roman"/>
          <w:kern w:val="0"/>
          <w:sz w:val="22"/>
          <w:szCs w:val="22"/>
          <w:lang w:eastAsia="en-GB"/>
          <w14:ligatures w14:val="none"/>
        </w:rPr>
        <w:t>numbers</w:t>
      </w:r>
      <w:proofErr w:type="gramEnd"/>
      <w:r w:rsidRPr="0032251D">
        <w:rPr>
          <w:rFonts w:ascii="Aptos" w:eastAsia="Times New Roman" w:hAnsi="Aptos" w:cs="Times New Roman"/>
          <w:kern w:val="0"/>
          <w:sz w:val="22"/>
          <w:szCs w:val="22"/>
          <w:lang w:eastAsia="en-GB"/>
          <w14:ligatures w14:val="none"/>
        </w:rPr>
        <w:t xml:space="preserve"> vs paths), and </w:t>
      </w:r>
      <w:r w:rsidRPr="0032251D">
        <w:rPr>
          <w:rFonts w:ascii="Aptos" w:eastAsia="Times New Roman" w:hAnsi="Aptos" w:cs="Times New Roman"/>
          <w:i/>
          <w:iCs/>
          <w:kern w:val="0"/>
          <w:sz w:val="22"/>
          <w:szCs w:val="22"/>
          <w:lang w:eastAsia="en-GB"/>
          <w14:ligatures w14:val="none"/>
        </w:rPr>
        <w:t>committee unanimity</w:t>
      </w:r>
      <w:r w:rsidRPr="0032251D">
        <w:rPr>
          <w:rFonts w:ascii="Aptos" w:eastAsia="Times New Roman" w:hAnsi="Aptos" w:cs="Times New Roman"/>
          <w:kern w:val="0"/>
          <w:sz w:val="22"/>
          <w:szCs w:val="22"/>
          <w:lang w:eastAsia="en-GB"/>
          <w14:ligatures w14:val="none"/>
        </w:rPr>
        <w:t xml:space="preserve"> (dispersion). These are what an empirical NLP measurement should capture.</w:t>
      </w:r>
    </w:p>
    <w:p w14:paraId="6D08EE8A"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4C0AF344">
          <v:rect id="_x0000_i1042" alt="" style="width:451.3pt;height:.05pt;mso-width-percent:0;mso-height-percent:0;mso-width-percent:0;mso-height-percent:0" o:hralign="center" o:hrstd="t" o:hr="t" fillcolor="#a0a0a0" stroked="f"/>
        </w:pict>
      </w:r>
    </w:p>
    <w:p w14:paraId="0AB4189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Why this matters for asset prices</w:t>
      </w:r>
    </w:p>
    <w:p w14:paraId="3A1F7D3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Forward guidance moves the </w:t>
      </w:r>
      <w:r w:rsidRPr="0032251D">
        <w:rPr>
          <w:rFonts w:ascii="Aptos" w:eastAsia="Times New Roman" w:hAnsi="Aptos" w:cs="Times New Roman"/>
          <w:i/>
          <w:iCs/>
          <w:kern w:val="0"/>
          <w:sz w:val="22"/>
          <w:szCs w:val="22"/>
          <w:lang w:eastAsia="en-GB"/>
          <w14:ligatures w14:val="none"/>
        </w:rPr>
        <w:t>belly</w:t>
      </w:r>
      <w:r w:rsidRPr="0032251D">
        <w:rPr>
          <w:rFonts w:ascii="Aptos" w:eastAsia="Times New Roman" w:hAnsi="Aptos" w:cs="Times New Roman"/>
          <w:kern w:val="0"/>
          <w:sz w:val="22"/>
          <w:szCs w:val="22"/>
          <w:lang w:eastAsia="en-GB"/>
          <w14:ligatures w14:val="none"/>
        </w:rPr>
        <w:t xml:space="preserve"> of the curve — the </w:t>
      </w:r>
      <w:proofErr w:type="gramStart"/>
      <w:r w:rsidRPr="0032251D">
        <w:rPr>
          <w:rFonts w:ascii="Aptos" w:eastAsia="Times New Roman" w:hAnsi="Aptos" w:cs="Times New Roman"/>
          <w:kern w:val="0"/>
          <w:sz w:val="22"/>
          <w:szCs w:val="22"/>
          <w:lang w:eastAsia="en-GB"/>
          <w14:ligatures w14:val="none"/>
        </w:rPr>
        <w:t>1-5 year</w:t>
      </w:r>
      <w:proofErr w:type="gramEnd"/>
      <w:r w:rsidRPr="0032251D">
        <w:rPr>
          <w:rFonts w:ascii="Aptos" w:eastAsia="Times New Roman" w:hAnsi="Aptos" w:cs="Times New Roman"/>
          <w:kern w:val="0"/>
          <w:sz w:val="22"/>
          <w:szCs w:val="22"/>
          <w:lang w:eastAsia="en-GB"/>
          <w14:ligatures w14:val="none"/>
        </w:rPr>
        <w:t xml:space="preserve"> region where pricing depends most on expected future policy rates. Mechanically: the 2-year yield should equal the average expected policy rate over 24 months plus a small term premium. So a credible commitment to hold rates flat for 24 months mechanically pins the 2-year yield close to the current policy rate, </w:t>
      </w:r>
      <w:r w:rsidRPr="0032251D">
        <w:rPr>
          <w:rFonts w:ascii="Aptos" w:eastAsia="Times New Roman" w:hAnsi="Aptos" w:cs="Times New Roman"/>
          <w:kern w:val="0"/>
          <w:sz w:val="22"/>
          <w:szCs w:val="22"/>
          <w:lang w:eastAsia="en-GB"/>
          <w14:ligatures w14:val="none"/>
        </w:rPr>
        <w:lastRenderedPageBreak/>
        <w:t>regardless of where data points. This is how guidance compresses long rates without touching the policy rate.</w:t>
      </w:r>
    </w:p>
    <w:p w14:paraId="6513A19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Asset price consequences:</w:t>
      </w:r>
    </w:p>
    <w:p w14:paraId="3D29F172"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Curve shape.</w:t>
      </w:r>
      <w:r w:rsidRPr="0032251D">
        <w:rPr>
          <w:rFonts w:ascii="Aptos" w:eastAsia="Times New Roman" w:hAnsi="Aptos" w:cs="Times New Roman"/>
          <w:kern w:val="0"/>
          <w:sz w:val="22"/>
          <w:szCs w:val="22"/>
          <w:lang w:eastAsia="en-GB"/>
          <w14:ligatures w14:val="none"/>
        </w:rPr>
        <w:t xml:space="preserve"> Guidance about future rates is the primary determinant of the 2-10 slope. Hawkish guidance (signalling more or longer tightening) flattens; dovish steepens. The slope is therefore a direct read on perceived guidance, even when no explicit numeric guidance exists.</w:t>
      </w:r>
    </w:p>
    <w:p w14:paraId="0D207DF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Volatility compression.</w:t>
      </w:r>
      <w:r w:rsidRPr="0032251D">
        <w:rPr>
          <w:rFonts w:ascii="Aptos" w:eastAsia="Times New Roman" w:hAnsi="Aptos" w:cs="Times New Roman"/>
          <w:kern w:val="0"/>
          <w:sz w:val="22"/>
          <w:szCs w:val="22"/>
          <w:lang w:eastAsia="en-GB"/>
          <w14:ligatures w14:val="none"/>
        </w:rPr>
        <w:t xml:space="preserve"> Clear guidance compresses near-dated rates vol because markets have less to debate. The 2020-2021 period of explicit guidance saw extreme rates vol compression; the 2022 guidance pivot saw vol explode.</w:t>
      </w:r>
    </w:p>
    <w:p w14:paraId="328DB85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Risk asset support.</w:t>
      </w:r>
      <w:r w:rsidRPr="0032251D">
        <w:rPr>
          <w:rFonts w:ascii="Aptos" w:eastAsia="Times New Roman" w:hAnsi="Aptos" w:cs="Times New Roman"/>
          <w:kern w:val="0"/>
          <w:sz w:val="22"/>
          <w:szCs w:val="22"/>
          <w:lang w:eastAsia="en-GB"/>
          <w14:ligatures w14:val="none"/>
        </w:rPr>
        <w:t xml:space="preserve"> Lower expected long rates support discount rates for long-duration assets. Equity multiples, real estate, infrastructure — all benefit from credible dovish guidance independently of the current rate.</w:t>
      </w:r>
    </w:p>
    <w:p w14:paraId="01E49C6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FX consequences.</w:t>
      </w:r>
      <w:r w:rsidRPr="0032251D">
        <w:rPr>
          <w:rFonts w:ascii="Aptos" w:eastAsia="Times New Roman" w:hAnsi="Aptos" w:cs="Times New Roman"/>
          <w:kern w:val="0"/>
          <w:sz w:val="22"/>
          <w:szCs w:val="22"/>
          <w:lang w:eastAsia="en-GB"/>
          <w14:ligatures w14:val="none"/>
        </w:rPr>
        <w:t xml:space="preserve"> Dovish guidance weakens the currency (lower expected carry); hawkish guidance strengthens. The FX market is particularly attuned to guidance because exchange rates depend on relative future paths, not current spot rate differentials.</w:t>
      </w:r>
    </w:p>
    <w:p w14:paraId="3A50A58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The </w:t>
      </w:r>
      <w:r w:rsidRPr="0032251D">
        <w:rPr>
          <w:rFonts w:ascii="Aptos" w:eastAsia="Times New Roman" w:hAnsi="Aptos" w:cs="Times New Roman"/>
          <w:i/>
          <w:iCs/>
          <w:kern w:val="0"/>
          <w:sz w:val="22"/>
          <w:szCs w:val="22"/>
          <w:lang w:eastAsia="en-GB"/>
          <w14:ligatures w14:val="none"/>
        </w:rPr>
        <w:t>Bauer-Swanson decomposition</w:t>
      </w:r>
      <w:r w:rsidRPr="0032251D">
        <w:rPr>
          <w:rFonts w:ascii="Aptos" w:eastAsia="Times New Roman" w:hAnsi="Aptos" w:cs="Times New Roman"/>
          <w:kern w:val="0"/>
          <w:sz w:val="22"/>
          <w:szCs w:val="22"/>
          <w:lang w:eastAsia="en-GB"/>
          <w14:ligatures w14:val="none"/>
        </w:rPr>
        <w:t xml:space="preserve"> operationalises this: monetary policy surprises split into a target factor (the rate decision itself) and a path factor (the implied future path inferred from guidance). The path factor often has larger effects on longer-dated assets than the target factor. This is why FOMC meetings can move markets violently even when the rate decision is fully expected — the guidance moves the path factor.</w:t>
      </w:r>
    </w:p>
    <w:p w14:paraId="42EB4041"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7625F4B6">
          <v:rect id="_x0000_i1043" alt="" style="width:451.3pt;height:.05pt;mso-width-percent:0;mso-height-percent:0;mso-width-percent:0;mso-height-percent:0" o:hralign="center" o:hrstd="t" o:hr="t" fillcolor="#a0a0a0" stroked="f"/>
        </w:pict>
      </w:r>
    </w:p>
    <w:p w14:paraId="560CD30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Regime and EM variation</w:t>
      </w:r>
    </w:p>
    <w:p w14:paraId="4508B67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Forward guidance is more challenging in EM for four reasons.</w:t>
      </w:r>
    </w:p>
    <w:p w14:paraId="7A4BF36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Credibility deficit.</w:t>
      </w:r>
      <w:r w:rsidRPr="0032251D">
        <w:rPr>
          <w:rFonts w:ascii="Aptos" w:eastAsia="Times New Roman" w:hAnsi="Aptos" w:cs="Times New Roman"/>
          <w:kern w:val="0"/>
          <w:sz w:val="22"/>
          <w:szCs w:val="22"/>
          <w:lang w:eastAsia="en-GB"/>
          <w14:ligatures w14:val="none"/>
        </w:rPr>
        <w:t xml:space="preserve"> EM banks have less credibility than DM banks on average, so guidance is discounted more. The market does not assume the bank will follow through. This is the binding constraint on EM Odyssean guidance — without credibility stock, commitment guidance is just words.</w:t>
      </w:r>
    </w:p>
    <w:p w14:paraId="4EC594E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Reaction function instability.</w:t>
      </w:r>
      <w:r w:rsidRPr="0032251D">
        <w:rPr>
          <w:rFonts w:ascii="Aptos" w:eastAsia="Times New Roman" w:hAnsi="Aptos" w:cs="Times New Roman"/>
          <w:kern w:val="0"/>
          <w:sz w:val="22"/>
          <w:szCs w:val="22"/>
          <w:lang w:eastAsia="en-GB"/>
          <w14:ligatures w14:val="none"/>
        </w:rPr>
        <w:t xml:space="preserve"> EM reaction functions are more likely to drift (political pressure, fiscal dominance episodes). Guidance presupposes a stable rule. When the rule itself is suspected to be unstable, guidance about future actions is structurally weak.</w:t>
      </w:r>
    </w:p>
    <w:p w14:paraId="0CEE3DB5"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External constraints.</w:t>
      </w:r>
      <w:r w:rsidRPr="0032251D">
        <w:rPr>
          <w:rFonts w:ascii="Aptos" w:eastAsia="Times New Roman" w:hAnsi="Aptos" w:cs="Times New Roman"/>
          <w:kern w:val="0"/>
          <w:sz w:val="22"/>
          <w:szCs w:val="22"/>
          <w:lang w:eastAsia="en-GB"/>
          <w14:ligatures w14:val="none"/>
        </w:rPr>
        <w:t xml:space="preserve"> EM banks respond to global conditions. Guidance about the domestic path conflicts with the bank's actual responsiveness to Fed policy. </w:t>
      </w:r>
      <w:proofErr w:type="gramStart"/>
      <w:r w:rsidRPr="0032251D">
        <w:rPr>
          <w:rFonts w:ascii="Aptos" w:eastAsia="Times New Roman" w:hAnsi="Aptos" w:cs="Times New Roman"/>
          <w:kern w:val="0"/>
          <w:sz w:val="22"/>
          <w:szCs w:val="22"/>
          <w:lang w:eastAsia="en-GB"/>
          <w14:ligatures w14:val="none"/>
        </w:rPr>
        <w:t>So</w:t>
      </w:r>
      <w:proofErr w:type="gramEnd"/>
      <w:r w:rsidRPr="0032251D">
        <w:rPr>
          <w:rFonts w:ascii="Aptos" w:eastAsia="Times New Roman" w:hAnsi="Aptos" w:cs="Times New Roman"/>
          <w:kern w:val="0"/>
          <w:sz w:val="22"/>
          <w:szCs w:val="22"/>
          <w:lang w:eastAsia="en-GB"/>
          <w14:ligatures w14:val="none"/>
        </w:rPr>
        <w:t xml:space="preserve"> EM banks rarely give long-horizon Odyssean guidance — they cannot credibly promise a path that depends on what the Fed does.</w:t>
      </w:r>
    </w:p>
    <w:p w14:paraId="2AC20FC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Communication infrastructure.</w:t>
      </w:r>
      <w:r w:rsidRPr="0032251D">
        <w:rPr>
          <w:rFonts w:ascii="Aptos" w:eastAsia="Times New Roman" w:hAnsi="Aptos" w:cs="Times New Roman"/>
          <w:kern w:val="0"/>
          <w:sz w:val="22"/>
          <w:szCs w:val="22"/>
          <w:lang w:eastAsia="en-GB"/>
          <w14:ligatures w14:val="none"/>
        </w:rPr>
        <w:t xml:space="preserve"> Many EM banks have less developed communication architecture — no dot plots, less frequent press conferences, statements only in local languages, no fan charts. Even when guidance is intended, the technology for transmitting it is thinner.</w:t>
      </w:r>
    </w:p>
    <w:p w14:paraId="71E4735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lastRenderedPageBreak/>
        <w:t>For SA specifically: SARB does not publish a dot plot or formal forward guidance. The MPC statement contains qualitative guidance ("the MPC remains data-dependent"; "risks remain to the upside") and the Governor's press conference adds tonal guidance. But there is no commitment-based guidance like the Fed offers. SARB guidance is purely Delphic in Campbell et al.'s sense — information about the bank's reading of the economy, not commitment to a path.</w:t>
      </w:r>
    </w:p>
    <w:p w14:paraId="642A1BA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BCB publishes quarterly inflation reports with explicit policy paths — closer to DM practice. </w:t>
      </w:r>
      <w:proofErr w:type="spellStart"/>
      <w:r w:rsidRPr="0032251D">
        <w:rPr>
          <w:rFonts w:ascii="Aptos" w:eastAsia="Times New Roman" w:hAnsi="Aptos" w:cs="Times New Roman"/>
          <w:kern w:val="0"/>
          <w:sz w:val="22"/>
          <w:szCs w:val="22"/>
          <w:lang w:eastAsia="en-GB"/>
          <w14:ligatures w14:val="none"/>
        </w:rPr>
        <w:t>Banxico</w:t>
      </w:r>
      <w:proofErr w:type="spellEnd"/>
      <w:r w:rsidRPr="0032251D">
        <w:rPr>
          <w:rFonts w:ascii="Aptos" w:eastAsia="Times New Roman" w:hAnsi="Aptos" w:cs="Times New Roman"/>
          <w:kern w:val="0"/>
          <w:sz w:val="22"/>
          <w:szCs w:val="22"/>
          <w:lang w:eastAsia="en-GB"/>
          <w14:ligatures w14:val="none"/>
        </w:rPr>
        <w:t xml:space="preserve"> provides forward-looking statements but no quantitative paths. The DM panel varies: Fed dot plot since 2012, ECB qualitative state-contingent, BoE fan charts, BoJ explicit YCC as a form of price-level guidance, </w:t>
      </w:r>
      <w:proofErr w:type="spellStart"/>
      <w:r w:rsidRPr="0032251D">
        <w:rPr>
          <w:rFonts w:ascii="Aptos" w:eastAsia="Times New Roman" w:hAnsi="Aptos" w:cs="Times New Roman"/>
          <w:kern w:val="0"/>
          <w:sz w:val="22"/>
          <w:szCs w:val="22"/>
          <w:lang w:eastAsia="en-GB"/>
          <w14:ligatures w14:val="none"/>
        </w:rPr>
        <w:t>Riksbank</w:t>
      </w:r>
      <w:proofErr w:type="spellEnd"/>
      <w:r w:rsidRPr="0032251D">
        <w:rPr>
          <w:rFonts w:ascii="Aptos" w:eastAsia="Times New Roman" w:hAnsi="Aptos" w:cs="Times New Roman"/>
          <w:kern w:val="0"/>
          <w:sz w:val="22"/>
          <w:szCs w:val="22"/>
          <w:lang w:eastAsia="en-GB"/>
          <w14:ligatures w14:val="none"/>
        </w:rPr>
        <w:t xml:space="preserve"> explicit repo path projections.</w:t>
      </w:r>
    </w:p>
    <w:p w14:paraId="3E7405AD"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7AFEFE78">
          <v:rect id="_x0000_i1044" alt="" style="width:451.3pt;height:.05pt;mso-width-percent:0;mso-height-percent:0;mso-width-percent:0;mso-height-percent:0" o:hralign="center" o:hrstd="t" o:hr="t" fillcolor="#a0a0a0" stroked="f"/>
        </w:pict>
      </w:r>
    </w:p>
    <w:p w14:paraId="040A8B2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Empirical pitfalls</w:t>
      </w:r>
    </w:p>
    <w:p w14:paraId="238A0235"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Identifying the guidance component.</w:t>
      </w:r>
      <w:r w:rsidRPr="0032251D">
        <w:rPr>
          <w:rFonts w:ascii="Aptos" w:eastAsia="Times New Roman" w:hAnsi="Aptos" w:cs="Times New Roman"/>
          <w:kern w:val="0"/>
          <w:sz w:val="22"/>
          <w:szCs w:val="22"/>
          <w:lang w:eastAsia="en-GB"/>
          <w14:ligatures w14:val="none"/>
        </w:rPr>
        <w:t xml:space="preserve"> Rate decisions and forward guidance often come together. The Bauer-Swanson / GSS approach uses high-frequency identification — yield changes in a 30-minute window around the FOMC decision are decomposed into target and path factors via principal components. But this requires deep, liquid OIS markets. For many EM banks, this identification is structurally impossible — the OIS market does not have enough liquidity to register a clean window response.</w:t>
      </w:r>
    </w:p>
    <w:p w14:paraId="0083825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NLP measurement.</w:t>
      </w:r>
      <w:r w:rsidRPr="0032251D">
        <w:rPr>
          <w:rFonts w:ascii="Aptos" w:eastAsia="Times New Roman" w:hAnsi="Aptos" w:cs="Times New Roman"/>
          <w:kern w:val="0"/>
          <w:sz w:val="22"/>
          <w:szCs w:val="22"/>
          <w:lang w:eastAsia="en-GB"/>
          <w14:ligatures w14:val="none"/>
        </w:rPr>
        <w:t xml:space="preserve"> When there is no explicit numeric guidance, researchers use natural language processing to extract sentiment from statements and press conferences. Tools include LDA topic models, dictionary-based scores (Loughran-McDonald financial sentiment), and increasingly LLM-based extraction. All are noisy and </w:t>
      </w:r>
      <w:proofErr w:type="gramStart"/>
      <w:r w:rsidRPr="0032251D">
        <w:rPr>
          <w:rFonts w:ascii="Aptos" w:eastAsia="Times New Roman" w:hAnsi="Aptos" w:cs="Times New Roman"/>
          <w:kern w:val="0"/>
          <w:sz w:val="22"/>
          <w:szCs w:val="22"/>
          <w:lang w:eastAsia="en-GB"/>
          <w14:ligatures w14:val="none"/>
        </w:rPr>
        <w:t>method-dependent</w:t>
      </w:r>
      <w:proofErr w:type="gramEnd"/>
      <w:r w:rsidRPr="0032251D">
        <w:rPr>
          <w:rFonts w:ascii="Aptos" w:eastAsia="Times New Roman" w:hAnsi="Aptos" w:cs="Times New Roman"/>
          <w:kern w:val="0"/>
          <w:sz w:val="22"/>
          <w:szCs w:val="22"/>
          <w:lang w:eastAsia="en-GB"/>
          <w14:ligatures w14:val="none"/>
        </w:rPr>
        <w:t>. Two studies of the same statement can disagree on whether it was hawkish or dovish.</w:t>
      </w:r>
    </w:p>
    <w:p w14:paraId="502B602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Source disagreement.</w:t>
      </w:r>
      <w:r w:rsidRPr="0032251D">
        <w:rPr>
          <w:rFonts w:ascii="Aptos" w:eastAsia="Times New Roman" w:hAnsi="Aptos" w:cs="Times New Roman"/>
          <w:kern w:val="0"/>
          <w:sz w:val="22"/>
          <w:szCs w:val="22"/>
          <w:lang w:eastAsia="en-GB"/>
          <w14:ligatures w14:val="none"/>
        </w:rPr>
        <w:t xml:space="preserve"> When statement, press conference, and dot plot send different signals, which is "guidance"? Markets integrate all </w:t>
      </w:r>
      <w:proofErr w:type="gramStart"/>
      <w:r w:rsidRPr="0032251D">
        <w:rPr>
          <w:rFonts w:ascii="Aptos" w:eastAsia="Times New Roman" w:hAnsi="Aptos" w:cs="Times New Roman"/>
          <w:kern w:val="0"/>
          <w:sz w:val="22"/>
          <w:szCs w:val="22"/>
          <w:lang w:eastAsia="en-GB"/>
          <w14:ligatures w14:val="none"/>
        </w:rPr>
        <w:t>three</w:t>
      </w:r>
      <w:proofErr w:type="gramEnd"/>
      <w:r w:rsidRPr="0032251D">
        <w:rPr>
          <w:rFonts w:ascii="Aptos" w:eastAsia="Times New Roman" w:hAnsi="Aptos" w:cs="Times New Roman"/>
          <w:kern w:val="0"/>
          <w:sz w:val="22"/>
          <w:szCs w:val="22"/>
          <w:lang w:eastAsia="en-GB"/>
          <w14:ligatures w14:val="none"/>
        </w:rPr>
        <w:t xml:space="preserve"> but the empirical decomposition is hard. Some researchers use the press conference because it generates the largest intraday market response; others use the statement because it is the official policy document.</w:t>
      </w:r>
    </w:p>
    <w:p w14:paraId="2B1576C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Credibility variation.</w:t>
      </w:r>
      <w:r w:rsidRPr="0032251D">
        <w:rPr>
          <w:rFonts w:ascii="Aptos" w:eastAsia="Times New Roman" w:hAnsi="Aptos" w:cs="Times New Roman"/>
          <w:kern w:val="0"/>
          <w:sz w:val="22"/>
          <w:szCs w:val="22"/>
          <w:lang w:eastAsia="en-GB"/>
          <w14:ligatures w14:val="none"/>
        </w:rPr>
        <w:t xml:space="preserve"> Guidance has different effects depending on the bank's credibility stock. Estimating average effects across regimes masks regime-dependence. A high-credibility regime episode and a low-credibility regime episode of the same guidance type can produce opposite asset price responses.</w:t>
      </w:r>
    </w:p>
    <w:p w14:paraId="717A090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Selection bias.</w:t>
      </w:r>
      <w:r w:rsidRPr="0032251D">
        <w:rPr>
          <w:rFonts w:ascii="Aptos" w:eastAsia="Times New Roman" w:hAnsi="Aptos" w:cs="Times New Roman"/>
          <w:kern w:val="0"/>
          <w:sz w:val="22"/>
          <w:szCs w:val="22"/>
          <w:lang w:eastAsia="en-GB"/>
          <w14:ligatures w14:val="none"/>
        </w:rPr>
        <w:t xml:space="preserve"> Banks give explicit guidance when they want to or need to. The episodes when guidance is given are not randomly chosen. The Fed gave heaviest guidance during the ELB period — a regime when its credibility was particularly tested.</w:t>
      </w:r>
    </w:p>
    <w:p w14:paraId="71B94AD9"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0AF329EF">
          <v:rect id="_x0000_i1045" alt="" style="width:451.3pt;height:.05pt;mso-width-percent:0;mso-height-percent:0;mso-width-percent:0;mso-height-percent:0" o:hralign="center" o:hrstd="t" o:hr="t" fillcolor="#a0a0a0" stroked="f"/>
        </w:pict>
      </w:r>
    </w:p>
    <w:p w14:paraId="6C796A0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Where dissonance lives</w:t>
      </w:r>
    </w:p>
    <w:p w14:paraId="08E590D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Within L3c:</w:t>
      </w:r>
    </w:p>
    <w:p w14:paraId="69F2838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Intra-node.</w:t>
      </w:r>
      <w:r w:rsidRPr="0032251D">
        <w:rPr>
          <w:rFonts w:ascii="Aptos" w:eastAsia="Times New Roman" w:hAnsi="Aptos" w:cs="Times New Roman"/>
          <w:kern w:val="0"/>
          <w:sz w:val="22"/>
          <w:szCs w:val="22"/>
          <w:lang w:eastAsia="en-GB"/>
          <w14:ligatures w14:val="none"/>
        </w:rPr>
        <w:t xml:space="preserve"> Tone vs content mismatch. NLP-extracted sentiment from statements should agree with explicit projections (dot plot, repo path) and press conference signals. Dissonance fires when:</w:t>
      </w:r>
    </w:p>
    <w:p w14:paraId="17AC18A7" w14:textId="77777777" w:rsidR="0032251D" w:rsidRPr="0032251D" w:rsidRDefault="0032251D">
      <w:pPr>
        <w:numPr>
          <w:ilvl w:val="0"/>
          <w:numId w:val="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Hawkish statement, dovish presser (the modal case of dot-plot/press-conference divergence)</w:t>
      </w:r>
    </w:p>
    <w:p w14:paraId="403A6CE6" w14:textId="77777777" w:rsidR="0032251D" w:rsidRPr="0032251D" w:rsidRDefault="0032251D">
      <w:pPr>
        <w:numPr>
          <w:ilvl w:val="0"/>
          <w:numId w:val="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Dovish median dot, but wide dot dispersion with hawkish outliers (committee not unanimous)</w:t>
      </w:r>
    </w:p>
    <w:p w14:paraId="1C70902B" w14:textId="77777777" w:rsidR="0032251D" w:rsidRPr="0032251D" w:rsidRDefault="0032251D">
      <w:pPr>
        <w:numPr>
          <w:ilvl w:val="0"/>
          <w:numId w:val="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Statement says "data-dependent," but Governor's speeches lock in a specific path</w:t>
      </w:r>
    </w:p>
    <w:p w14:paraId="25578895" w14:textId="77777777" w:rsidR="0032251D" w:rsidRPr="0032251D" w:rsidRDefault="0032251D">
      <w:pPr>
        <w:numPr>
          <w:ilvl w:val="0"/>
          <w:numId w:val="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Outcome-based guidance issued but conditions monitored selectively</w:t>
      </w:r>
    </w:p>
    <w:p w14:paraId="2A1F702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upward, L1 → L3c.</w:t>
      </w:r>
      <w:r w:rsidRPr="0032251D">
        <w:rPr>
          <w:rFonts w:ascii="Aptos" w:eastAsia="Times New Roman" w:hAnsi="Aptos" w:cs="Times New Roman"/>
          <w:kern w:val="0"/>
          <w:sz w:val="22"/>
          <w:szCs w:val="22"/>
          <w:lang w:eastAsia="en-GB"/>
          <w14:ligatures w14:val="none"/>
        </w:rPr>
        <w:t xml:space="preserve"> Rule-implied path vs communicated path. Guidance should reflect the rule given the bank's state forecasts. Dissonance fires when guidance is off-rule — Delphic (the bank's state forecast differs from the rule's implied state) or Odyssean (deliberate commitment to deviate).</w:t>
      </w:r>
    </w:p>
    <w:p w14:paraId="131D7E1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upward, L2 → L3c.</w:t>
      </w:r>
      <w:r w:rsidRPr="0032251D">
        <w:rPr>
          <w:rFonts w:ascii="Aptos" w:eastAsia="Times New Roman" w:hAnsi="Aptos" w:cs="Times New Roman"/>
          <w:kern w:val="0"/>
          <w:sz w:val="22"/>
          <w:szCs w:val="22"/>
          <w:lang w:eastAsia="en-GB"/>
          <w14:ligatures w14:val="none"/>
        </w:rPr>
        <w:t xml:space="preserve"> Odyssean guidance is the commitment device to override the loss function under future state realisations. Dissonance fires when guidance promises a path inconsistent with the bank's underlying loss function — credibility risk on future revisions.</w:t>
      </w:r>
    </w:p>
    <w:p w14:paraId="6D7A81C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 L3c → L4a.</w:t>
      </w:r>
      <w:r w:rsidRPr="0032251D">
        <w:rPr>
          <w:rFonts w:ascii="Aptos" w:eastAsia="Times New Roman" w:hAnsi="Aptos" w:cs="Times New Roman"/>
          <w:kern w:val="0"/>
          <w:sz w:val="22"/>
          <w:szCs w:val="22"/>
          <w:lang w:eastAsia="en-GB"/>
          <w14:ligatures w14:val="none"/>
        </w:rPr>
        <w:t xml:space="preserve"> Guidance should move the belly of the curve. Dissonance fires when guidance shifts but the belly does not follow — markets do not believe the guidance.</w:t>
      </w:r>
    </w:p>
    <w:p w14:paraId="0FD2B30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 L3c → L4d (volatility surface).</w:t>
      </w:r>
      <w:r w:rsidRPr="0032251D">
        <w:rPr>
          <w:rFonts w:ascii="Aptos" w:eastAsia="Times New Roman" w:hAnsi="Aptos" w:cs="Times New Roman"/>
          <w:kern w:val="0"/>
          <w:sz w:val="22"/>
          <w:szCs w:val="22"/>
          <w:lang w:eastAsia="en-GB"/>
          <w14:ligatures w14:val="none"/>
        </w:rPr>
        <w:t xml:space="preserve"> Clear guidance compresses near-term rates vol. Dissonance fires when guidance is issued but vol stays elevated — market reads the guidance as uncertain.</w:t>
      </w:r>
    </w:p>
    <w:p w14:paraId="212BACE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 L3c → L6 (expectations).</w:t>
      </w:r>
      <w:r w:rsidRPr="0032251D">
        <w:rPr>
          <w:rFonts w:ascii="Aptos" w:eastAsia="Times New Roman" w:hAnsi="Aptos" w:cs="Times New Roman"/>
          <w:kern w:val="0"/>
          <w:sz w:val="22"/>
          <w:szCs w:val="22"/>
          <w:lang w:eastAsia="en-GB"/>
          <w14:ligatures w14:val="none"/>
        </w:rPr>
        <w:t xml:space="preserve"> Direct mapping — guidance is meant to shape expectations. Dissonance fires when stated guidance is not reflected in expectations data — the credibility deficit made operational.</w:t>
      </w:r>
    </w:p>
    <w:p w14:paraId="2394CFB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The L3c node is the bank's </w:t>
      </w:r>
      <w:r w:rsidRPr="0032251D">
        <w:rPr>
          <w:rFonts w:ascii="Aptos" w:eastAsia="Times New Roman" w:hAnsi="Aptos" w:cs="Times New Roman"/>
          <w:i/>
          <w:iCs/>
          <w:kern w:val="0"/>
          <w:sz w:val="22"/>
          <w:szCs w:val="22"/>
          <w:lang w:eastAsia="en-GB"/>
          <w14:ligatures w14:val="none"/>
        </w:rPr>
        <w:t>expectations management instrument</w:t>
      </w:r>
      <w:r w:rsidRPr="0032251D">
        <w:rPr>
          <w:rFonts w:ascii="Aptos" w:eastAsia="Times New Roman" w:hAnsi="Aptos" w:cs="Times New Roman"/>
          <w:kern w:val="0"/>
          <w:sz w:val="22"/>
          <w:szCs w:val="22"/>
          <w:lang w:eastAsia="en-GB"/>
          <w14:ligatures w14:val="none"/>
        </w:rPr>
        <w:t>. Without credibility it does not work; with it, it can substitute for the policy rate and the balance sheet entirely. Dissonance at L3c means the bank is saying one thing while markets price another — a direct, immediate credibility signal that often precedes regime change.</w:t>
      </w:r>
    </w:p>
    <w:p w14:paraId="6809076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Level 3d — FX Intervention</w:t>
      </w:r>
    </w:p>
    <w:p w14:paraId="3D6E351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Definition.</w:t>
      </w:r>
      <w:r w:rsidRPr="0032251D">
        <w:rPr>
          <w:rFonts w:ascii="Aptos" w:eastAsia="Times New Roman" w:hAnsi="Aptos" w:cs="Times New Roman"/>
          <w:kern w:val="0"/>
          <w:sz w:val="22"/>
          <w:szCs w:val="22"/>
          <w:lang w:eastAsia="en-GB"/>
          <w14:ligatures w14:val="none"/>
        </w:rPr>
        <w:t xml:space="preserve"> FX intervention is the central bank buying or selling foreign currency against the domestic currency to influence the exchange rate. Unlike the policy rate, which affects FX indirectly through rate differentials, intervention operates on the exchange rate directly. Three operational distinctions matter. </w:t>
      </w:r>
      <w:r w:rsidRPr="0032251D">
        <w:rPr>
          <w:rFonts w:ascii="Aptos" w:eastAsia="Times New Roman" w:hAnsi="Aptos" w:cs="Times New Roman"/>
          <w:i/>
          <w:iCs/>
          <w:kern w:val="0"/>
          <w:sz w:val="22"/>
          <w:szCs w:val="22"/>
          <w:lang w:eastAsia="en-GB"/>
          <w14:ligatures w14:val="none"/>
        </w:rPr>
        <w:t>Sterilised vs unsterilised</w:t>
      </w:r>
      <w:r w:rsidRPr="0032251D">
        <w:rPr>
          <w:rFonts w:ascii="Aptos" w:eastAsia="Times New Roman" w:hAnsi="Aptos" w:cs="Times New Roman"/>
          <w:kern w:val="0"/>
          <w:sz w:val="22"/>
          <w:szCs w:val="22"/>
          <w:lang w:eastAsia="en-GB"/>
          <w14:ligatures w14:val="none"/>
        </w:rPr>
        <w:t xml:space="preserve">: sterilised intervention offsets the liquidity effect via a domestic operation, leaving bank reserves unchanged — pure FX channel, no monetary stance change. Unsterilised intervention changes both FX and domestic liquidity simultaneously. </w:t>
      </w:r>
      <w:r w:rsidRPr="0032251D">
        <w:rPr>
          <w:rFonts w:ascii="Aptos" w:eastAsia="Times New Roman" w:hAnsi="Aptos" w:cs="Times New Roman"/>
          <w:i/>
          <w:iCs/>
          <w:kern w:val="0"/>
          <w:sz w:val="22"/>
          <w:szCs w:val="22"/>
          <w:lang w:eastAsia="en-GB"/>
          <w14:ligatures w14:val="none"/>
        </w:rPr>
        <w:t>Spot vs forward</w:t>
      </w:r>
      <w:r w:rsidRPr="0032251D">
        <w:rPr>
          <w:rFonts w:ascii="Aptos" w:eastAsia="Times New Roman" w:hAnsi="Aptos" w:cs="Times New Roman"/>
          <w:kern w:val="0"/>
          <w:sz w:val="22"/>
          <w:szCs w:val="22"/>
          <w:lang w:eastAsia="en-GB"/>
          <w14:ligatures w14:val="none"/>
        </w:rPr>
        <w:t xml:space="preserve">: spot intervention uses gross reserves; forward intervention uses derivative books (NDFs or onshore forwards) and does not immediately affect reserves. </w:t>
      </w:r>
      <w:r w:rsidRPr="0032251D">
        <w:rPr>
          <w:rFonts w:ascii="Aptos" w:eastAsia="Times New Roman" w:hAnsi="Aptos" w:cs="Times New Roman"/>
          <w:i/>
          <w:iCs/>
          <w:kern w:val="0"/>
          <w:sz w:val="22"/>
          <w:szCs w:val="22"/>
          <w:lang w:eastAsia="en-GB"/>
          <w14:ligatures w14:val="none"/>
        </w:rPr>
        <w:t>Direction</w:t>
      </w:r>
      <w:r w:rsidRPr="0032251D">
        <w:rPr>
          <w:rFonts w:ascii="Aptos" w:eastAsia="Times New Roman" w:hAnsi="Aptos" w:cs="Times New Roman"/>
          <w:kern w:val="0"/>
          <w:sz w:val="22"/>
          <w:szCs w:val="22"/>
          <w:lang w:eastAsia="en-GB"/>
          <w14:ligatures w14:val="none"/>
        </w:rPr>
        <w:t xml:space="preserve">: buying foreign currency weakens the domestic currency; selling foreign currency strengthens it. The adjacent instrument is </w:t>
      </w:r>
      <w:r w:rsidRPr="0032251D">
        <w:rPr>
          <w:rFonts w:ascii="Aptos" w:eastAsia="Times New Roman" w:hAnsi="Aptos" w:cs="Times New Roman"/>
          <w:i/>
          <w:iCs/>
          <w:kern w:val="0"/>
          <w:sz w:val="22"/>
          <w:szCs w:val="22"/>
          <w:lang w:eastAsia="en-GB"/>
          <w14:ligatures w14:val="none"/>
        </w:rPr>
        <w:t>capital flow management (CFM)</w:t>
      </w:r>
      <w:r w:rsidRPr="0032251D">
        <w:rPr>
          <w:rFonts w:ascii="Aptos" w:eastAsia="Times New Roman" w:hAnsi="Aptos" w:cs="Times New Roman"/>
          <w:kern w:val="0"/>
          <w:sz w:val="22"/>
          <w:szCs w:val="22"/>
          <w:lang w:eastAsia="en-GB"/>
          <w14:ligatures w14:val="none"/>
        </w:rPr>
        <w:t xml:space="preserve"> — administrative controls on cross-border flows that target the same axis through a different mechanism.</w:t>
      </w:r>
    </w:p>
    <w:p w14:paraId="47F6928F"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3176E01F">
          <v:rect id="_x0000_i1046" alt="" style="width:451.3pt;height:.05pt;mso-width-percent:0;mso-height-percent:0;mso-width-percent:0;mso-height-percent:0" o:hralign="center" o:hrstd="t" o:hr="t" fillcolor="#a0a0a0" stroked="f"/>
        </w:pict>
      </w:r>
    </w:p>
    <w:p w14:paraId="5961596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lastRenderedPageBreak/>
        <w:t>Sub-node: Theory</w:t>
      </w:r>
    </w:p>
    <w:p w14:paraId="06B0B6D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FX intervention exists as a separate instrument because of two structural problems the policy rate cannot solve alone.</w:t>
      </w:r>
    </w:p>
    <w:p w14:paraId="4464175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The trilemma (Mundell-Fleming).</w:t>
      </w:r>
      <w:r w:rsidRPr="0032251D">
        <w:rPr>
          <w:rFonts w:ascii="Aptos" w:eastAsia="Times New Roman" w:hAnsi="Aptos" w:cs="Times New Roman"/>
          <w:kern w:val="0"/>
          <w:sz w:val="22"/>
          <w:szCs w:val="22"/>
          <w:lang w:eastAsia="en-GB"/>
          <w14:ligatures w14:val="none"/>
        </w:rPr>
        <w:t xml:space="preserve"> You cannot simultaneously have capital mobility, an exchange rate target, and independent monetary policy. Free float + capital mobility = no FX target. Fixed FX + capital mobility = no monetary independence. Capital controls + fixed FX = monetary independence preserved. Most EMs operate somewhere in the middle — managed float with selective capital flow management — and FX intervention is the instrument that mediates the trade-off in real time. The trilemma says you must give up one corner; intervention is the tool used to partially "buy back" the corner you nominally gave up.</w:t>
      </w:r>
    </w:p>
    <w:p w14:paraId="4EDF993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The dilemma (Rey 2013).</w:t>
      </w:r>
      <w:r w:rsidRPr="0032251D">
        <w:rPr>
          <w:rFonts w:ascii="Aptos" w:eastAsia="Times New Roman" w:hAnsi="Aptos" w:cs="Times New Roman"/>
          <w:kern w:val="0"/>
          <w:sz w:val="22"/>
          <w:szCs w:val="22"/>
          <w:lang w:eastAsia="en-GB"/>
          <w14:ligatures w14:val="none"/>
        </w:rPr>
        <w:t xml:space="preserve"> Even with floating FX, the global financial cycle constrains monetary autonomy. Dollar-denominated debt, USD-funded portfolio flows, and global risk appetite transmit shocks regardless of the domestic FX regime. </w:t>
      </w:r>
      <w:proofErr w:type="gramStart"/>
      <w:r w:rsidRPr="0032251D">
        <w:rPr>
          <w:rFonts w:ascii="Aptos" w:eastAsia="Times New Roman" w:hAnsi="Aptos" w:cs="Times New Roman"/>
          <w:kern w:val="0"/>
          <w:sz w:val="22"/>
          <w:szCs w:val="22"/>
          <w:lang w:eastAsia="en-GB"/>
          <w14:ligatures w14:val="none"/>
        </w:rPr>
        <w:t>So</w:t>
      </w:r>
      <w:proofErr w:type="gramEnd"/>
      <w:r w:rsidRPr="0032251D">
        <w:rPr>
          <w:rFonts w:ascii="Aptos" w:eastAsia="Times New Roman" w:hAnsi="Aptos" w:cs="Times New Roman"/>
          <w:kern w:val="0"/>
          <w:sz w:val="22"/>
          <w:szCs w:val="22"/>
          <w:lang w:eastAsia="en-GB"/>
          <w14:ligatures w14:val="none"/>
        </w:rPr>
        <w:t xml:space="preserve"> intervention may be needed even in floating regimes — not to maintain a peg, but to manage the cycle's transmission through the exchange rate.</w:t>
      </w:r>
    </w:p>
    <w:p w14:paraId="73062A3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Portfolio balance channel for FX.</w:t>
      </w:r>
      <w:r w:rsidRPr="0032251D">
        <w:rPr>
          <w:rFonts w:ascii="Aptos" w:eastAsia="Times New Roman" w:hAnsi="Aptos" w:cs="Times New Roman"/>
          <w:kern w:val="0"/>
          <w:sz w:val="22"/>
          <w:szCs w:val="22"/>
          <w:lang w:eastAsia="en-GB"/>
          <w14:ligatures w14:val="none"/>
        </w:rPr>
        <w:t xml:space="preserve"> The same logic as QE applied to currencies. Intervention changes the relative supply of domestic vs foreign assets in private hands, affecting the relative price (the exchange rate). The mechanism works through quantities and substitution, not through expected short rates.</w:t>
      </w:r>
    </w:p>
    <w:p w14:paraId="4E8FAD7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Signalling channel.</w:t>
      </w:r>
      <w:r w:rsidRPr="0032251D">
        <w:rPr>
          <w:rFonts w:ascii="Aptos" w:eastAsia="Times New Roman" w:hAnsi="Aptos" w:cs="Times New Roman"/>
          <w:kern w:val="0"/>
          <w:sz w:val="22"/>
          <w:szCs w:val="22"/>
          <w:lang w:eastAsia="en-GB"/>
          <w14:ligatures w14:val="none"/>
        </w:rPr>
        <w:t xml:space="preserve"> Intervention communicates the bank's view of FX. Even if it is mechanically ineffective on the portfolio channel, markets read intervention as commitment. The 1985 Plaza Accord moved FX significantly despite modest actual intervention because the </w:t>
      </w:r>
      <w:r w:rsidRPr="0032251D">
        <w:rPr>
          <w:rFonts w:ascii="Aptos" w:eastAsia="Times New Roman" w:hAnsi="Aptos" w:cs="Times New Roman"/>
          <w:i/>
          <w:iCs/>
          <w:kern w:val="0"/>
          <w:sz w:val="22"/>
          <w:szCs w:val="22"/>
          <w:lang w:eastAsia="en-GB"/>
          <w14:ligatures w14:val="none"/>
        </w:rPr>
        <w:t>announcement</w:t>
      </w:r>
      <w:r w:rsidRPr="0032251D">
        <w:rPr>
          <w:rFonts w:ascii="Aptos" w:eastAsia="Times New Roman" w:hAnsi="Aptos" w:cs="Times New Roman"/>
          <w:kern w:val="0"/>
          <w:sz w:val="22"/>
          <w:szCs w:val="22"/>
          <w:lang w:eastAsia="en-GB"/>
          <w14:ligatures w14:val="none"/>
        </w:rPr>
        <w:t xml:space="preserve"> was credible.</w:t>
      </w:r>
    </w:p>
    <w:p w14:paraId="78FEB4B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Fear of floating (Calvo-Reinhart 2002).</w:t>
      </w:r>
      <w:r w:rsidRPr="0032251D">
        <w:rPr>
          <w:rFonts w:ascii="Aptos" w:eastAsia="Times New Roman" w:hAnsi="Aptos" w:cs="Times New Roman"/>
          <w:kern w:val="0"/>
          <w:sz w:val="22"/>
          <w:szCs w:val="22"/>
          <w:lang w:eastAsia="en-GB"/>
          <w14:ligatures w14:val="none"/>
        </w:rPr>
        <w:t xml:space="preserve"> Most EMs do not let their currency float freely even when they claim to. They intervene to smooth volatility because FX moves matter for inflation (pass-through), corporate balance sheets (currency mismatch), and sovereign solvency (FX-denominated debt). The de jure regime and the de facto regime differ — sometimes substantially.</w:t>
      </w:r>
    </w:p>
    <w:p w14:paraId="5E681F22"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2EE29915">
          <v:rect id="_x0000_i1047" alt="" style="width:451.3pt;height:.05pt;mso-width-percent:0;mso-height-percent:0;mso-width-percent:0;mso-height-percent:0" o:hralign="center" o:hrstd="t" o:hr="t" fillcolor="#a0a0a0" stroked="f"/>
        </w:pict>
      </w:r>
    </w:p>
    <w:p w14:paraId="5B7F33D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Canonical specifications and parameters</w:t>
      </w:r>
    </w:p>
    <w:p w14:paraId="39F4ACC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Operational dimensions:</w:t>
      </w:r>
    </w:p>
    <w:p w14:paraId="7A960B5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Sterilisation status.</w:t>
      </w:r>
      <w:r w:rsidRPr="0032251D">
        <w:rPr>
          <w:rFonts w:ascii="Aptos" w:eastAsia="Times New Roman" w:hAnsi="Aptos" w:cs="Times New Roman"/>
          <w:kern w:val="0"/>
          <w:sz w:val="22"/>
          <w:szCs w:val="22"/>
          <w:lang w:eastAsia="en-GB"/>
          <w14:ligatures w14:val="none"/>
        </w:rPr>
        <w:t xml:space="preserve"> Sterilised intervention involves offsetting open market operations — when the bank buys USD, it issues domestic bonds or repos to absorb the liquidity created, leaving bank reserves unchanged. Most EM intervention is sterilised because EM banks do not want FX operations to muddle the monetary stance. The cost is </w:t>
      </w:r>
      <w:r w:rsidRPr="0032251D">
        <w:rPr>
          <w:rFonts w:ascii="Aptos" w:eastAsia="Times New Roman" w:hAnsi="Aptos" w:cs="Times New Roman"/>
          <w:i/>
          <w:iCs/>
          <w:kern w:val="0"/>
          <w:sz w:val="22"/>
          <w:szCs w:val="22"/>
          <w:lang w:eastAsia="en-GB"/>
          <w14:ligatures w14:val="none"/>
        </w:rPr>
        <w:t>negative carry</w:t>
      </w:r>
      <w:r w:rsidRPr="0032251D">
        <w:rPr>
          <w:rFonts w:ascii="Aptos" w:eastAsia="Times New Roman" w:hAnsi="Aptos" w:cs="Times New Roman"/>
          <w:kern w:val="0"/>
          <w:sz w:val="22"/>
          <w:szCs w:val="22"/>
          <w:lang w:eastAsia="en-GB"/>
          <w14:ligatures w14:val="none"/>
        </w:rPr>
        <w:t xml:space="preserve"> — the bank pays domestic rates on sterilisation instruments while earning lower foreign rates on reserves. For high-rate EMs, this can be expensive.</w:t>
      </w:r>
    </w:p>
    <w:p w14:paraId="693CE9E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Spot vs forward.</w:t>
      </w:r>
      <w:r w:rsidRPr="0032251D">
        <w:rPr>
          <w:rFonts w:ascii="Aptos" w:eastAsia="Times New Roman" w:hAnsi="Aptos" w:cs="Times New Roman"/>
          <w:kern w:val="0"/>
          <w:sz w:val="22"/>
          <w:szCs w:val="22"/>
          <w:lang w:eastAsia="en-GB"/>
          <w14:ligatures w14:val="none"/>
        </w:rPr>
        <w:t xml:space="preserve"> Spot intervention uses gross reserves directly. Forward intervention uses derivatives — BCB has run a forward book exceeding $70bn at peaks; </w:t>
      </w:r>
      <w:proofErr w:type="spellStart"/>
      <w:r w:rsidRPr="0032251D">
        <w:rPr>
          <w:rFonts w:ascii="Aptos" w:eastAsia="Times New Roman" w:hAnsi="Aptos" w:cs="Times New Roman"/>
          <w:kern w:val="0"/>
          <w:sz w:val="22"/>
          <w:szCs w:val="22"/>
          <w:lang w:eastAsia="en-GB"/>
          <w14:ligatures w14:val="none"/>
        </w:rPr>
        <w:t>Banxico</w:t>
      </w:r>
      <w:proofErr w:type="spellEnd"/>
      <w:r w:rsidRPr="0032251D">
        <w:rPr>
          <w:rFonts w:ascii="Aptos" w:eastAsia="Times New Roman" w:hAnsi="Aptos" w:cs="Times New Roman"/>
          <w:kern w:val="0"/>
          <w:sz w:val="22"/>
          <w:szCs w:val="22"/>
          <w:lang w:eastAsia="en-GB"/>
          <w14:ligatures w14:val="none"/>
        </w:rPr>
        <w:t xml:space="preserve"> has used FX </w:t>
      </w:r>
      <w:r w:rsidRPr="0032251D">
        <w:rPr>
          <w:rFonts w:ascii="Aptos" w:eastAsia="Times New Roman" w:hAnsi="Aptos" w:cs="Times New Roman"/>
          <w:kern w:val="0"/>
          <w:sz w:val="22"/>
          <w:szCs w:val="22"/>
          <w:lang w:eastAsia="en-GB"/>
          <w14:ligatures w14:val="none"/>
        </w:rPr>
        <w:lastRenderedPageBreak/>
        <w:t>hedges; Indonesia uses domestic NDFs. The forward book is itself a leveraged FX position that does not appear in gross reserves. This matters for empirical measurement.</w:t>
      </w:r>
    </w:p>
    <w:p w14:paraId="60E64E0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Rules-based vs discretionary.</w:t>
      </w:r>
      <w:r w:rsidRPr="0032251D">
        <w:rPr>
          <w:rFonts w:ascii="Aptos" w:eastAsia="Times New Roman" w:hAnsi="Aptos" w:cs="Times New Roman"/>
          <w:kern w:val="0"/>
          <w:sz w:val="22"/>
          <w:szCs w:val="22"/>
          <w:lang w:eastAsia="en-GB"/>
          <w14:ligatures w14:val="none"/>
        </w:rPr>
        <w:t xml:space="preserve"> BCB has used explicit auction rules ("we will sell up to $X per day if conditions Y hold"). Most EMs intervene discretionarily. Rules provide transparency but allow market positioning against the bank.</w:t>
      </w:r>
    </w:p>
    <w:p w14:paraId="7E4D7B0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Pre-announced vs surprise.</w:t>
      </w:r>
      <w:r w:rsidRPr="0032251D">
        <w:rPr>
          <w:rFonts w:ascii="Aptos" w:eastAsia="Times New Roman" w:hAnsi="Aptos" w:cs="Times New Roman"/>
          <w:kern w:val="0"/>
          <w:sz w:val="22"/>
          <w:szCs w:val="22"/>
          <w:lang w:eastAsia="en-GB"/>
          <w14:ligatures w14:val="none"/>
        </w:rPr>
        <w:t xml:space="preserve"> Pre-announced provides clarity but can be </w:t>
      </w:r>
      <w:proofErr w:type="gramStart"/>
      <w:r w:rsidRPr="0032251D">
        <w:rPr>
          <w:rFonts w:ascii="Aptos" w:eastAsia="Times New Roman" w:hAnsi="Aptos" w:cs="Times New Roman"/>
          <w:kern w:val="0"/>
          <w:sz w:val="22"/>
          <w:szCs w:val="22"/>
          <w:lang w:eastAsia="en-GB"/>
          <w14:ligatures w14:val="none"/>
        </w:rPr>
        <w:t>front-run</w:t>
      </w:r>
      <w:proofErr w:type="gramEnd"/>
      <w:r w:rsidRPr="0032251D">
        <w:rPr>
          <w:rFonts w:ascii="Aptos" w:eastAsia="Times New Roman" w:hAnsi="Aptos" w:cs="Times New Roman"/>
          <w:kern w:val="0"/>
          <w:sz w:val="22"/>
          <w:szCs w:val="22"/>
          <w:lang w:eastAsia="en-GB"/>
          <w14:ligatures w14:val="none"/>
        </w:rPr>
        <w:t>. Surprise intervention is more disruptive but communicates less.</w:t>
      </w:r>
    </w:p>
    <w:p w14:paraId="7D76873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Key parameters:</w:t>
      </w:r>
    </w:p>
    <w:p w14:paraId="472F80E2" w14:textId="77777777" w:rsidR="0032251D" w:rsidRPr="0032251D" w:rsidRDefault="0032251D">
      <w:pPr>
        <w:numPr>
          <w:ilvl w:val="0"/>
          <w:numId w:val="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Magnitude</w:t>
      </w:r>
      <w:r w:rsidRPr="0032251D">
        <w:rPr>
          <w:rFonts w:ascii="Aptos" w:eastAsia="Times New Roman" w:hAnsi="Aptos" w:cs="Times New Roman"/>
          <w:kern w:val="0"/>
          <w:sz w:val="22"/>
          <w:szCs w:val="22"/>
          <w:lang w:eastAsia="en-GB"/>
          <w14:ligatures w14:val="none"/>
        </w:rPr>
        <w:t>: typically measured as fraction of FX reserves, or fraction of daily FX turnover</w:t>
      </w:r>
    </w:p>
    <w:p w14:paraId="047047D4" w14:textId="77777777" w:rsidR="0032251D" w:rsidRPr="0032251D" w:rsidRDefault="0032251D">
      <w:pPr>
        <w:numPr>
          <w:ilvl w:val="0"/>
          <w:numId w:val="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Reserve adequacy</w:t>
      </w:r>
      <w:r w:rsidRPr="0032251D">
        <w:rPr>
          <w:rFonts w:ascii="Aptos" w:eastAsia="Times New Roman" w:hAnsi="Aptos" w:cs="Times New Roman"/>
          <w:kern w:val="0"/>
          <w:sz w:val="22"/>
          <w:szCs w:val="22"/>
          <w:lang w:eastAsia="en-GB"/>
          <w14:ligatures w14:val="none"/>
        </w:rPr>
        <w:t>: IMF ARA metric assesses reserves vs short-term external debt, M2, and current account. The binding constraint on intervention capacity</w:t>
      </w:r>
    </w:p>
    <w:p w14:paraId="62804ECE" w14:textId="77777777" w:rsidR="0032251D" w:rsidRPr="0032251D" w:rsidRDefault="0032251D">
      <w:pPr>
        <w:numPr>
          <w:ilvl w:val="0"/>
          <w:numId w:val="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Sterilisation cost</w:t>
      </w:r>
      <w:r w:rsidRPr="0032251D">
        <w:rPr>
          <w:rFonts w:ascii="Aptos" w:eastAsia="Times New Roman" w:hAnsi="Aptos" w:cs="Times New Roman"/>
          <w:kern w:val="0"/>
          <w:sz w:val="22"/>
          <w:szCs w:val="22"/>
          <w:lang w:eastAsia="en-GB"/>
          <w14:ligatures w14:val="none"/>
        </w:rPr>
        <w:t>: negative carry that accumulates over time</w:t>
      </w:r>
    </w:p>
    <w:p w14:paraId="6F5C16E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The CFM toolkit is adjacent: inflow taxes (Brazil's IOF, Korea 2010), reserve requirements on FX positions (Chile's </w:t>
      </w:r>
      <w:proofErr w:type="spellStart"/>
      <w:r w:rsidRPr="0032251D">
        <w:rPr>
          <w:rFonts w:ascii="Aptos" w:eastAsia="Times New Roman" w:hAnsi="Aptos" w:cs="Times New Roman"/>
          <w:kern w:val="0"/>
          <w:sz w:val="22"/>
          <w:szCs w:val="22"/>
          <w:lang w:eastAsia="en-GB"/>
          <w14:ligatures w14:val="none"/>
        </w:rPr>
        <w:t>encaje</w:t>
      </w:r>
      <w:proofErr w:type="spellEnd"/>
      <w:r w:rsidRPr="0032251D">
        <w:rPr>
          <w:rFonts w:ascii="Aptos" w:eastAsia="Times New Roman" w:hAnsi="Aptos" w:cs="Times New Roman"/>
          <w:kern w:val="0"/>
          <w:sz w:val="22"/>
          <w:szCs w:val="22"/>
          <w:lang w:eastAsia="en-GB"/>
          <w14:ligatures w14:val="none"/>
        </w:rPr>
        <w:t>), currency-specific position limits, and outright outflow restrictions in crisis (Cyprus 2013, Iceland 2008). The IMF formally legitimised CFM as a policy tool in 2012 under specific conditions.</w:t>
      </w:r>
    </w:p>
    <w:p w14:paraId="3AE8064B"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3C34E2B5">
          <v:rect id="_x0000_i1048" alt="" style="width:451.3pt;height:.05pt;mso-width-percent:0;mso-height-percent:0;mso-width-percent:0;mso-height-percent:0" o:hralign="center" o:hrstd="t" o:hr="t" fillcolor="#a0a0a0" stroked="f"/>
        </w:pict>
      </w:r>
    </w:p>
    <w:p w14:paraId="72464BA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Why this matters for asset prices</w:t>
      </w:r>
    </w:p>
    <w:p w14:paraId="0DD2234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FX intervention affects asset prices through six channels, roughly ordered by directness.</w:t>
      </w:r>
    </w:p>
    <w:p w14:paraId="51A06F8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Direct spot effect.</w:t>
      </w:r>
      <w:r w:rsidRPr="0032251D">
        <w:rPr>
          <w:rFonts w:ascii="Aptos" w:eastAsia="Times New Roman" w:hAnsi="Aptos" w:cs="Times New Roman"/>
          <w:kern w:val="0"/>
          <w:sz w:val="22"/>
          <w:szCs w:val="22"/>
          <w:lang w:eastAsia="en-GB"/>
          <w14:ligatures w14:val="none"/>
        </w:rPr>
        <w:t xml:space="preserve"> The exchange rate moves on the intervention itself.</w:t>
      </w:r>
    </w:p>
    <w:p w14:paraId="12E356E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Carry trade.</w:t>
      </w:r>
      <w:r w:rsidRPr="0032251D">
        <w:rPr>
          <w:rFonts w:ascii="Aptos" w:eastAsia="Times New Roman" w:hAnsi="Aptos" w:cs="Times New Roman"/>
          <w:kern w:val="0"/>
          <w:sz w:val="22"/>
          <w:szCs w:val="22"/>
          <w:lang w:eastAsia="en-GB"/>
          <w14:ligatures w14:val="none"/>
        </w:rPr>
        <w:t xml:space="preserve"> The differential between domestic and foreign rates is the basis of carry. Intervention can support carry (by stabilising the currency) or undermine it (by signalling FX policy uncertainty).</w:t>
      </w:r>
    </w:p>
    <w:p w14:paraId="36889822"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Inflation pass-through.</w:t>
      </w:r>
      <w:r w:rsidRPr="0032251D">
        <w:rPr>
          <w:rFonts w:ascii="Aptos" w:eastAsia="Times New Roman" w:hAnsi="Aptos" w:cs="Times New Roman"/>
          <w:kern w:val="0"/>
          <w:sz w:val="22"/>
          <w:szCs w:val="22"/>
          <w:lang w:eastAsia="en-GB"/>
          <w14:ligatures w14:val="none"/>
        </w:rPr>
        <w:t xml:space="preserve"> FX moves affect import prices, which affect domestic inflation, which affects the policy rate path. Intervention indirectly affects rates expectations through this channel.</w:t>
      </w:r>
    </w:p>
    <w:p w14:paraId="3141122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Sovereign credit.</w:t>
      </w:r>
      <w:r w:rsidRPr="0032251D">
        <w:rPr>
          <w:rFonts w:ascii="Aptos" w:eastAsia="Times New Roman" w:hAnsi="Aptos" w:cs="Times New Roman"/>
          <w:kern w:val="0"/>
          <w:sz w:val="22"/>
          <w:szCs w:val="22"/>
          <w:lang w:eastAsia="en-GB"/>
          <w14:ligatures w14:val="none"/>
        </w:rPr>
        <w:t xml:space="preserve"> Intervention burns reserves, affecting the sovereign external balance sheet. Heavy intervention without sufficient reserves can spike sovereign CDS even when fundamentals are unchanged — the bank running through its constraint is itself a signal.</w:t>
      </w:r>
    </w:p>
    <w:p w14:paraId="2861B4F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Corporate balance sheets.</w:t>
      </w:r>
      <w:r w:rsidRPr="0032251D">
        <w:rPr>
          <w:rFonts w:ascii="Aptos" w:eastAsia="Times New Roman" w:hAnsi="Aptos" w:cs="Times New Roman"/>
          <w:kern w:val="0"/>
          <w:sz w:val="22"/>
          <w:szCs w:val="22"/>
          <w:lang w:eastAsia="en-GB"/>
          <w14:ligatures w14:val="none"/>
        </w:rPr>
        <w:t xml:space="preserve"> Currency mismatch means FX moves stress corporate solvency. Intervention smoothing supports corporate credit valuations.</w:t>
      </w:r>
    </w:p>
    <w:p w14:paraId="47691372"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Foreign portfolio flows.</w:t>
      </w:r>
      <w:r w:rsidRPr="0032251D">
        <w:rPr>
          <w:rFonts w:ascii="Aptos" w:eastAsia="Times New Roman" w:hAnsi="Aptos" w:cs="Times New Roman"/>
          <w:kern w:val="0"/>
          <w:sz w:val="22"/>
          <w:szCs w:val="22"/>
          <w:lang w:eastAsia="en-GB"/>
          <w14:ligatures w14:val="none"/>
        </w:rPr>
        <w:t xml:space="preserve"> Stable FX attracts foreign portfolio investment; volatile FX repels it. </w:t>
      </w:r>
      <w:proofErr w:type="gramStart"/>
      <w:r w:rsidRPr="0032251D">
        <w:rPr>
          <w:rFonts w:ascii="Aptos" w:eastAsia="Times New Roman" w:hAnsi="Aptos" w:cs="Times New Roman"/>
          <w:kern w:val="0"/>
          <w:sz w:val="22"/>
          <w:szCs w:val="22"/>
          <w:lang w:eastAsia="en-GB"/>
          <w14:ligatures w14:val="none"/>
        </w:rPr>
        <w:t>So</w:t>
      </w:r>
      <w:proofErr w:type="gramEnd"/>
      <w:r w:rsidRPr="0032251D">
        <w:rPr>
          <w:rFonts w:ascii="Aptos" w:eastAsia="Times New Roman" w:hAnsi="Aptos" w:cs="Times New Roman"/>
          <w:kern w:val="0"/>
          <w:sz w:val="22"/>
          <w:szCs w:val="22"/>
          <w:lang w:eastAsia="en-GB"/>
          <w14:ligatures w14:val="none"/>
        </w:rPr>
        <w:t xml:space="preserve"> intervention has a self-reinforcing flow consequence — successful intervention attracts the flows that further support the currency.</w:t>
      </w:r>
    </w:p>
    <w:p w14:paraId="251BC57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For investment managers, three practitioner points dominate. First, EM FX is the cleanest read on central bank credibility — more so than rates, because it integrates the rule, the FX </w:t>
      </w:r>
      <w:r w:rsidRPr="0032251D">
        <w:rPr>
          <w:rFonts w:ascii="Aptos" w:eastAsia="Times New Roman" w:hAnsi="Aptos" w:cs="Times New Roman"/>
          <w:kern w:val="0"/>
          <w:sz w:val="22"/>
          <w:szCs w:val="22"/>
          <w:lang w:eastAsia="en-GB"/>
          <w14:ligatures w14:val="none"/>
        </w:rPr>
        <w:lastRenderedPageBreak/>
        <w:t>instrument, and the bank's reserve constraint into a single price. Second, intervention magnitude relative to reserves is a signal of bank intent and resolve — small intervention is smoothing, large is defence, exhaustive is regime change. Third, the forward book size matters separately and is often overlooked — BCB's forward book is a leveraged FX position that can amplify the bank's exposure to currency moves.</w:t>
      </w:r>
    </w:p>
    <w:p w14:paraId="35736A41"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2A626354">
          <v:rect id="_x0000_i1049" alt="" style="width:451.3pt;height:.05pt;mso-width-percent:0;mso-height-percent:0;mso-width-percent:0;mso-height-percent:0" o:hralign="center" o:hrstd="t" o:hr="t" fillcolor="#a0a0a0" stroked="f"/>
        </w:pict>
      </w:r>
    </w:p>
    <w:p w14:paraId="27C01B6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Regime and EM variation</w:t>
      </w:r>
    </w:p>
    <w:p w14:paraId="0FE8057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deepest country asymmetry in the instrument set.</w:t>
      </w:r>
    </w:p>
    <w:p w14:paraId="5325EE1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DM banks: largely do not intervene.</w:t>
      </w:r>
    </w:p>
    <w:p w14:paraId="712C8023" w14:textId="77777777" w:rsidR="0032251D" w:rsidRPr="0032251D" w:rsidRDefault="0032251D">
      <w:pPr>
        <w:numPr>
          <w:ilvl w:val="0"/>
          <w:numId w:val="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Fed: officially free float, no intervention since 2000. Coordinated interventions are rare (Plaza 1985, post-Brexit 2016 communications without spot operations).</w:t>
      </w:r>
    </w:p>
    <w:p w14:paraId="533CA1FE" w14:textId="77777777" w:rsidR="0032251D" w:rsidRPr="0032251D" w:rsidRDefault="0032251D">
      <w:pPr>
        <w:numPr>
          <w:ilvl w:val="0"/>
          <w:numId w:val="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ECB: very rare; some euro-buying during 2000-2001 weakness.</w:t>
      </w:r>
    </w:p>
    <w:p w14:paraId="581F8109" w14:textId="77777777" w:rsidR="0032251D" w:rsidRPr="0032251D" w:rsidRDefault="0032251D">
      <w:pPr>
        <w:numPr>
          <w:ilvl w:val="0"/>
          <w:numId w:val="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BoJ: famously intervenes. September 2022 intervention to defend yen was the largest single-day intervention by a G10 bank.</w:t>
      </w:r>
    </w:p>
    <w:p w14:paraId="4BA62876" w14:textId="77777777" w:rsidR="0032251D" w:rsidRPr="0032251D" w:rsidRDefault="0032251D">
      <w:pPr>
        <w:numPr>
          <w:ilvl w:val="0"/>
          <w:numId w:val="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SNB: famously intervened to enforce the 1.20 EUR/CHF floor 2011-2015, then abandoned. Now holds a massive FX-denominated balance sheet.</w:t>
      </w:r>
    </w:p>
    <w:p w14:paraId="406B09D0" w14:textId="77777777" w:rsidR="0032251D" w:rsidRPr="0032251D" w:rsidRDefault="0032251D">
      <w:pPr>
        <w:numPr>
          <w:ilvl w:val="0"/>
          <w:numId w:val="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Bank of Israel: explicit reserve accumulation programme.</w:t>
      </w:r>
    </w:p>
    <w:p w14:paraId="65644D52"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EM banks: intervene routinely.</w:t>
      </w:r>
    </w:p>
    <w:p w14:paraId="53F73E0C" w14:textId="77777777" w:rsidR="0032251D" w:rsidRPr="0032251D" w:rsidRDefault="0032251D">
      <w:pPr>
        <w:numPr>
          <w:ilvl w:val="0"/>
          <w:numId w:val="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BCB: routine spot and forward auctions, sometimes daily. Large forward book is its signature instrument.</w:t>
      </w:r>
    </w:p>
    <w:p w14:paraId="4F14247B" w14:textId="77777777" w:rsidR="0032251D" w:rsidRPr="0032251D" w:rsidRDefault="0032251D">
      <w:pPr>
        <w:numPr>
          <w:ilvl w:val="0"/>
          <w:numId w:val="8"/>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32251D">
        <w:rPr>
          <w:rFonts w:ascii="Aptos" w:eastAsia="Times New Roman" w:hAnsi="Aptos" w:cs="Times New Roman"/>
          <w:kern w:val="0"/>
          <w:sz w:val="22"/>
          <w:szCs w:val="22"/>
          <w:lang w:eastAsia="en-GB"/>
          <w14:ligatures w14:val="none"/>
        </w:rPr>
        <w:t>Banxico</w:t>
      </w:r>
      <w:proofErr w:type="spellEnd"/>
      <w:r w:rsidRPr="0032251D">
        <w:rPr>
          <w:rFonts w:ascii="Aptos" w:eastAsia="Times New Roman" w:hAnsi="Aptos" w:cs="Times New Roman"/>
          <w:kern w:val="0"/>
          <w:sz w:val="22"/>
          <w:szCs w:val="22"/>
          <w:lang w:eastAsia="en-GB"/>
          <w14:ligatures w14:val="none"/>
        </w:rPr>
        <w:t>: forward intervention via hedges; less spot.</w:t>
      </w:r>
    </w:p>
    <w:p w14:paraId="52C85F85" w14:textId="77777777" w:rsidR="0032251D" w:rsidRPr="0032251D" w:rsidRDefault="0032251D">
      <w:pPr>
        <w:numPr>
          <w:ilvl w:val="0"/>
          <w:numId w:val="8"/>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32251D">
        <w:rPr>
          <w:rFonts w:ascii="Aptos" w:eastAsia="Times New Roman" w:hAnsi="Aptos" w:cs="Times New Roman"/>
          <w:kern w:val="0"/>
          <w:sz w:val="22"/>
          <w:szCs w:val="22"/>
          <w:lang w:eastAsia="en-GB"/>
          <w14:ligatures w14:val="none"/>
        </w:rPr>
        <w:t>BoK</w:t>
      </w:r>
      <w:proofErr w:type="spellEnd"/>
      <w:r w:rsidRPr="0032251D">
        <w:rPr>
          <w:rFonts w:ascii="Aptos" w:eastAsia="Times New Roman" w:hAnsi="Aptos" w:cs="Times New Roman"/>
          <w:kern w:val="0"/>
          <w:sz w:val="22"/>
          <w:szCs w:val="22"/>
          <w:lang w:eastAsia="en-GB"/>
          <w14:ligatures w14:val="none"/>
        </w:rPr>
        <w:t>: managed float with active intervention.</w:t>
      </w:r>
    </w:p>
    <w:p w14:paraId="6C054D2D" w14:textId="77777777" w:rsidR="0032251D" w:rsidRPr="0032251D" w:rsidRDefault="0032251D">
      <w:pPr>
        <w:numPr>
          <w:ilvl w:val="0"/>
          <w:numId w:val="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RBI: very active, persistent reserve accumulation.</w:t>
      </w:r>
    </w:p>
    <w:p w14:paraId="226EABB7" w14:textId="77777777" w:rsidR="0032251D" w:rsidRPr="0032251D" w:rsidRDefault="0032251D">
      <w:pPr>
        <w:numPr>
          <w:ilvl w:val="0"/>
          <w:numId w:val="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BSP (Philippines), Bank Indonesia: managed float with intervention.</w:t>
      </w:r>
    </w:p>
    <w:p w14:paraId="0ABE4268" w14:textId="77777777" w:rsidR="0032251D" w:rsidRPr="0032251D" w:rsidRDefault="0032251D">
      <w:pPr>
        <w:numPr>
          <w:ilvl w:val="0"/>
          <w:numId w:val="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TCMB (Turkey): burned through reserves dramatically since 2018; classic case of intervention against an unsustainable position.</w:t>
      </w:r>
    </w:p>
    <w:p w14:paraId="400648BA" w14:textId="77777777" w:rsidR="0032251D" w:rsidRPr="0032251D" w:rsidRDefault="0032251D">
      <w:pPr>
        <w:numPr>
          <w:ilvl w:val="0"/>
          <w:numId w:val="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Argentina: explicit FX rationing and multiple parallel exchange rates — the failure mode where intervention cannot stabilise.</w:t>
      </w:r>
    </w:p>
    <w:p w14:paraId="4C20E335"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SARB specifically.</w:t>
      </w:r>
      <w:r w:rsidRPr="0032251D">
        <w:rPr>
          <w:rFonts w:ascii="Aptos" w:eastAsia="Times New Roman" w:hAnsi="Aptos" w:cs="Times New Roman"/>
          <w:kern w:val="0"/>
          <w:sz w:val="22"/>
          <w:szCs w:val="22"/>
          <w:lang w:eastAsia="en-GB"/>
          <w14:ligatures w14:val="none"/>
        </w:rPr>
        <w:t xml:space="preserve"> Free-float regime de jure and largely de facto. Does not target FX. Rare interventions, typically small and sterilised. Reserves accumulate mainly through Treasury debt-management operations rather than active CB intervention. The 2008 and 2015-16 stress episodes saw volatility but no major intervention campaigns. SA's FX risk lives in offshore investor positioning and bond outflows, not in central bank intervention. L3d is </w:t>
      </w:r>
      <w:r w:rsidRPr="0032251D">
        <w:rPr>
          <w:rFonts w:ascii="Aptos" w:eastAsia="Times New Roman" w:hAnsi="Aptos" w:cs="Times New Roman"/>
          <w:i/>
          <w:iCs/>
          <w:kern w:val="0"/>
          <w:sz w:val="22"/>
          <w:szCs w:val="22"/>
          <w:lang w:eastAsia="en-GB"/>
          <w14:ligatures w14:val="none"/>
        </w:rPr>
        <w:t>barely active</w:t>
      </w:r>
      <w:r w:rsidRPr="0032251D">
        <w:rPr>
          <w:rFonts w:ascii="Aptos" w:eastAsia="Times New Roman" w:hAnsi="Aptos" w:cs="Times New Roman"/>
          <w:kern w:val="0"/>
          <w:sz w:val="22"/>
          <w:szCs w:val="22"/>
          <w:lang w:eastAsia="en-GB"/>
          <w14:ligatures w14:val="none"/>
        </w:rPr>
        <w:t xml:space="preserve"> for SA — which is itself the empirical result.</w:t>
      </w:r>
    </w:p>
    <w:p w14:paraId="24B947B7"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7AAEF2D7">
          <v:rect id="_x0000_i1050" alt="" style="width:451.3pt;height:.05pt;mso-width-percent:0;mso-height-percent:0;mso-width-percent:0;mso-height-percent:0" o:hralign="center" o:hrstd="t" o:hr="t" fillcolor="#a0a0a0" stroked="f"/>
        </w:pict>
      </w:r>
    </w:p>
    <w:p w14:paraId="7300FAB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Empirical pitfalls</w:t>
      </w:r>
    </w:p>
    <w:p w14:paraId="079E2F85"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Identifying intervention.</w:t>
      </w:r>
      <w:r w:rsidRPr="0032251D">
        <w:rPr>
          <w:rFonts w:ascii="Aptos" w:eastAsia="Times New Roman" w:hAnsi="Aptos" w:cs="Times New Roman"/>
          <w:kern w:val="0"/>
          <w:sz w:val="22"/>
          <w:szCs w:val="22"/>
          <w:lang w:eastAsia="en-GB"/>
          <w14:ligatures w14:val="none"/>
        </w:rPr>
        <w:t xml:space="preserve"> Most CBs do not publish daily intervention. The empirical proxy is changes in gross reserves, decomposed as </w:t>
      </w:r>
      <w:proofErr w:type="spellStart"/>
      <w:r w:rsidRPr="0032251D">
        <w:rPr>
          <w:rFonts w:ascii="Aptos" w:eastAsia="Times New Roman" w:hAnsi="Aptos" w:cs="Times New Roman"/>
          <w:kern w:val="0"/>
          <w:sz w:val="22"/>
          <w:szCs w:val="22"/>
          <w:lang w:eastAsia="en-GB"/>
          <w14:ligatures w14:val="none"/>
        </w:rPr>
        <w:t>Δreserves</w:t>
      </w:r>
      <w:proofErr w:type="spellEnd"/>
      <w:r w:rsidRPr="0032251D">
        <w:rPr>
          <w:rFonts w:ascii="Aptos" w:eastAsia="Times New Roman" w:hAnsi="Aptos" w:cs="Times New Roman"/>
          <w:kern w:val="0"/>
          <w:sz w:val="22"/>
          <w:szCs w:val="22"/>
          <w:lang w:eastAsia="en-GB"/>
          <w14:ligatures w14:val="none"/>
        </w:rPr>
        <w:t xml:space="preserve"> = NI + valuation effects + interest income + SDR transactions. The decomposition is non-trivial — valuation changes from EUR-USD or </w:t>
      </w:r>
      <w:r w:rsidRPr="0032251D">
        <w:rPr>
          <w:rFonts w:ascii="Aptos" w:eastAsia="Times New Roman" w:hAnsi="Aptos" w:cs="Times New Roman"/>
          <w:kern w:val="0"/>
          <w:sz w:val="22"/>
          <w:szCs w:val="22"/>
          <w:lang w:eastAsia="en-GB"/>
          <w14:ligatures w14:val="none"/>
        </w:rPr>
        <w:lastRenderedPageBreak/>
        <w:t>gold price moves can dominate small intervention flows. BCB publishes daily auction details (the cleanest data in EM). SARB publishes monthly reserves with limited decomposition.</w:t>
      </w:r>
    </w:p>
    <w:p w14:paraId="5A91C54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Sterilised vs unsterilised classification.</w:t>
      </w:r>
      <w:r w:rsidRPr="0032251D">
        <w:rPr>
          <w:rFonts w:ascii="Aptos" w:eastAsia="Times New Roman" w:hAnsi="Aptos" w:cs="Times New Roman"/>
          <w:kern w:val="0"/>
          <w:sz w:val="22"/>
          <w:szCs w:val="22"/>
          <w:lang w:eastAsia="en-GB"/>
          <w14:ligatures w14:val="none"/>
        </w:rPr>
        <w:t xml:space="preserve"> Look at monetary base changes alongside reserves changes. If </w:t>
      </w:r>
      <w:proofErr w:type="spellStart"/>
      <w:r w:rsidRPr="0032251D">
        <w:rPr>
          <w:rFonts w:ascii="Aptos" w:eastAsia="Times New Roman" w:hAnsi="Aptos" w:cs="Times New Roman"/>
          <w:kern w:val="0"/>
          <w:sz w:val="22"/>
          <w:szCs w:val="22"/>
          <w:lang w:eastAsia="en-GB"/>
          <w14:ligatures w14:val="none"/>
        </w:rPr>
        <w:t>Δbase</w:t>
      </w:r>
      <w:proofErr w:type="spellEnd"/>
      <w:r w:rsidRPr="0032251D">
        <w:rPr>
          <w:rFonts w:ascii="Aptos" w:eastAsia="Times New Roman" w:hAnsi="Aptos" w:cs="Times New Roman"/>
          <w:kern w:val="0"/>
          <w:sz w:val="22"/>
          <w:szCs w:val="22"/>
          <w:lang w:eastAsia="en-GB"/>
          <w14:ligatures w14:val="none"/>
        </w:rPr>
        <w:t xml:space="preserve"> ≈ </w:t>
      </w:r>
      <w:proofErr w:type="spellStart"/>
      <w:r w:rsidRPr="0032251D">
        <w:rPr>
          <w:rFonts w:ascii="Aptos" w:eastAsia="Times New Roman" w:hAnsi="Aptos" w:cs="Times New Roman"/>
          <w:kern w:val="0"/>
          <w:sz w:val="22"/>
          <w:szCs w:val="22"/>
          <w:lang w:eastAsia="en-GB"/>
          <w14:ligatures w14:val="none"/>
        </w:rPr>
        <w:t>Δreserves</w:t>
      </w:r>
      <w:proofErr w:type="spellEnd"/>
      <w:r w:rsidRPr="0032251D">
        <w:rPr>
          <w:rFonts w:ascii="Aptos" w:eastAsia="Times New Roman" w:hAnsi="Aptos" w:cs="Times New Roman"/>
          <w:kern w:val="0"/>
          <w:sz w:val="22"/>
          <w:szCs w:val="22"/>
          <w:lang w:eastAsia="en-GB"/>
          <w14:ligatures w14:val="none"/>
        </w:rPr>
        <w:t xml:space="preserve">, the intervention is unsterilised. If </w:t>
      </w:r>
      <w:proofErr w:type="spellStart"/>
      <w:r w:rsidRPr="0032251D">
        <w:rPr>
          <w:rFonts w:ascii="Aptos" w:eastAsia="Times New Roman" w:hAnsi="Aptos" w:cs="Times New Roman"/>
          <w:kern w:val="0"/>
          <w:sz w:val="22"/>
          <w:szCs w:val="22"/>
          <w:lang w:eastAsia="en-GB"/>
          <w14:ligatures w14:val="none"/>
        </w:rPr>
        <w:t>Δbase</w:t>
      </w:r>
      <w:proofErr w:type="spellEnd"/>
      <w:r w:rsidRPr="0032251D">
        <w:rPr>
          <w:rFonts w:ascii="Aptos" w:eastAsia="Times New Roman" w:hAnsi="Aptos" w:cs="Times New Roman"/>
          <w:kern w:val="0"/>
          <w:sz w:val="22"/>
          <w:szCs w:val="22"/>
          <w:lang w:eastAsia="en-GB"/>
          <w14:ligatures w14:val="none"/>
        </w:rPr>
        <w:t xml:space="preserve"> does not track </w:t>
      </w:r>
      <w:proofErr w:type="spellStart"/>
      <w:r w:rsidRPr="0032251D">
        <w:rPr>
          <w:rFonts w:ascii="Aptos" w:eastAsia="Times New Roman" w:hAnsi="Aptos" w:cs="Times New Roman"/>
          <w:kern w:val="0"/>
          <w:sz w:val="22"/>
          <w:szCs w:val="22"/>
          <w:lang w:eastAsia="en-GB"/>
          <w14:ligatures w14:val="none"/>
        </w:rPr>
        <w:t>Δreserves</w:t>
      </w:r>
      <w:proofErr w:type="spellEnd"/>
      <w:r w:rsidRPr="0032251D">
        <w:rPr>
          <w:rFonts w:ascii="Aptos" w:eastAsia="Times New Roman" w:hAnsi="Aptos" w:cs="Times New Roman"/>
          <w:kern w:val="0"/>
          <w:sz w:val="22"/>
          <w:szCs w:val="22"/>
          <w:lang w:eastAsia="en-GB"/>
          <w14:ligatures w14:val="none"/>
        </w:rPr>
        <w:t>, sterilisation operations are present. The classification is sometimes ambiguous when domestic operations have multiple purposes.</w:t>
      </w:r>
    </w:p>
    <w:p w14:paraId="254A04F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Forward book invisibility.</w:t>
      </w:r>
      <w:r w:rsidRPr="0032251D">
        <w:rPr>
          <w:rFonts w:ascii="Aptos" w:eastAsia="Times New Roman" w:hAnsi="Aptos" w:cs="Times New Roman"/>
          <w:kern w:val="0"/>
          <w:sz w:val="22"/>
          <w:szCs w:val="22"/>
          <w:lang w:eastAsia="en-GB"/>
          <w14:ligatures w14:val="none"/>
        </w:rPr>
        <w:t xml:space="preserve"> BCB and </w:t>
      </w:r>
      <w:proofErr w:type="spellStart"/>
      <w:r w:rsidRPr="0032251D">
        <w:rPr>
          <w:rFonts w:ascii="Aptos" w:eastAsia="Times New Roman" w:hAnsi="Aptos" w:cs="Times New Roman"/>
          <w:kern w:val="0"/>
          <w:sz w:val="22"/>
          <w:szCs w:val="22"/>
          <w:lang w:eastAsia="en-GB"/>
          <w14:ligatures w14:val="none"/>
        </w:rPr>
        <w:t>Banxico's</w:t>
      </w:r>
      <w:proofErr w:type="spellEnd"/>
      <w:r w:rsidRPr="0032251D">
        <w:rPr>
          <w:rFonts w:ascii="Aptos" w:eastAsia="Times New Roman" w:hAnsi="Aptos" w:cs="Times New Roman"/>
          <w:kern w:val="0"/>
          <w:sz w:val="22"/>
          <w:szCs w:val="22"/>
          <w:lang w:eastAsia="en-GB"/>
          <w14:ligatures w14:val="none"/>
        </w:rPr>
        <w:t xml:space="preserve"> forward books are not reflected in gross reserves. Empirical measurement requires the bank's separate disclosure of forward positions. For banks that do not disclose, the forward book is </w:t>
      </w:r>
      <w:proofErr w:type="gramStart"/>
      <w:r w:rsidRPr="0032251D">
        <w:rPr>
          <w:rFonts w:ascii="Aptos" w:eastAsia="Times New Roman" w:hAnsi="Aptos" w:cs="Times New Roman"/>
          <w:kern w:val="0"/>
          <w:sz w:val="22"/>
          <w:szCs w:val="22"/>
          <w:lang w:eastAsia="en-GB"/>
          <w14:ligatures w14:val="none"/>
        </w:rPr>
        <w:t>unmeasurable</w:t>
      </w:r>
      <w:proofErr w:type="gramEnd"/>
      <w:r w:rsidRPr="0032251D">
        <w:rPr>
          <w:rFonts w:ascii="Aptos" w:eastAsia="Times New Roman" w:hAnsi="Aptos" w:cs="Times New Roman"/>
          <w:kern w:val="0"/>
          <w:sz w:val="22"/>
          <w:szCs w:val="22"/>
          <w:lang w:eastAsia="en-GB"/>
          <w14:ligatures w14:val="none"/>
        </w:rPr>
        <w:t xml:space="preserve"> and intervention magnitude is systematically underestimated.</w:t>
      </w:r>
    </w:p>
    <w:p w14:paraId="23AD5F35"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Counterfactual problem.</w:t>
      </w:r>
      <w:r w:rsidRPr="0032251D">
        <w:rPr>
          <w:rFonts w:ascii="Aptos" w:eastAsia="Times New Roman" w:hAnsi="Aptos" w:cs="Times New Roman"/>
          <w:kern w:val="0"/>
          <w:sz w:val="22"/>
          <w:szCs w:val="22"/>
          <w:lang w:eastAsia="en-GB"/>
          <w14:ligatures w14:val="none"/>
        </w:rPr>
        <w:t xml:space="preserve"> Was the FX move caused by intervention, or would it have happened anyway? Hard to identify cleanly. Event studies around announcements provide some lift, but the bank usually intervenes in response to FX pressure, making the simultaneity hard to break.</w:t>
      </w:r>
    </w:p>
    <w:p w14:paraId="4D2A482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Reserve composition effects.</w:t>
      </w:r>
      <w:r w:rsidRPr="0032251D">
        <w:rPr>
          <w:rFonts w:ascii="Aptos" w:eastAsia="Times New Roman" w:hAnsi="Aptos" w:cs="Times New Roman"/>
          <w:kern w:val="0"/>
          <w:sz w:val="22"/>
          <w:szCs w:val="22"/>
          <w:lang w:eastAsia="en-GB"/>
          <w14:ligatures w14:val="none"/>
        </w:rPr>
        <w:t xml:space="preserve"> Changes in reserve currency composition (USD vs EUR vs gold) appear as valuation changes but may also reflect strategic positioning. Distinguishing these requires bank-specific disclosure.</w:t>
      </w:r>
    </w:p>
    <w:p w14:paraId="6A1FAA9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CFM measurement.</w:t>
      </w:r>
      <w:r w:rsidRPr="0032251D">
        <w:rPr>
          <w:rFonts w:ascii="Aptos" w:eastAsia="Times New Roman" w:hAnsi="Aptos" w:cs="Times New Roman"/>
          <w:kern w:val="0"/>
          <w:sz w:val="22"/>
          <w:szCs w:val="22"/>
          <w:lang w:eastAsia="en-GB"/>
          <w14:ligatures w14:val="none"/>
        </w:rPr>
        <w:t xml:space="preserve"> The IMF </w:t>
      </w:r>
      <w:proofErr w:type="spellStart"/>
      <w:r w:rsidRPr="0032251D">
        <w:rPr>
          <w:rFonts w:ascii="Aptos" w:eastAsia="Times New Roman" w:hAnsi="Aptos" w:cs="Times New Roman"/>
          <w:kern w:val="0"/>
          <w:sz w:val="22"/>
          <w:szCs w:val="22"/>
          <w:lang w:eastAsia="en-GB"/>
          <w14:ligatures w14:val="none"/>
        </w:rPr>
        <w:t>iMaPP</w:t>
      </w:r>
      <w:proofErr w:type="spellEnd"/>
      <w:r w:rsidRPr="0032251D">
        <w:rPr>
          <w:rFonts w:ascii="Aptos" w:eastAsia="Times New Roman" w:hAnsi="Aptos" w:cs="Times New Roman"/>
          <w:kern w:val="0"/>
          <w:sz w:val="22"/>
          <w:szCs w:val="22"/>
          <w:lang w:eastAsia="en-GB"/>
          <w14:ligatures w14:val="none"/>
        </w:rPr>
        <w:t xml:space="preserve"> database tracks CFM actions, but coverage varies across countries and there is self-reporting bias.</w:t>
      </w:r>
    </w:p>
    <w:p w14:paraId="5BE0E85B"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2056FF56">
          <v:rect id="_x0000_i1051" alt="" style="width:451.3pt;height:.05pt;mso-width-percent:0;mso-height-percent:0;mso-width-percent:0;mso-height-percent:0" o:hralign="center" o:hrstd="t" o:hr="t" fillcolor="#a0a0a0" stroked="f"/>
        </w:pict>
      </w:r>
    </w:p>
    <w:p w14:paraId="5E3EC20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Where dissonance lives</w:t>
      </w:r>
    </w:p>
    <w:p w14:paraId="28A74225"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Within L3d:</w:t>
      </w:r>
    </w:p>
    <w:p w14:paraId="33A13B9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Intra-node.</w:t>
      </w:r>
      <w:r w:rsidRPr="0032251D">
        <w:rPr>
          <w:rFonts w:ascii="Aptos" w:eastAsia="Times New Roman" w:hAnsi="Aptos" w:cs="Times New Roman"/>
          <w:kern w:val="0"/>
          <w:sz w:val="22"/>
          <w:szCs w:val="22"/>
          <w:lang w:eastAsia="en-GB"/>
          <w14:ligatures w14:val="none"/>
        </w:rPr>
        <w:t xml:space="preserve"> Reserve flows, declared regime, sterilisation mix, and forward book should be jointly consistent. Dissonance fires when:</w:t>
      </w:r>
    </w:p>
    <w:p w14:paraId="4B78DC63" w14:textId="77777777" w:rsidR="0032251D" w:rsidRPr="0032251D" w:rsidRDefault="0032251D">
      <w:pPr>
        <w:numPr>
          <w:ilvl w:val="0"/>
          <w:numId w:val="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bank denies a managed float, but reserves data show persistent intervention (de jure ≠ de facto)</w:t>
      </w:r>
    </w:p>
    <w:p w14:paraId="76ABA072" w14:textId="77777777" w:rsidR="0032251D" w:rsidRPr="0032251D" w:rsidRDefault="0032251D">
      <w:pPr>
        <w:numPr>
          <w:ilvl w:val="0"/>
          <w:numId w:val="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Sterilised intervention combined with unsterilised — confused liquidity signal</w:t>
      </w:r>
    </w:p>
    <w:p w14:paraId="3137377E" w14:textId="77777777" w:rsidR="0032251D" w:rsidRPr="0032251D" w:rsidRDefault="0032251D">
      <w:pPr>
        <w:numPr>
          <w:ilvl w:val="0"/>
          <w:numId w:val="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Spot reserves stable, but forward book ballooning — bank running quiet FX defence outside of headline reserve data</w:t>
      </w:r>
    </w:p>
    <w:p w14:paraId="2E589CD7" w14:textId="77777777" w:rsidR="0032251D" w:rsidRPr="0032251D" w:rsidRDefault="0032251D">
      <w:pPr>
        <w:numPr>
          <w:ilvl w:val="0"/>
          <w:numId w:val="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Reserve composition shifts that look like strategic positioning rather than passive accumulation</w:t>
      </w:r>
    </w:p>
    <w:p w14:paraId="1885A33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upward, L1 → L3d.</w:t>
      </w:r>
      <w:r w:rsidRPr="0032251D">
        <w:rPr>
          <w:rFonts w:ascii="Aptos" w:eastAsia="Times New Roman" w:hAnsi="Aptos" w:cs="Times New Roman"/>
          <w:kern w:val="0"/>
          <w:sz w:val="22"/>
          <w:szCs w:val="22"/>
          <w:lang w:eastAsia="en-GB"/>
          <w14:ligatures w14:val="none"/>
        </w:rPr>
        <w:t xml:space="preserve"> For banks with FX in the rule, intervention should track FX deviations from target consistent with the rule's δ coefficient. Dissonance fires when intervention is conducted without rule justification, or FX moves without rule response — instrument off-rule.</w:t>
      </w:r>
    </w:p>
    <w:p w14:paraId="59D28CC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upward, L2 → L3d.</w:t>
      </w:r>
      <w:r w:rsidRPr="0032251D">
        <w:rPr>
          <w:rFonts w:ascii="Aptos" w:eastAsia="Times New Roman" w:hAnsi="Aptos" w:cs="Times New Roman"/>
          <w:kern w:val="0"/>
          <w:sz w:val="22"/>
          <w:szCs w:val="22"/>
          <w:lang w:eastAsia="en-GB"/>
          <w14:ligatures w14:val="none"/>
        </w:rPr>
        <w:t xml:space="preserve"> FX reserves are a hard constraint on intervention capacity. Dissonance fires when intervention pace is unsustainable given reserves — the bank running into a binding constraint. Turkey 2018-2022 is the modern textbook case.</w:t>
      </w:r>
    </w:p>
    <w:p w14:paraId="7D6EAEE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peer, L3a ↔ L3d.</w:t>
      </w:r>
      <w:r w:rsidRPr="0032251D">
        <w:rPr>
          <w:rFonts w:ascii="Aptos" w:eastAsia="Times New Roman" w:hAnsi="Aptos" w:cs="Times New Roman"/>
          <w:kern w:val="0"/>
          <w:sz w:val="22"/>
          <w:szCs w:val="22"/>
          <w:lang w:eastAsia="en-GB"/>
          <w14:ligatures w14:val="none"/>
        </w:rPr>
        <w:t xml:space="preserve"> Already developed: rate and intervention should jointly support the FX regime, with sterilisation as the conditioning variable.</w:t>
      </w:r>
    </w:p>
    <w:p w14:paraId="1A3928F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Vertical downward, L3d → L4b (FX).</w:t>
      </w:r>
      <w:r w:rsidRPr="0032251D">
        <w:rPr>
          <w:rFonts w:ascii="Aptos" w:eastAsia="Times New Roman" w:hAnsi="Aptos" w:cs="Times New Roman"/>
          <w:kern w:val="0"/>
          <w:sz w:val="22"/>
          <w:szCs w:val="22"/>
          <w:lang w:eastAsia="en-GB"/>
          <w14:ligatures w14:val="none"/>
        </w:rPr>
        <w:t xml:space="preserve"> Direct mapping. Dissonance fires when intervention fails to move FX (overwhelming flows) or moves it disproportionately (signalling channel dominant, mechanical channel weak).</w:t>
      </w:r>
    </w:p>
    <w:p w14:paraId="1DE4689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 L3d → L4c (inflation-linked).</w:t>
      </w:r>
      <w:r w:rsidRPr="0032251D">
        <w:rPr>
          <w:rFonts w:ascii="Aptos" w:eastAsia="Times New Roman" w:hAnsi="Aptos" w:cs="Times New Roman"/>
          <w:kern w:val="0"/>
          <w:sz w:val="22"/>
          <w:szCs w:val="22"/>
          <w:lang w:eastAsia="en-GB"/>
          <w14:ligatures w14:val="none"/>
        </w:rPr>
        <w:t xml:space="preserve"> FX intervention affects expected pass-through to inflation. Dissonance fires when BEIs do not respond to FX moves — pass-through expectations decoupling from FX, often a sign of credibility holding even under pressure.</w:t>
      </w:r>
    </w:p>
    <w:p w14:paraId="5E8E185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 L3d → L5e (sovereign).</w:t>
      </w:r>
      <w:r w:rsidRPr="0032251D">
        <w:rPr>
          <w:rFonts w:ascii="Aptos" w:eastAsia="Times New Roman" w:hAnsi="Aptos" w:cs="Times New Roman"/>
          <w:kern w:val="0"/>
          <w:sz w:val="22"/>
          <w:szCs w:val="22"/>
          <w:lang w:eastAsia="en-GB"/>
          <w14:ligatures w14:val="none"/>
        </w:rPr>
        <w:t xml:space="preserve"> Intervention burns reserves, affecting the sovereign external balance sheet. Dissonance fires when reserves are declining </w:t>
      </w:r>
      <w:proofErr w:type="gramStart"/>
      <w:r w:rsidRPr="0032251D">
        <w:rPr>
          <w:rFonts w:ascii="Aptos" w:eastAsia="Times New Roman" w:hAnsi="Aptos" w:cs="Times New Roman"/>
          <w:kern w:val="0"/>
          <w:sz w:val="22"/>
          <w:szCs w:val="22"/>
          <w:lang w:eastAsia="en-GB"/>
          <w14:ligatures w14:val="none"/>
        </w:rPr>
        <w:t>fast</w:t>
      </w:r>
      <w:proofErr w:type="gramEnd"/>
      <w:r w:rsidRPr="0032251D">
        <w:rPr>
          <w:rFonts w:ascii="Aptos" w:eastAsia="Times New Roman" w:hAnsi="Aptos" w:cs="Times New Roman"/>
          <w:kern w:val="0"/>
          <w:sz w:val="22"/>
          <w:szCs w:val="22"/>
          <w:lang w:eastAsia="en-GB"/>
          <w14:ligatures w14:val="none"/>
        </w:rPr>
        <w:t xml:space="preserve"> but sovereign CDS is not pricing the stress — typically a leading indicator that one of the two is mispriced.</w:t>
      </w:r>
    </w:p>
    <w:p w14:paraId="0C47A7A2"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The L3d node is the bank's </w:t>
      </w:r>
      <w:r w:rsidRPr="0032251D">
        <w:rPr>
          <w:rFonts w:ascii="Aptos" w:eastAsia="Times New Roman" w:hAnsi="Aptos" w:cs="Times New Roman"/>
          <w:i/>
          <w:iCs/>
          <w:kern w:val="0"/>
          <w:sz w:val="22"/>
          <w:szCs w:val="22"/>
          <w:lang w:eastAsia="en-GB"/>
          <w14:ligatures w14:val="none"/>
        </w:rPr>
        <w:t>direct FX management instrument</w:t>
      </w:r>
      <w:r w:rsidRPr="0032251D">
        <w:rPr>
          <w:rFonts w:ascii="Aptos" w:eastAsia="Times New Roman" w:hAnsi="Aptos" w:cs="Times New Roman"/>
          <w:kern w:val="0"/>
          <w:sz w:val="22"/>
          <w:szCs w:val="22"/>
          <w:lang w:eastAsia="en-GB"/>
          <w14:ligatures w14:val="none"/>
        </w:rPr>
        <w:t>. It operates on a different axis from the rate (price of liquidity) and the balance sheet (quantity of safe assets) — it operates on the relative price of currencies. Dissonance at L3d means the bank's stated FX regime and actual FX behaviour have diverged, or that the bank is approaching the binding constraint on intervention capacity. Both are early signals of regime change.</w:t>
      </w:r>
    </w:p>
    <w:p w14:paraId="747886A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Level 3e — Macroprudential Policy</w:t>
      </w:r>
    </w:p>
    <w:p w14:paraId="4ED18E8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Definition.</w:t>
      </w:r>
      <w:r w:rsidRPr="0032251D">
        <w:rPr>
          <w:rFonts w:ascii="Aptos" w:eastAsia="Times New Roman" w:hAnsi="Aptos" w:cs="Times New Roman"/>
          <w:kern w:val="0"/>
          <w:sz w:val="22"/>
          <w:szCs w:val="22"/>
          <w:lang w:eastAsia="en-GB"/>
          <w14:ligatures w14:val="none"/>
        </w:rPr>
        <w:t xml:space="preserve"> Macroprudential policy is the use of regulatory instruments to address system-wide financial stability risks, distinct from both </w:t>
      </w:r>
      <w:proofErr w:type="spellStart"/>
      <w:r w:rsidRPr="0032251D">
        <w:rPr>
          <w:rFonts w:ascii="Aptos" w:eastAsia="Times New Roman" w:hAnsi="Aptos" w:cs="Times New Roman"/>
          <w:i/>
          <w:iCs/>
          <w:kern w:val="0"/>
          <w:sz w:val="22"/>
          <w:szCs w:val="22"/>
          <w:lang w:eastAsia="en-GB"/>
          <w14:ligatures w14:val="none"/>
        </w:rPr>
        <w:t>microprudential</w:t>
      </w:r>
      <w:proofErr w:type="spellEnd"/>
      <w:r w:rsidRPr="0032251D">
        <w:rPr>
          <w:rFonts w:ascii="Aptos" w:eastAsia="Times New Roman" w:hAnsi="Aptos" w:cs="Times New Roman"/>
          <w:kern w:val="0"/>
          <w:sz w:val="22"/>
          <w:szCs w:val="22"/>
          <w:lang w:eastAsia="en-GB"/>
          <w14:ligatures w14:val="none"/>
        </w:rPr>
        <w:t xml:space="preserve"> supervision (which targets individual institution safety) and </w:t>
      </w:r>
      <w:r w:rsidRPr="0032251D">
        <w:rPr>
          <w:rFonts w:ascii="Aptos" w:eastAsia="Times New Roman" w:hAnsi="Aptos" w:cs="Times New Roman"/>
          <w:i/>
          <w:iCs/>
          <w:kern w:val="0"/>
          <w:sz w:val="22"/>
          <w:szCs w:val="22"/>
          <w:lang w:eastAsia="en-GB"/>
          <w14:ligatures w14:val="none"/>
        </w:rPr>
        <w:t>monetary policy</w:t>
      </w:r>
      <w:r w:rsidRPr="0032251D">
        <w:rPr>
          <w:rFonts w:ascii="Aptos" w:eastAsia="Times New Roman" w:hAnsi="Aptos" w:cs="Times New Roman"/>
          <w:kern w:val="0"/>
          <w:sz w:val="22"/>
          <w:szCs w:val="22"/>
          <w:lang w:eastAsia="en-GB"/>
          <w14:ligatures w14:val="none"/>
        </w:rPr>
        <w:t xml:space="preserve"> (which targets price stability). The core toolkit: countercyclical capital buffer (</w:t>
      </w:r>
      <w:proofErr w:type="spellStart"/>
      <w:r w:rsidRPr="0032251D">
        <w:rPr>
          <w:rFonts w:ascii="Aptos" w:eastAsia="Times New Roman" w:hAnsi="Aptos" w:cs="Times New Roman"/>
          <w:kern w:val="0"/>
          <w:sz w:val="22"/>
          <w:szCs w:val="22"/>
          <w:lang w:eastAsia="en-GB"/>
          <w14:ligatures w14:val="none"/>
        </w:rPr>
        <w:t>CCyB</w:t>
      </w:r>
      <w:proofErr w:type="spellEnd"/>
      <w:r w:rsidRPr="0032251D">
        <w:rPr>
          <w:rFonts w:ascii="Aptos" w:eastAsia="Times New Roman" w:hAnsi="Aptos" w:cs="Times New Roman"/>
          <w:kern w:val="0"/>
          <w:sz w:val="22"/>
          <w:szCs w:val="22"/>
          <w:lang w:eastAsia="en-GB"/>
          <w14:ligatures w14:val="none"/>
        </w:rPr>
        <w:t xml:space="preserve">), loan-to-value (LTV) caps, debt-service-to-income (DSTI) caps, reserve requirements, sectoral risk weights, liquidity ratios (LCR, NSFR), concentration limits, and systemic surcharges (G-SIB, D-SIB). The unifying feature: these tools target </w:t>
      </w:r>
      <w:r w:rsidRPr="0032251D">
        <w:rPr>
          <w:rFonts w:ascii="Aptos" w:eastAsia="Times New Roman" w:hAnsi="Aptos" w:cs="Times New Roman"/>
          <w:i/>
          <w:iCs/>
          <w:kern w:val="0"/>
          <w:sz w:val="22"/>
          <w:szCs w:val="22"/>
          <w:lang w:eastAsia="en-GB"/>
          <w14:ligatures w14:val="none"/>
        </w:rPr>
        <w:t>credit conditions, leverage, and systemic risk</w:t>
      </w:r>
      <w:r w:rsidRPr="0032251D">
        <w:rPr>
          <w:rFonts w:ascii="Aptos" w:eastAsia="Times New Roman" w:hAnsi="Aptos" w:cs="Times New Roman"/>
          <w:kern w:val="0"/>
          <w:sz w:val="22"/>
          <w:szCs w:val="22"/>
          <w:lang w:eastAsia="en-GB"/>
          <w14:ligatures w14:val="none"/>
        </w:rPr>
        <w:t xml:space="preserve"> through quantity and price restrictions, rather than through the overnight cost of money. Pre-2008 financial regulation was largely </w:t>
      </w:r>
      <w:proofErr w:type="spellStart"/>
      <w:r w:rsidRPr="0032251D">
        <w:rPr>
          <w:rFonts w:ascii="Aptos" w:eastAsia="Times New Roman" w:hAnsi="Aptos" w:cs="Times New Roman"/>
          <w:kern w:val="0"/>
          <w:sz w:val="22"/>
          <w:szCs w:val="22"/>
          <w:lang w:eastAsia="en-GB"/>
          <w14:ligatures w14:val="none"/>
        </w:rPr>
        <w:t>microprudential</w:t>
      </w:r>
      <w:proofErr w:type="spellEnd"/>
      <w:r w:rsidRPr="0032251D">
        <w:rPr>
          <w:rFonts w:ascii="Aptos" w:eastAsia="Times New Roman" w:hAnsi="Aptos" w:cs="Times New Roman"/>
          <w:kern w:val="0"/>
          <w:sz w:val="22"/>
          <w:szCs w:val="22"/>
          <w:lang w:eastAsia="en-GB"/>
          <w14:ligatures w14:val="none"/>
        </w:rPr>
        <w:t>. Post-2008, macroprudential policy emerged as the explicit response to systemic risk that builds in the aggregate even when individual institutions look fine.</w:t>
      </w:r>
    </w:p>
    <w:p w14:paraId="58569CC0"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669CCABD">
          <v:rect id="_x0000_i1052" alt="" style="width:451.3pt;height:.05pt;mso-width-percent:0;mso-height-percent:0;mso-width-percent:0;mso-height-percent:0" o:hralign="center" o:hrstd="t" o:hr="t" fillcolor="#a0a0a0" stroked="f"/>
        </w:pict>
      </w:r>
    </w:p>
    <w:p w14:paraId="0DC8505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Theory</w:t>
      </w:r>
    </w:p>
    <w:p w14:paraId="58BDC96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exists because the policy rate alone cannot address financial stability.</w:t>
      </w:r>
    </w:p>
    <w:p w14:paraId="03E3708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Tinbergen's principle.</w:t>
      </w:r>
      <w:r w:rsidRPr="0032251D">
        <w:rPr>
          <w:rFonts w:ascii="Aptos" w:eastAsia="Times New Roman" w:hAnsi="Aptos" w:cs="Times New Roman"/>
          <w:kern w:val="0"/>
          <w:sz w:val="22"/>
          <w:szCs w:val="22"/>
          <w:lang w:eastAsia="en-GB"/>
          <w14:ligatures w14:val="none"/>
        </w:rPr>
        <w:t xml:space="preserve"> You need at least as many instruments as objectives. The central bank has multiple objectives — price stability </w:t>
      </w:r>
      <w:r w:rsidRPr="0032251D">
        <w:rPr>
          <w:rFonts w:ascii="Aptos" w:eastAsia="Times New Roman" w:hAnsi="Aptos" w:cs="Times New Roman"/>
          <w:i/>
          <w:iCs/>
          <w:kern w:val="0"/>
          <w:sz w:val="22"/>
          <w:szCs w:val="22"/>
          <w:lang w:eastAsia="en-GB"/>
          <w14:ligatures w14:val="none"/>
        </w:rPr>
        <w:t>and</w:t>
      </w:r>
      <w:r w:rsidRPr="0032251D">
        <w:rPr>
          <w:rFonts w:ascii="Aptos" w:eastAsia="Times New Roman" w:hAnsi="Aptos" w:cs="Times New Roman"/>
          <w:kern w:val="0"/>
          <w:sz w:val="22"/>
          <w:szCs w:val="22"/>
          <w:lang w:eastAsia="en-GB"/>
          <w14:ligatures w14:val="none"/>
        </w:rPr>
        <w:t xml:space="preserve"> financial stability — and the policy rate alone cannot hit both.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is the dedicated instrument for financial stability, with the policy rate left to target price stability. This is the post-2008 settlement, formalised across the BIS, IMF/FSB, and national architectures (FSOC in the US, FPC in the UK, ESRB in the EU).</w:t>
      </w:r>
    </w:p>
    <w:p w14:paraId="47616A5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Externalities (Shleifer-</w:t>
      </w:r>
      <w:proofErr w:type="spellStart"/>
      <w:r w:rsidRPr="0032251D">
        <w:rPr>
          <w:rFonts w:ascii="Aptos" w:eastAsia="Times New Roman" w:hAnsi="Aptos" w:cs="Times New Roman"/>
          <w:i/>
          <w:iCs/>
          <w:kern w:val="0"/>
          <w:sz w:val="22"/>
          <w:szCs w:val="22"/>
          <w:lang w:eastAsia="en-GB"/>
          <w14:ligatures w14:val="none"/>
        </w:rPr>
        <w:t>Vishny</w:t>
      </w:r>
      <w:proofErr w:type="spellEnd"/>
      <w:r w:rsidRPr="0032251D">
        <w:rPr>
          <w:rFonts w:ascii="Aptos" w:eastAsia="Times New Roman" w:hAnsi="Aptos" w:cs="Times New Roman"/>
          <w:i/>
          <w:iCs/>
          <w:kern w:val="0"/>
          <w:sz w:val="22"/>
          <w:szCs w:val="22"/>
          <w:lang w:eastAsia="en-GB"/>
          <w14:ligatures w14:val="none"/>
        </w:rPr>
        <w:t>; He-Krishnamurthy).</w:t>
      </w:r>
      <w:r w:rsidRPr="0032251D">
        <w:rPr>
          <w:rFonts w:ascii="Aptos" w:eastAsia="Times New Roman" w:hAnsi="Aptos" w:cs="Times New Roman"/>
          <w:kern w:val="0"/>
          <w:sz w:val="22"/>
          <w:szCs w:val="22"/>
          <w:lang w:eastAsia="en-GB"/>
          <w14:ligatures w14:val="none"/>
        </w:rPr>
        <w:t xml:space="preserve"> Individual banks do not internalise system-wide effects of their lending and risk-taking. Fire-sale externalities, funding spirals, and network contagion are not priced in by individual decisions.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addresses these externalities directly with quantity-based instruments — capital surcharges, position limits, liquidity buffers.</w:t>
      </w:r>
    </w:p>
    <w:p w14:paraId="7F38C63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Financial cycle distinct from business cycle (Borio 2014).</w:t>
      </w:r>
      <w:r w:rsidRPr="0032251D">
        <w:rPr>
          <w:rFonts w:ascii="Aptos" w:eastAsia="Times New Roman" w:hAnsi="Aptos" w:cs="Times New Roman"/>
          <w:kern w:val="0"/>
          <w:sz w:val="22"/>
          <w:szCs w:val="22"/>
          <w:lang w:eastAsia="en-GB"/>
          <w14:ligatures w14:val="none"/>
        </w:rPr>
        <w:t xml:space="preserve"> Financial cycles — credit growth, asset prices, leverage — are longer and larger than business cycles. Inflation-targeting monetary policy, calibrated to the business cycle, does not lean against the financial cycle hard </w:t>
      </w:r>
      <w:r w:rsidRPr="0032251D">
        <w:rPr>
          <w:rFonts w:ascii="Aptos" w:eastAsia="Times New Roman" w:hAnsi="Aptos" w:cs="Times New Roman"/>
          <w:kern w:val="0"/>
          <w:sz w:val="22"/>
          <w:szCs w:val="22"/>
          <w:lang w:eastAsia="en-GB"/>
          <w14:ligatures w14:val="none"/>
        </w:rPr>
        <w:lastRenderedPageBreak/>
        <w:t xml:space="preserve">enough.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is needed because monetary policy systematically under-weights leverage build-up. This is the BIS view; it is contested but has shaped the global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framework.</w:t>
      </w:r>
    </w:p>
    <w:p w14:paraId="40194AE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The procyclicality problem.</w:t>
      </w:r>
      <w:r w:rsidRPr="0032251D">
        <w:rPr>
          <w:rFonts w:ascii="Aptos" w:eastAsia="Times New Roman" w:hAnsi="Aptos" w:cs="Times New Roman"/>
          <w:kern w:val="0"/>
          <w:sz w:val="22"/>
          <w:szCs w:val="22"/>
          <w:lang w:eastAsia="en-GB"/>
          <w14:ligatures w14:val="none"/>
        </w:rPr>
        <w:t xml:space="preserve"> Banks' risk-taking is procyclical. They lend aggressively in booms (collateral values rising) and tighten in busts (collateral collapsing). This amplifies the cycle. Time-varying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 particularly the </w:t>
      </w:r>
      <w:proofErr w:type="spellStart"/>
      <w:r w:rsidRPr="0032251D">
        <w:rPr>
          <w:rFonts w:ascii="Aptos" w:eastAsia="Times New Roman" w:hAnsi="Aptos" w:cs="Times New Roman"/>
          <w:kern w:val="0"/>
          <w:sz w:val="22"/>
          <w:szCs w:val="22"/>
          <w:lang w:eastAsia="en-GB"/>
          <w14:ligatures w14:val="none"/>
        </w:rPr>
        <w:t>CCyB</w:t>
      </w:r>
      <w:proofErr w:type="spellEnd"/>
      <w:r w:rsidRPr="0032251D">
        <w:rPr>
          <w:rFonts w:ascii="Aptos" w:eastAsia="Times New Roman" w:hAnsi="Aptos" w:cs="Times New Roman"/>
          <w:kern w:val="0"/>
          <w:sz w:val="22"/>
          <w:szCs w:val="22"/>
          <w:lang w:eastAsia="en-GB"/>
          <w14:ligatures w14:val="none"/>
        </w:rPr>
        <w:t xml:space="preserve"> — is designed to deliberately counteract this: tighten in booms when banks would not, loosen in busts when banks would refuse.</w:t>
      </w:r>
    </w:p>
    <w:p w14:paraId="255B63C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The ELB role.</w:t>
      </w:r>
      <w:r w:rsidRPr="0032251D">
        <w:rPr>
          <w:rFonts w:ascii="Aptos" w:eastAsia="Times New Roman" w:hAnsi="Aptos" w:cs="Times New Roman"/>
          <w:kern w:val="0"/>
          <w:sz w:val="22"/>
          <w:szCs w:val="22"/>
          <w:lang w:eastAsia="en-GB"/>
          <w14:ligatures w14:val="none"/>
        </w:rPr>
        <w:t xml:space="preserve"> When monetary policy is constrained at the ELB,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becomes the active instrument for managing financial stability. Loose monetary + tight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is the post-2008 DM playbook.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is the substitute monetary instrument when monetary instruments are exhausted.</w:t>
      </w:r>
    </w:p>
    <w:p w14:paraId="3E1067D2"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030FB8CC">
          <v:rect id="_x0000_i1053" alt="" style="width:451.3pt;height:.05pt;mso-width-percent:0;mso-height-percent:0;mso-width-percent:0;mso-height-percent:0" o:hralign="center" o:hrstd="t" o:hr="t" fillcolor="#a0a0a0" stroked="f"/>
        </w:pict>
      </w:r>
    </w:p>
    <w:p w14:paraId="166BAD8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Canonical specifications and parameters</w:t>
      </w:r>
    </w:p>
    <w:p w14:paraId="3BED878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The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toolkit divides into five families.</w:t>
      </w:r>
    </w:p>
    <w:p w14:paraId="22765F8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Capital-based tools.</w:t>
      </w:r>
      <w:r w:rsidRPr="0032251D">
        <w:rPr>
          <w:rFonts w:ascii="Aptos" w:eastAsia="Times New Roman" w:hAnsi="Aptos" w:cs="Times New Roman"/>
          <w:kern w:val="0"/>
          <w:sz w:val="22"/>
          <w:szCs w:val="22"/>
          <w:lang w:eastAsia="en-GB"/>
          <w14:ligatures w14:val="none"/>
        </w:rPr>
        <w:t xml:space="preserve"> The most active set.</w:t>
      </w:r>
    </w:p>
    <w:p w14:paraId="323B8B12" w14:textId="77777777" w:rsidR="0032251D" w:rsidRPr="0032251D" w:rsidRDefault="0032251D">
      <w:pPr>
        <w:numPr>
          <w:ilvl w:val="0"/>
          <w:numId w:val="10"/>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32251D">
        <w:rPr>
          <w:rFonts w:ascii="Aptos" w:eastAsia="Times New Roman" w:hAnsi="Aptos" w:cs="Times New Roman"/>
          <w:b/>
          <w:bCs/>
          <w:kern w:val="0"/>
          <w:sz w:val="22"/>
          <w:szCs w:val="22"/>
          <w:lang w:eastAsia="en-GB"/>
          <w14:ligatures w14:val="none"/>
        </w:rPr>
        <w:t>CCyB</w:t>
      </w:r>
      <w:proofErr w:type="spellEnd"/>
      <w:r w:rsidRPr="0032251D">
        <w:rPr>
          <w:rFonts w:ascii="Aptos" w:eastAsia="Times New Roman" w:hAnsi="Aptos" w:cs="Times New Roman"/>
          <w:kern w:val="0"/>
          <w:sz w:val="22"/>
          <w:szCs w:val="22"/>
          <w:lang w:eastAsia="en-GB"/>
          <w14:ligatures w14:val="none"/>
        </w:rPr>
        <w:t>: time-varying, 0-2.5% of risk-weighted assets, set by national authorities. Triggered by credit-to-GDP gap (Basel III reference) or broader stability indicators.</w:t>
      </w:r>
    </w:p>
    <w:p w14:paraId="315300E4" w14:textId="77777777" w:rsidR="0032251D" w:rsidRPr="0032251D" w:rsidRDefault="0032251D">
      <w:pPr>
        <w:numPr>
          <w:ilvl w:val="0"/>
          <w:numId w:val="1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Systemic risk buffer</w:t>
      </w:r>
      <w:r w:rsidRPr="0032251D">
        <w:rPr>
          <w:rFonts w:ascii="Aptos" w:eastAsia="Times New Roman" w:hAnsi="Aptos" w:cs="Times New Roman"/>
          <w:kern w:val="0"/>
          <w:sz w:val="22"/>
          <w:szCs w:val="22"/>
          <w:lang w:eastAsia="en-GB"/>
          <w14:ligatures w14:val="none"/>
        </w:rPr>
        <w:t>: structural surcharge for system-wide risk.</w:t>
      </w:r>
    </w:p>
    <w:p w14:paraId="5855EC04" w14:textId="77777777" w:rsidR="0032251D" w:rsidRPr="0032251D" w:rsidRDefault="0032251D">
      <w:pPr>
        <w:numPr>
          <w:ilvl w:val="0"/>
          <w:numId w:val="1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G-SIB / D-SIB surcharges</w:t>
      </w:r>
      <w:r w:rsidRPr="0032251D">
        <w:rPr>
          <w:rFonts w:ascii="Aptos" w:eastAsia="Times New Roman" w:hAnsi="Aptos" w:cs="Times New Roman"/>
          <w:kern w:val="0"/>
          <w:sz w:val="22"/>
          <w:szCs w:val="22"/>
          <w:lang w:eastAsia="en-GB"/>
          <w14:ligatures w14:val="none"/>
        </w:rPr>
        <w:t>: for systemically important institutions.</w:t>
      </w:r>
    </w:p>
    <w:p w14:paraId="734C3057" w14:textId="77777777" w:rsidR="0032251D" w:rsidRPr="0032251D" w:rsidRDefault="0032251D">
      <w:pPr>
        <w:numPr>
          <w:ilvl w:val="0"/>
          <w:numId w:val="1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Sectoral risk weights</w:t>
      </w:r>
      <w:r w:rsidRPr="0032251D">
        <w:rPr>
          <w:rFonts w:ascii="Aptos" w:eastAsia="Times New Roman" w:hAnsi="Aptos" w:cs="Times New Roman"/>
          <w:kern w:val="0"/>
          <w:sz w:val="22"/>
          <w:szCs w:val="22"/>
          <w:lang w:eastAsia="en-GB"/>
          <w14:ligatures w14:val="none"/>
        </w:rPr>
        <w:t>: differentiated capital requirements for specific exposures (e.g., higher RWAs for commercial real estate, FX lending, or high-LTV mortgages).</w:t>
      </w:r>
    </w:p>
    <w:p w14:paraId="4CE7601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Borrower-based tools.</w:t>
      </w:r>
      <w:r w:rsidRPr="0032251D">
        <w:rPr>
          <w:rFonts w:ascii="Aptos" w:eastAsia="Times New Roman" w:hAnsi="Aptos" w:cs="Times New Roman"/>
          <w:kern w:val="0"/>
          <w:sz w:val="22"/>
          <w:szCs w:val="22"/>
          <w:lang w:eastAsia="en-GB"/>
          <w14:ligatures w14:val="none"/>
        </w:rPr>
        <w:t xml:space="preserve"> Direct constraints on loan terms.</w:t>
      </w:r>
    </w:p>
    <w:p w14:paraId="635ED83A" w14:textId="77777777" w:rsidR="0032251D" w:rsidRPr="0032251D" w:rsidRDefault="0032251D">
      <w:pPr>
        <w:numPr>
          <w:ilvl w:val="0"/>
          <w:numId w:val="1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LTV cap</w:t>
      </w:r>
      <w:r w:rsidRPr="0032251D">
        <w:rPr>
          <w:rFonts w:ascii="Aptos" w:eastAsia="Times New Roman" w:hAnsi="Aptos" w:cs="Times New Roman"/>
          <w:kern w:val="0"/>
          <w:sz w:val="22"/>
          <w:szCs w:val="22"/>
          <w:lang w:eastAsia="en-GB"/>
          <w14:ligatures w14:val="none"/>
        </w:rPr>
        <w:t>: maximum loan-to-value ratio. NZ used 80% LTV for owner-occupiers in Auckland during housing booms.</w:t>
      </w:r>
    </w:p>
    <w:p w14:paraId="489A22E7" w14:textId="77777777" w:rsidR="0032251D" w:rsidRPr="0032251D" w:rsidRDefault="0032251D">
      <w:pPr>
        <w:numPr>
          <w:ilvl w:val="0"/>
          <w:numId w:val="1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DSTI cap</w:t>
      </w:r>
      <w:r w:rsidRPr="0032251D">
        <w:rPr>
          <w:rFonts w:ascii="Aptos" w:eastAsia="Times New Roman" w:hAnsi="Aptos" w:cs="Times New Roman"/>
          <w:kern w:val="0"/>
          <w:sz w:val="22"/>
          <w:szCs w:val="22"/>
          <w:lang w:eastAsia="en-GB"/>
          <w14:ligatures w14:val="none"/>
        </w:rPr>
        <w:t>: maximum debt-service-to-income ratio.</w:t>
      </w:r>
    </w:p>
    <w:p w14:paraId="5C39DF18" w14:textId="77777777" w:rsidR="0032251D" w:rsidRPr="0032251D" w:rsidRDefault="0032251D">
      <w:pPr>
        <w:numPr>
          <w:ilvl w:val="0"/>
          <w:numId w:val="1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DTI cap</w:t>
      </w:r>
      <w:r w:rsidRPr="0032251D">
        <w:rPr>
          <w:rFonts w:ascii="Aptos" w:eastAsia="Times New Roman" w:hAnsi="Aptos" w:cs="Times New Roman"/>
          <w:kern w:val="0"/>
          <w:sz w:val="22"/>
          <w:szCs w:val="22"/>
          <w:lang w:eastAsia="en-GB"/>
          <w14:ligatures w14:val="none"/>
        </w:rPr>
        <w:t>: maximum debt-to-income ratio.</w:t>
      </w:r>
    </w:p>
    <w:p w14:paraId="33307A21" w14:textId="77777777" w:rsidR="0032251D" w:rsidRPr="0032251D" w:rsidRDefault="0032251D">
      <w:pPr>
        <w:numPr>
          <w:ilvl w:val="0"/>
          <w:numId w:val="1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Maturity caps</w:t>
      </w:r>
      <w:r w:rsidRPr="0032251D">
        <w:rPr>
          <w:rFonts w:ascii="Aptos" w:eastAsia="Times New Roman" w:hAnsi="Aptos" w:cs="Times New Roman"/>
          <w:kern w:val="0"/>
          <w:sz w:val="22"/>
          <w:szCs w:val="22"/>
          <w:lang w:eastAsia="en-GB"/>
          <w14:ligatures w14:val="none"/>
        </w:rPr>
        <w:t>: restrict gaming through extended amortisation.</w:t>
      </w:r>
    </w:p>
    <w:p w14:paraId="65CA18B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Liquidity-based tools.</w:t>
      </w:r>
    </w:p>
    <w:p w14:paraId="1523A87C" w14:textId="77777777" w:rsidR="0032251D" w:rsidRPr="0032251D" w:rsidRDefault="0032251D">
      <w:pPr>
        <w:numPr>
          <w:ilvl w:val="0"/>
          <w:numId w:val="1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LCR</w:t>
      </w:r>
      <w:r w:rsidRPr="0032251D">
        <w:rPr>
          <w:rFonts w:ascii="Aptos" w:eastAsia="Times New Roman" w:hAnsi="Aptos" w:cs="Times New Roman"/>
          <w:kern w:val="0"/>
          <w:sz w:val="22"/>
          <w:szCs w:val="22"/>
          <w:lang w:eastAsia="en-GB"/>
          <w14:ligatures w14:val="none"/>
        </w:rPr>
        <w:t>: 30-day stress liquidity (Basel III).</w:t>
      </w:r>
    </w:p>
    <w:p w14:paraId="14035BC4" w14:textId="77777777" w:rsidR="0032251D" w:rsidRPr="0032251D" w:rsidRDefault="0032251D">
      <w:pPr>
        <w:numPr>
          <w:ilvl w:val="0"/>
          <w:numId w:val="1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NSFR</w:t>
      </w:r>
      <w:r w:rsidRPr="0032251D">
        <w:rPr>
          <w:rFonts w:ascii="Aptos" w:eastAsia="Times New Roman" w:hAnsi="Aptos" w:cs="Times New Roman"/>
          <w:kern w:val="0"/>
          <w:sz w:val="22"/>
          <w:szCs w:val="22"/>
          <w:lang w:eastAsia="en-GB"/>
          <w14:ligatures w14:val="none"/>
        </w:rPr>
        <w:t>: structural funding stability (Basel III).</w:t>
      </w:r>
    </w:p>
    <w:p w14:paraId="5FE422F3" w14:textId="77777777" w:rsidR="0032251D" w:rsidRPr="0032251D" w:rsidRDefault="0032251D">
      <w:pPr>
        <w:numPr>
          <w:ilvl w:val="0"/>
          <w:numId w:val="1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Loan-to-deposit ratio caps</w:t>
      </w:r>
      <w:r w:rsidRPr="0032251D">
        <w:rPr>
          <w:rFonts w:ascii="Aptos" w:eastAsia="Times New Roman" w:hAnsi="Aptos" w:cs="Times New Roman"/>
          <w:kern w:val="0"/>
          <w:sz w:val="22"/>
          <w:szCs w:val="22"/>
          <w:lang w:eastAsia="en-GB"/>
          <w14:ligatures w14:val="none"/>
        </w:rPr>
        <w:t>: used in several EMs.</w:t>
      </w:r>
    </w:p>
    <w:p w14:paraId="4E1DBFA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Reserve requirements.</w:t>
      </w:r>
      <w:r w:rsidRPr="0032251D">
        <w:rPr>
          <w:rFonts w:ascii="Aptos" w:eastAsia="Times New Roman" w:hAnsi="Aptos" w:cs="Times New Roman"/>
          <w:kern w:val="0"/>
          <w:sz w:val="22"/>
          <w:szCs w:val="22"/>
          <w:lang w:eastAsia="en-GB"/>
          <w14:ligatures w14:val="none"/>
        </w:rPr>
        <w:t xml:space="preserve"> Particularly important in EM. Required reserves on deposit liabilities, often differentiated by currency, maturity, or counterparty. RR has both monetary AND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dimensions — they affect money supply and credit allocation simultaneously.</w:t>
      </w:r>
    </w:p>
    <w:p w14:paraId="664F7CA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Sectoral and structural measures.</w:t>
      </w:r>
      <w:r w:rsidRPr="0032251D">
        <w:rPr>
          <w:rFonts w:ascii="Aptos" w:eastAsia="Times New Roman" w:hAnsi="Aptos" w:cs="Times New Roman"/>
          <w:kern w:val="0"/>
          <w:sz w:val="22"/>
          <w:szCs w:val="22"/>
          <w:lang w:eastAsia="en-GB"/>
          <w14:ligatures w14:val="none"/>
        </w:rPr>
        <w:t xml:space="preserve"> Concentration limits, foreign currency lending restrictions (relevant for FX mismatch in CEE), real estate-specific measures, ring-fencing, total loss-absorbing capacity (TLAC).</w:t>
      </w:r>
    </w:p>
    <w:p w14:paraId="126D277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lastRenderedPageBreak/>
        <w:t xml:space="preserve">Key parameters: </w:t>
      </w:r>
      <w:r w:rsidRPr="0032251D">
        <w:rPr>
          <w:rFonts w:ascii="Aptos" w:eastAsia="Times New Roman" w:hAnsi="Aptos" w:cs="Times New Roman"/>
          <w:i/>
          <w:iCs/>
          <w:kern w:val="0"/>
          <w:sz w:val="22"/>
          <w:szCs w:val="22"/>
          <w:lang w:eastAsia="en-GB"/>
          <w14:ligatures w14:val="none"/>
        </w:rPr>
        <w:t>calibration</w:t>
      </w:r>
      <w:r w:rsidRPr="0032251D">
        <w:rPr>
          <w:rFonts w:ascii="Aptos" w:eastAsia="Times New Roman" w:hAnsi="Aptos" w:cs="Times New Roman"/>
          <w:kern w:val="0"/>
          <w:sz w:val="22"/>
          <w:szCs w:val="22"/>
          <w:lang w:eastAsia="en-GB"/>
          <w14:ligatures w14:val="none"/>
        </w:rPr>
        <w:t xml:space="preserve"> (how much capital, what LTV); </w:t>
      </w:r>
      <w:r w:rsidRPr="0032251D">
        <w:rPr>
          <w:rFonts w:ascii="Aptos" w:eastAsia="Times New Roman" w:hAnsi="Aptos" w:cs="Times New Roman"/>
          <w:i/>
          <w:iCs/>
          <w:kern w:val="0"/>
          <w:sz w:val="22"/>
          <w:szCs w:val="22"/>
          <w:lang w:eastAsia="en-GB"/>
          <w14:ligatures w14:val="none"/>
        </w:rPr>
        <w:t>cyclical vs structural</w:t>
      </w:r>
      <w:r w:rsidRPr="0032251D">
        <w:rPr>
          <w:rFonts w:ascii="Aptos" w:eastAsia="Times New Roman" w:hAnsi="Aptos" w:cs="Times New Roman"/>
          <w:kern w:val="0"/>
          <w:sz w:val="22"/>
          <w:szCs w:val="22"/>
          <w:lang w:eastAsia="en-GB"/>
          <w14:ligatures w14:val="none"/>
        </w:rPr>
        <w:t xml:space="preserve"> (time-varying </w:t>
      </w:r>
      <w:proofErr w:type="spellStart"/>
      <w:r w:rsidRPr="0032251D">
        <w:rPr>
          <w:rFonts w:ascii="Aptos" w:eastAsia="Times New Roman" w:hAnsi="Aptos" w:cs="Times New Roman"/>
          <w:kern w:val="0"/>
          <w:sz w:val="22"/>
          <w:szCs w:val="22"/>
          <w:lang w:eastAsia="en-GB"/>
          <w14:ligatures w14:val="none"/>
        </w:rPr>
        <w:t>CCyB</w:t>
      </w:r>
      <w:proofErr w:type="spellEnd"/>
      <w:r w:rsidRPr="0032251D">
        <w:rPr>
          <w:rFonts w:ascii="Aptos" w:eastAsia="Times New Roman" w:hAnsi="Aptos" w:cs="Times New Roman"/>
          <w:kern w:val="0"/>
          <w:sz w:val="22"/>
          <w:szCs w:val="22"/>
          <w:lang w:eastAsia="en-GB"/>
          <w14:ligatures w14:val="none"/>
        </w:rPr>
        <w:t xml:space="preserve"> vs permanent G-SIB); </w:t>
      </w:r>
      <w:r w:rsidRPr="0032251D">
        <w:rPr>
          <w:rFonts w:ascii="Aptos" w:eastAsia="Times New Roman" w:hAnsi="Aptos" w:cs="Times New Roman"/>
          <w:i/>
          <w:iCs/>
          <w:kern w:val="0"/>
          <w:sz w:val="22"/>
          <w:szCs w:val="22"/>
          <w:lang w:eastAsia="en-GB"/>
          <w14:ligatures w14:val="none"/>
        </w:rPr>
        <w:t>sectoral vs broad-based</w:t>
      </w:r>
      <w:r w:rsidRPr="0032251D">
        <w:rPr>
          <w:rFonts w:ascii="Aptos" w:eastAsia="Times New Roman" w:hAnsi="Aptos" w:cs="Times New Roman"/>
          <w:kern w:val="0"/>
          <w:sz w:val="22"/>
          <w:szCs w:val="22"/>
          <w:lang w:eastAsia="en-GB"/>
          <w14:ligatures w14:val="none"/>
        </w:rPr>
        <w:t xml:space="preserve">; </w:t>
      </w:r>
      <w:r w:rsidRPr="0032251D">
        <w:rPr>
          <w:rFonts w:ascii="Aptos" w:eastAsia="Times New Roman" w:hAnsi="Aptos" w:cs="Times New Roman"/>
          <w:i/>
          <w:iCs/>
          <w:kern w:val="0"/>
          <w:sz w:val="22"/>
          <w:szCs w:val="22"/>
          <w:lang w:eastAsia="en-GB"/>
          <w14:ligatures w14:val="none"/>
        </w:rPr>
        <w:t>implementation lag</w:t>
      </w:r>
      <w:r w:rsidRPr="0032251D">
        <w:rPr>
          <w:rFonts w:ascii="Aptos" w:eastAsia="Times New Roman" w:hAnsi="Aptos" w:cs="Times New Roman"/>
          <w:kern w:val="0"/>
          <w:sz w:val="22"/>
          <w:szCs w:val="22"/>
          <w:lang w:eastAsia="en-GB"/>
          <w14:ligatures w14:val="none"/>
        </w:rPr>
        <w:t xml:space="preserve"> (months for capital, faster for borrower-based). The IMF </w:t>
      </w:r>
      <w:proofErr w:type="spellStart"/>
      <w:r w:rsidRPr="0032251D">
        <w:rPr>
          <w:rFonts w:ascii="Aptos" w:eastAsia="Times New Roman" w:hAnsi="Aptos" w:cs="Times New Roman"/>
          <w:kern w:val="0"/>
          <w:sz w:val="22"/>
          <w:szCs w:val="22"/>
          <w:lang w:eastAsia="en-GB"/>
          <w14:ligatures w14:val="none"/>
        </w:rPr>
        <w:t>iMaPP</w:t>
      </w:r>
      <w:proofErr w:type="spellEnd"/>
      <w:r w:rsidRPr="0032251D">
        <w:rPr>
          <w:rFonts w:ascii="Aptos" w:eastAsia="Times New Roman" w:hAnsi="Aptos" w:cs="Times New Roman"/>
          <w:kern w:val="0"/>
          <w:sz w:val="22"/>
          <w:szCs w:val="22"/>
          <w:lang w:eastAsia="en-GB"/>
          <w14:ligatures w14:val="none"/>
        </w:rPr>
        <w:t xml:space="preserve"> (Integrated Macroprudential Policy) database — Alam et al. 2019 — codifies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actions across categories for 134 countries.</w:t>
      </w:r>
    </w:p>
    <w:p w14:paraId="008F1D08"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76B58D71">
          <v:rect id="_x0000_i1054" alt="" style="width:451.3pt;height:.05pt;mso-width-percent:0;mso-height-percent:0;mso-width-percent:0;mso-height-percent:0" o:hralign="center" o:hrstd="t" o:hr="t" fillcolor="#a0a0a0" stroked="f"/>
        </w:pict>
      </w:r>
    </w:p>
    <w:p w14:paraId="0D595C8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Why this matters for asset prices</w:t>
      </w:r>
    </w:p>
    <w:p w14:paraId="383E74D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affects asset prices through six channels.</w:t>
      </w:r>
    </w:p>
    <w:p w14:paraId="4F1629D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Credit spreads.</w:t>
      </w:r>
      <w:r w:rsidRPr="0032251D">
        <w:rPr>
          <w:rFonts w:ascii="Aptos" w:eastAsia="Times New Roman" w:hAnsi="Aptos" w:cs="Times New Roman"/>
          <w:kern w:val="0"/>
          <w:sz w:val="22"/>
          <w:szCs w:val="22"/>
          <w:lang w:eastAsia="en-GB"/>
          <w14:ligatures w14:val="none"/>
        </w:rPr>
        <w:t xml:space="preserve"> Tightening capital requirements raises bank cost of capital, which is passed to borrowers. Credit spreads widen on aggregate tightening; the reverse on loosening.</w:t>
      </w:r>
    </w:p>
    <w:p w14:paraId="2051419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Bank equity valuations.</w:t>
      </w:r>
      <w:r w:rsidRPr="0032251D">
        <w:rPr>
          <w:rFonts w:ascii="Aptos" w:eastAsia="Times New Roman" w:hAnsi="Aptos" w:cs="Times New Roman"/>
          <w:kern w:val="0"/>
          <w:sz w:val="22"/>
          <w:szCs w:val="22"/>
          <w:lang w:eastAsia="en-GB"/>
          <w14:ligatures w14:val="none"/>
        </w:rPr>
        <w:t xml:space="preserve"> Higher capital requirements compress bank ROE (more equity for the same profit). Bank stocks systematically de-rate on capital requirement tightening; G-SIB surcharge announcements are a clean event-study setting.</w:t>
      </w:r>
    </w:p>
    <w:p w14:paraId="684E98D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Real estate prices.</w:t>
      </w:r>
      <w:r w:rsidRPr="0032251D">
        <w:rPr>
          <w:rFonts w:ascii="Aptos" w:eastAsia="Times New Roman" w:hAnsi="Aptos" w:cs="Times New Roman"/>
          <w:kern w:val="0"/>
          <w:sz w:val="22"/>
          <w:szCs w:val="22"/>
          <w:lang w:eastAsia="en-GB"/>
          <w14:ligatures w14:val="none"/>
        </w:rPr>
        <w:t xml:space="preserve"> LTV and DSTI caps directly constrain mortgage lending, which constrains housing demand. Effective borrower-based tools cool housing prices — but housing markets often substitute through cash buyers or alternative financing, so effectiveness varies.</w:t>
      </w:r>
    </w:p>
    <w:p w14:paraId="2A4B7A6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Sectoral asset prices.</w:t>
      </w:r>
      <w:r w:rsidRPr="0032251D">
        <w:rPr>
          <w:rFonts w:ascii="Aptos" w:eastAsia="Times New Roman" w:hAnsi="Aptos" w:cs="Times New Roman"/>
          <w:kern w:val="0"/>
          <w:sz w:val="22"/>
          <w:szCs w:val="22"/>
          <w:lang w:eastAsia="en-GB"/>
          <w14:ligatures w14:val="none"/>
        </w:rPr>
        <w:t xml:space="preserve"> Sectoral risk weights affect lending to specific sectors. Higher CRE risk weights compress that asset class through reduced credit availability.</w:t>
      </w:r>
    </w:p>
    <w:p w14:paraId="2CA2AD2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Volatility.</w:t>
      </w:r>
      <w:r w:rsidRPr="0032251D">
        <w:rPr>
          <w:rFonts w:ascii="Aptos" w:eastAsia="Times New Roman" w:hAnsi="Aptos" w:cs="Times New Roman"/>
          <w:kern w:val="0"/>
          <w:sz w:val="22"/>
          <w:szCs w:val="22"/>
          <w:lang w:eastAsia="en-GB"/>
          <w14:ligatures w14:val="none"/>
        </w:rPr>
        <w:t xml:space="preserve">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can pre-empt crises by compressing tail </w:t>
      </w:r>
      <w:proofErr w:type="gramStart"/>
      <w:r w:rsidRPr="0032251D">
        <w:rPr>
          <w:rFonts w:ascii="Aptos" w:eastAsia="Times New Roman" w:hAnsi="Aptos" w:cs="Times New Roman"/>
          <w:kern w:val="0"/>
          <w:sz w:val="22"/>
          <w:szCs w:val="22"/>
          <w:lang w:eastAsia="en-GB"/>
          <w14:ligatures w14:val="none"/>
        </w:rPr>
        <w:t>risk, or</w:t>
      </w:r>
      <w:proofErr w:type="gramEnd"/>
      <w:r w:rsidRPr="0032251D">
        <w:rPr>
          <w:rFonts w:ascii="Aptos" w:eastAsia="Times New Roman" w:hAnsi="Aptos" w:cs="Times New Roman"/>
          <w:kern w:val="0"/>
          <w:sz w:val="22"/>
          <w:szCs w:val="22"/>
          <w:lang w:eastAsia="en-GB"/>
          <w14:ligatures w14:val="none"/>
        </w:rPr>
        <w:t xml:space="preserve"> precipitate them by forcing simultaneous deleveraging. Implementation timing matters more than the announced calibration.</w:t>
      </w:r>
    </w:p>
    <w:p w14:paraId="77D8DFA5"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Credit availability.</w:t>
      </w:r>
      <w:r w:rsidRPr="0032251D">
        <w:rPr>
          <w:rFonts w:ascii="Aptos" w:eastAsia="Times New Roman" w:hAnsi="Aptos" w:cs="Times New Roman"/>
          <w:kern w:val="0"/>
          <w:sz w:val="22"/>
          <w:szCs w:val="22"/>
          <w:lang w:eastAsia="en-GB"/>
          <w14:ligatures w14:val="none"/>
        </w:rPr>
        <w:t xml:space="preserve"> Most directly,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affects who can borrow and on what terms. This flows through to real activity and corporate earnings.</w:t>
      </w:r>
    </w:p>
    <w:p w14:paraId="5608A52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For investment managers the key analytical point: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creates a </w:t>
      </w:r>
      <w:r w:rsidRPr="0032251D">
        <w:rPr>
          <w:rFonts w:ascii="Aptos" w:eastAsia="Times New Roman" w:hAnsi="Aptos" w:cs="Times New Roman"/>
          <w:i/>
          <w:iCs/>
          <w:kern w:val="0"/>
          <w:sz w:val="22"/>
          <w:szCs w:val="22"/>
          <w:lang w:eastAsia="en-GB"/>
          <w14:ligatures w14:val="none"/>
        </w:rPr>
        <w:t>credit/cost-of-capital wedge</w:t>
      </w:r>
      <w:r w:rsidRPr="0032251D">
        <w:rPr>
          <w:rFonts w:ascii="Aptos" w:eastAsia="Times New Roman" w:hAnsi="Aptos" w:cs="Times New Roman"/>
          <w:kern w:val="0"/>
          <w:sz w:val="22"/>
          <w:szCs w:val="22"/>
          <w:lang w:eastAsia="en-GB"/>
          <w14:ligatures w14:val="none"/>
        </w:rPr>
        <w:t xml:space="preserve"> that is independent of the policy rate. The same nominal monetary stance can produce very different credit conditions depending on the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setting. The post-2008 DM regime — loose monetary + tight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 produced asset price inflation (low discount rates) without credit boom (constrained access). This is a fundamentally different asset price environment from loose monetary + loose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(1990s-2000s), and it requires different portfolio positioning.</w:t>
      </w:r>
    </w:p>
    <w:p w14:paraId="24B52F93"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10A1A9F1">
          <v:rect id="_x0000_i1055" alt="" style="width:451.3pt;height:.05pt;mso-width-percent:0;mso-height-percent:0;mso-width-percent:0;mso-height-percent:0" o:hralign="center" o:hrstd="t" o:hr="t" fillcolor="#a0a0a0" stroked="f"/>
        </w:pict>
      </w:r>
    </w:p>
    <w:p w14:paraId="55EEE2C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Regime and EM variation</w:t>
      </w:r>
    </w:p>
    <w:p w14:paraId="487EFE5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deployment varies more across the panel than any other L3 instrument.</w:t>
      </w:r>
    </w:p>
    <w:p w14:paraId="4AEFB70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DM panel.</w:t>
      </w:r>
      <w:r w:rsidRPr="0032251D">
        <w:rPr>
          <w:rFonts w:ascii="Aptos" w:eastAsia="Times New Roman" w:hAnsi="Aptos" w:cs="Times New Roman"/>
          <w:kern w:val="0"/>
          <w:sz w:val="22"/>
          <w:szCs w:val="22"/>
          <w:lang w:eastAsia="en-GB"/>
          <w14:ligatures w14:val="none"/>
        </w:rPr>
        <w:t xml:space="preserve"> Substantial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architecture post-2008. Basel III implementation, </w:t>
      </w:r>
      <w:proofErr w:type="spellStart"/>
      <w:r w:rsidRPr="0032251D">
        <w:rPr>
          <w:rFonts w:ascii="Aptos" w:eastAsia="Times New Roman" w:hAnsi="Aptos" w:cs="Times New Roman"/>
          <w:kern w:val="0"/>
          <w:sz w:val="22"/>
          <w:szCs w:val="22"/>
          <w:lang w:eastAsia="en-GB"/>
          <w14:ligatures w14:val="none"/>
        </w:rPr>
        <w:t>CCyB</w:t>
      </w:r>
      <w:proofErr w:type="spellEnd"/>
      <w:r w:rsidRPr="0032251D">
        <w:rPr>
          <w:rFonts w:ascii="Aptos" w:eastAsia="Times New Roman" w:hAnsi="Aptos" w:cs="Times New Roman"/>
          <w:kern w:val="0"/>
          <w:sz w:val="22"/>
          <w:szCs w:val="22"/>
          <w:lang w:eastAsia="en-GB"/>
          <w14:ligatures w14:val="none"/>
        </w:rPr>
        <w:t xml:space="preserve"> activation in the UK (since 2016) and Nordic countries (active users). NZ, Australia, UK, several EU countries use borrower-based tools. The US is comparatively less active on </w:t>
      </w:r>
      <w:proofErr w:type="spellStart"/>
      <w:r w:rsidRPr="0032251D">
        <w:rPr>
          <w:rFonts w:ascii="Aptos" w:eastAsia="Times New Roman" w:hAnsi="Aptos" w:cs="Times New Roman"/>
          <w:kern w:val="0"/>
          <w:sz w:val="22"/>
          <w:szCs w:val="22"/>
          <w:lang w:eastAsia="en-GB"/>
          <w14:ligatures w14:val="none"/>
        </w:rPr>
        <w:t>CCyB</w:t>
      </w:r>
      <w:proofErr w:type="spellEnd"/>
      <w:r w:rsidRPr="0032251D">
        <w:rPr>
          <w:rFonts w:ascii="Aptos" w:eastAsia="Times New Roman" w:hAnsi="Aptos" w:cs="Times New Roman"/>
          <w:kern w:val="0"/>
          <w:sz w:val="22"/>
          <w:szCs w:val="22"/>
          <w:lang w:eastAsia="en-GB"/>
          <w14:ligatures w14:val="none"/>
        </w:rPr>
        <w:t xml:space="preserve"> and relies more on stress tests as its de facto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instrument. BoE-FPC is the most institutionalised </w:t>
      </w:r>
      <w:proofErr w:type="spellStart"/>
      <w:r w:rsidRPr="0032251D">
        <w:rPr>
          <w:rFonts w:ascii="Aptos" w:eastAsia="Times New Roman" w:hAnsi="Aptos" w:cs="Times New Roman"/>
          <w:kern w:val="0"/>
          <w:sz w:val="22"/>
          <w:szCs w:val="22"/>
          <w:lang w:eastAsia="en-GB"/>
          <w14:ligatures w14:val="none"/>
        </w:rPr>
        <w:lastRenderedPageBreak/>
        <w:t>macropru</w:t>
      </w:r>
      <w:proofErr w:type="spellEnd"/>
      <w:r w:rsidRPr="0032251D">
        <w:rPr>
          <w:rFonts w:ascii="Aptos" w:eastAsia="Times New Roman" w:hAnsi="Aptos" w:cs="Times New Roman"/>
          <w:kern w:val="0"/>
          <w:sz w:val="22"/>
          <w:szCs w:val="22"/>
          <w:lang w:eastAsia="en-GB"/>
          <w14:ligatures w14:val="none"/>
        </w:rPr>
        <w:t xml:space="preserve"> authority globally; the ECB-SSM-ESRB architecture is more complex coordination across micro and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w:t>
      </w:r>
    </w:p>
    <w:p w14:paraId="694D719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EM panel.</w:t>
      </w:r>
      <w:r w:rsidRPr="0032251D">
        <w:rPr>
          <w:rFonts w:ascii="Aptos" w:eastAsia="Times New Roman" w:hAnsi="Aptos" w:cs="Times New Roman"/>
          <w:kern w:val="0"/>
          <w:sz w:val="22"/>
          <w:szCs w:val="22"/>
          <w:lang w:eastAsia="en-GB"/>
          <w14:ligatures w14:val="none"/>
        </w:rPr>
        <w:t xml:space="preserve"> Often more active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users than DM, but for different reasons. Reserve requirements are heavily used as both monetary and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tools (BCB, </w:t>
      </w:r>
      <w:proofErr w:type="spellStart"/>
      <w:r w:rsidRPr="0032251D">
        <w:rPr>
          <w:rFonts w:ascii="Aptos" w:eastAsia="Times New Roman" w:hAnsi="Aptos" w:cs="Times New Roman"/>
          <w:kern w:val="0"/>
          <w:sz w:val="22"/>
          <w:szCs w:val="22"/>
          <w:lang w:eastAsia="en-GB"/>
          <w14:ligatures w14:val="none"/>
        </w:rPr>
        <w:t>Banxico</w:t>
      </w:r>
      <w:proofErr w:type="spellEnd"/>
      <w:r w:rsidRPr="0032251D">
        <w:rPr>
          <w:rFonts w:ascii="Aptos" w:eastAsia="Times New Roman" w:hAnsi="Aptos" w:cs="Times New Roman"/>
          <w:kern w:val="0"/>
          <w:sz w:val="22"/>
          <w:szCs w:val="22"/>
          <w:lang w:eastAsia="en-GB"/>
          <w14:ligatures w14:val="none"/>
        </w:rPr>
        <w:t xml:space="preserve">, Bank Indonesia). Asian EMs (Korea, Hong Kong, Singapore) use borrower-based tools actively. BCB runs sectoral capital requirements and active reserve requirement variation. Singapore famously coordinates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with FX. India's RBI uses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extensively for sector-specific lending control.</w:t>
      </w:r>
    </w:p>
    <w:p w14:paraId="5B0AA25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The key EM insight: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in EM often </w:t>
      </w:r>
      <w:r w:rsidRPr="0032251D">
        <w:rPr>
          <w:rFonts w:ascii="Aptos" w:eastAsia="Times New Roman" w:hAnsi="Aptos" w:cs="Times New Roman"/>
          <w:i/>
          <w:iCs/>
          <w:kern w:val="0"/>
          <w:sz w:val="22"/>
          <w:szCs w:val="22"/>
          <w:lang w:eastAsia="en-GB"/>
          <w14:ligatures w14:val="none"/>
        </w:rPr>
        <w:t>substitutes</w:t>
      </w:r>
      <w:r w:rsidRPr="0032251D">
        <w:rPr>
          <w:rFonts w:ascii="Aptos" w:eastAsia="Times New Roman" w:hAnsi="Aptos" w:cs="Times New Roman"/>
          <w:kern w:val="0"/>
          <w:sz w:val="22"/>
          <w:szCs w:val="22"/>
          <w:lang w:eastAsia="en-GB"/>
          <w14:ligatures w14:val="none"/>
        </w:rPr>
        <w:t xml:space="preserve"> for the policy rate as a credit-tightening tool when rate hikes are constrained by external considerations (Fed convergence, fear of floating).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is therefore a more central instrument in EM than in DM, despite DM having more elaborate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architecture.</w:t>
      </w:r>
    </w:p>
    <w:p w14:paraId="4202B53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SA specifically.</w:t>
      </w:r>
      <w:r w:rsidRPr="0032251D">
        <w:rPr>
          <w:rFonts w:ascii="Aptos" w:eastAsia="Times New Roman" w:hAnsi="Aptos" w:cs="Times New Roman"/>
          <w:kern w:val="0"/>
          <w:sz w:val="22"/>
          <w:szCs w:val="22"/>
          <w:lang w:eastAsia="en-GB"/>
          <w14:ligatures w14:val="none"/>
        </w:rPr>
        <w:t xml:space="preserve"> SARB implements Basel III and has a Financial Stability Committee. The </w:t>
      </w:r>
      <w:proofErr w:type="spellStart"/>
      <w:r w:rsidRPr="0032251D">
        <w:rPr>
          <w:rFonts w:ascii="Aptos" w:eastAsia="Times New Roman" w:hAnsi="Aptos" w:cs="Times New Roman"/>
          <w:kern w:val="0"/>
          <w:sz w:val="22"/>
          <w:szCs w:val="22"/>
          <w:lang w:eastAsia="en-GB"/>
          <w14:ligatures w14:val="none"/>
        </w:rPr>
        <w:t>CCyB</w:t>
      </w:r>
      <w:proofErr w:type="spellEnd"/>
      <w:r w:rsidRPr="0032251D">
        <w:rPr>
          <w:rFonts w:ascii="Aptos" w:eastAsia="Times New Roman" w:hAnsi="Aptos" w:cs="Times New Roman"/>
          <w:kern w:val="0"/>
          <w:sz w:val="22"/>
          <w:szCs w:val="22"/>
          <w:lang w:eastAsia="en-GB"/>
          <w14:ligatures w14:val="none"/>
        </w:rPr>
        <w:t xml:space="preserve"> has been held at 0% throughout. Some sectoral monitoring around home loans, but no formal LTV cap framework. Conservative deployment overall — SARB's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posture mirrors its broader institutional pattern of orthodox monetary policy and limited policy innovation. L3e is </w:t>
      </w:r>
      <w:r w:rsidRPr="0032251D">
        <w:rPr>
          <w:rFonts w:ascii="Aptos" w:eastAsia="Times New Roman" w:hAnsi="Aptos" w:cs="Times New Roman"/>
          <w:i/>
          <w:iCs/>
          <w:kern w:val="0"/>
          <w:sz w:val="22"/>
          <w:szCs w:val="22"/>
          <w:lang w:eastAsia="en-GB"/>
          <w14:ligatures w14:val="none"/>
        </w:rPr>
        <w:t>active but conservatively used</w:t>
      </w:r>
      <w:r w:rsidRPr="0032251D">
        <w:rPr>
          <w:rFonts w:ascii="Aptos" w:eastAsia="Times New Roman" w:hAnsi="Aptos" w:cs="Times New Roman"/>
          <w:kern w:val="0"/>
          <w:sz w:val="22"/>
          <w:szCs w:val="22"/>
          <w:lang w:eastAsia="en-GB"/>
          <w14:ligatures w14:val="none"/>
        </w:rPr>
        <w:t xml:space="preserve"> for SA — there is a framework, but rare deployment.</w:t>
      </w:r>
    </w:p>
    <w:p w14:paraId="7CEE5E4F"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1131B1DE">
          <v:rect id="_x0000_i1056" alt="" style="width:451.3pt;height:.05pt;mso-width-percent:0;mso-height-percent:0;mso-width-percent:0;mso-height-percent:0" o:hralign="center" o:hrstd="t" o:hr="t" fillcolor="#a0a0a0" stroked="f"/>
        </w:pict>
      </w:r>
    </w:p>
    <w:p w14:paraId="5FA4F56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Empirical pitfalls</w:t>
      </w:r>
    </w:p>
    <w:p w14:paraId="5667889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Multi-dimensional toolkit.</w:t>
      </w:r>
      <w:r w:rsidRPr="0032251D">
        <w:rPr>
          <w:rFonts w:ascii="Aptos" w:eastAsia="Times New Roman" w:hAnsi="Aptos" w:cs="Times New Roman"/>
          <w:kern w:val="0"/>
          <w:sz w:val="22"/>
          <w:szCs w:val="22"/>
          <w:lang w:eastAsia="en-GB"/>
          <w14:ligatures w14:val="none"/>
        </w:rPr>
        <w:t xml:space="preserve">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is not a single instrument. Capital, liquidity, borrower-based, sectoral, and reserve requirements address different risks. Aggregating into a single "stance" index requires arbitrary weights. Most empirical work uses simple counts of tightening vs loosening actions (Cerutti-Claessens-</w:t>
      </w:r>
      <w:proofErr w:type="spellStart"/>
      <w:r w:rsidRPr="0032251D">
        <w:rPr>
          <w:rFonts w:ascii="Aptos" w:eastAsia="Times New Roman" w:hAnsi="Aptos" w:cs="Times New Roman"/>
          <w:kern w:val="0"/>
          <w:sz w:val="22"/>
          <w:szCs w:val="22"/>
          <w:lang w:eastAsia="en-GB"/>
          <w14:ligatures w14:val="none"/>
        </w:rPr>
        <w:t>Laeven</w:t>
      </w:r>
      <w:proofErr w:type="spellEnd"/>
      <w:r w:rsidRPr="0032251D">
        <w:rPr>
          <w:rFonts w:ascii="Aptos" w:eastAsia="Times New Roman" w:hAnsi="Aptos" w:cs="Times New Roman"/>
          <w:kern w:val="0"/>
          <w:sz w:val="22"/>
          <w:szCs w:val="22"/>
          <w:lang w:eastAsia="en-GB"/>
          <w14:ligatures w14:val="none"/>
        </w:rPr>
        <w:t xml:space="preserve"> 2017), which loses calibration information.</w:t>
      </w:r>
    </w:p>
    <w:p w14:paraId="5CF02C0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Implementation lag.</w:t>
      </w:r>
      <w:r w:rsidRPr="0032251D">
        <w:rPr>
          <w:rFonts w:ascii="Aptos" w:eastAsia="Times New Roman" w:hAnsi="Aptos" w:cs="Times New Roman"/>
          <w:kern w:val="0"/>
          <w:sz w:val="22"/>
          <w:szCs w:val="22"/>
          <w:lang w:eastAsia="en-GB"/>
          <w14:ligatures w14:val="none"/>
        </w:rPr>
        <w:t xml:space="preserve"> Capital requirement changes are announced and implemented with lags of months to years. The announcement may move bank equity prices; the implementation may move lending behaviour at a different time. Identifying which is which requires careful event windowing.</w:t>
      </w:r>
    </w:p>
    <w:p w14:paraId="04D6B9B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Sectoral vs aggregate.</w:t>
      </w:r>
      <w:r w:rsidRPr="0032251D">
        <w:rPr>
          <w:rFonts w:ascii="Aptos" w:eastAsia="Times New Roman" w:hAnsi="Aptos" w:cs="Times New Roman"/>
          <w:kern w:val="0"/>
          <w:sz w:val="22"/>
          <w:szCs w:val="22"/>
          <w:lang w:eastAsia="en-GB"/>
          <w14:ligatures w14:val="none"/>
        </w:rPr>
        <w:t xml:space="preserve"> A sectoral measure (e.g., higher RWAs for CRE) may show up weakly in aggregate metrics but have strong sector-specific effects. Aggregate stance indices systematically understate sectoral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w:t>
      </w:r>
    </w:p>
    <w:p w14:paraId="3C9FE79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Substitution effects.</w:t>
      </w:r>
      <w:r w:rsidRPr="0032251D">
        <w:rPr>
          <w:rFonts w:ascii="Aptos" w:eastAsia="Times New Roman" w:hAnsi="Aptos" w:cs="Times New Roman"/>
          <w:kern w:val="0"/>
          <w:sz w:val="22"/>
          <w:szCs w:val="22"/>
          <w:lang w:eastAsia="en-GB"/>
          <w14:ligatures w14:val="none"/>
        </w:rPr>
        <w:t xml:space="preserve">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on banks can shift risk to NBFIs. The </w:t>
      </w:r>
      <w:proofErr w:type="spellStart"/>
      <w:r w:rsidRPr="0032251D">
        <w:rPr>
          <w:rFonts w:ascii="Aptos" w:eastAsia="Times New Roman" w:hAnsi="Aptos" w:cs="Times New Roman"/>
          <w:kern w:val="0"/>
          <w:sz w:val="22"/>
          <w:szCs w:val="22"/>
          <w:lang w:eastAsia="en-GB"/>
          <w14:ligatures w14:val="none"/>
        </w:rPr>
        <w:t>iMaPP</w:t>
      </w:r>
      <w:proofErr w:type="spellEnd"/>
      <w:r w:rsidRPr="0032251D">
        <w:rPr>
          <w:rFonts w:ascii="Aptos" w:eastAsia="Times New Roman" w:hAnsi="Aptos" w:cs="Times New Roman"/>
          <w:kern w:val="0"/>
          <w:sz w:val="22"/>
          <w:szCs w:val="22"/>
          <w:lang w:eastAsia="en-GB"/>
          <w14:ligatures w14:val="none"/>
        </w:rPr>
        <w:t xml:space="preserve"> database tracks bank-side actions; NBFI substitution is harder to measure and probably under-counted.</w:t>
      </w:r>
    </w:p>
    <w:p w14:paraId="5D846F95"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Effectiveness vs activation.</w:t>
      </w:r>
      <w:r w:rsidRPr="0032251D">
        <w:rPr>
          <w:rFonts w:ascii="Aptos" w:eastAsia="Times New Roman" w:hAnsi="Aptos" w:cs="Times New Roman"/>
          <w:kern w:val="0"/>
          <w:sz w:val="22"/>
          <w:szCs w:val="22"/>
          <w:lang w:eastAsia="en-GB"/>
          <w14:ligatures w14:val="none"/>
        </w:rPr>
        <w:t xml:space="preserve"> Did the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tool </w:t>
      </w:r>
      <w:proofErr w:type="gramStart"/>
      <w:r w:rsidRPr="0032251D">
        <w:rPr>
          <w:rFonts w:ascii="Aptos" w:eastAsia="Times New Roman" w:hAnsi="Aptos" w:cs="Times New Roman"/>
          <w:kern w:val="0"/>
          <w:sz w:val="22"/>
          <w:szCs w:val="22"/>
          <w:lang w:eastAsia="en-GB"/>
          <w14:ligatures w14:val="none"/>
        </w:rPr>
        <w:t>actually achieve</w:t>
      </w:r>
      <w:proofErr w:type="gramEnd"/>
      <w:r w:rsidRPr="0032251D">
        <w:rPr>
          <w:rFonts w:ascii="Aptos" w:eastAsia="Times New Roman" w:hAnsi="Aptos" w:cs="Times New Roman"/>
          <w:kern w:val="0"/>
          <w:sz w:val="22"/>
          <w:szCs w:val="22"/>
          <w:lang w:eastAsia="en-GB"/>
          <w14:ligatures w14:val="none"/>
        </w:rPr>
        <w:t xml:space="preserve"> its objective? Activation databases are clean; effectiveness studies are messier. Cerutti-Claessens-</w:t>
      </w:r>
      <w:proofErr w:type="spellStart"/>
      <w:r w:rsidRPr="0032251D">
        <w:rPr>
          <w:rFonts w:ascii="Aptos" w:eastAsia="Times New Roman" w:hAnsi="Aptos" w:cs="Times New Roman"/>
          <w:kern w:val="0"/>
          <w:sz w:val="22"/>
          <w:szCs w:val="22"/>
          <w:lang w:eastAsia="en-GB"/>
          <w14:ligatures w14:val="none"/>
        </w:rPr>
        <w:t>Laeven</w:t>
      </w:r>
      <w:proofErr w:type="spellEnd"/>
      <w:r w:rsidRPr="0032251D">
        <w:rPr>
          <w:rFonts w:ascii="Aptos" w:eastAsia="Times New Roman" w:hAnsi="Aptos" w:cs="Times New Roman"/>
          <w:kern w:val="0"/>
          <w:sz w:val="22"/>
          <w:szCs w:val="22"/>
          <w:lang w:eastAsia="en-GB"/>
          <w14:ligatures w14:val="none"/>
        </w:rPr>
        <w:t xml:space="preserve"> (2017) found modest effects on credit growth but heterogeneous across countries and tools.</w:t>
      </w:r>
    </w:p>
    <w:p w14:paraId="3CB99E4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Endogeneity.</w:t>
      </w:r>
      <w:r w:rsidRPr="0032251D">
        <w:rPr>
          <w:rFonts w:ascii="Aptos" w:eastAsia="Times New Roman" w:hAnsi="Aptos" w:cs="Times New Roman"/>
          <w:kern w:val="0"/>
          <w:sz w:val="22"/>
          <w:szCs w:val="22"/>
          <w:lang w:eastAsia="en-GB"/>
          <w14:ligatures w14:val="none"/>
        </w:rPr>
        <w:t xml:space="preserve">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is activated </w:t>
      </w:r>
      <w:r w:rsidRPr="0032251D">
        <w:rPr>
          <w:rFonts w:ascii="Aptos" w:eastAsia="Times New Roman" w:hAnsi="Aptos" w:cs="Times New Roman"/>
          <w:i/>
          <w:iCs/>
          <w:kern w:val="0"/>
          <w:sz w:val="22"/>
          <w:szCs w:val="22"/>
          <w:lang w:eastAsia="en-GB"/>
          <w14:ligatures w14:val="none"/>
        </w:rPr>
        <w:t>in response to</w:t>
      </w:r>
      <w:r w:rsidRPr="0032251D">
        <w:rPr>
          <w:rFonts w:ascii="Aptos" w:eastAsia="Times New Roman" w:hAnsi="Aptos" w:cs="Times New Roman"/>
          <w:kern w:val="0"/>
          <w:sz w:val="22"/>
          <w:szCs w:val="22"/>
          <w:lang w:eastAsia="en-GB"/>
          <w14:ligatures w14:val="none"/>
        </w:rPr>
        <w:t xml:space="preserve"> credit booms or asset price increases. So observed correlations between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and credit growth are confounded by reverse causality. Clean identification requires either policy rules (predictable activation based on observable triggers) or exogenous variation (cross-country comparison with shared shocks).</w:t>
      </w:r>
    </w:p>
    <w:p w14:paraId="37F9693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Regulatory perimeter.</w:t>
      </w:r>
      <w:r w:rsidRPr="0032251D">
        <w:rPr>
          <w:rFonts w:ascii="Aptos" w:eastAsia="Times New Roman" w:hAnsi="Aptos" w:cs="Times New Roman"/>
          <w:kern w:val="0"/>
          <w:sz w:val="22"/>
          <w:szCs w:val="22"/>
          <w:lang w:eastAsia="en-GB"/>
          <w14:ligatures w14:val="none"/>
        </w:rPr>
        <w:t xml:space="preserve">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tools operate within the regulated banking perimeter. Cross-border substitution (lending booked offshore) and NBFI substitution (shadow banking) can defeat them. This is the central limitation of the post-2008 architecture.</w:t>
      </w:r>
    </w:p>
    <w:p w14:paraId="7645A2D7"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2B997CC1">
          <v:rect id="_x0000_i1057" alt="" style="width:451.3pt;height:.05pt;mso-width-percent:0;mso-height-percent:0;mso-width-percent:0;mso-height-percent:0" o:hralign="center" o:hrstd="t" o:hr="t" fillcolor="#a0a0a0" stroked="f"/>
        </w:pict>
      </w:r>
    </w:p>
    <w:p w14:paraId="6884FFB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Where dissonance lives</w:t>
      </w:r>
    </w:p>
    <w:p w14:paraId="51535285"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Within L3e:</w:t>
      </w:r>
    </w:p>
    <w:p w14:paraId="04918AE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Intra-node.</w:t>
      </w:r>
      <w:r w:rsidRPr="0032251D">
        <w:rPr>
          <w:rFonts w:ascii="Aptos" w:eastAsia="Times New Roman" w:hAnsi="Aptos" w:cs="Times New Roman"/>
          <w:kern w:val="0"/>
          <w:sz w:val="22"/>
          <w:szCs w:val="22"/>
          <w:lang w:eastAsia="en-GB"/>
          <w14:ligatures w14:val="none"/>
        </w:rPr>
        <w:t xml:space="preserve"> Components of the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stance should pull the same direction. Dissonance fires when:</w:t>
      </w:r>
    </w:p>
    <w:p w14:paraId="5E8A06BF" w14:textId="77777777" w:rsidR="0032251D" w:rsidRPr="0032251D" w:rsidRDefault="0032251D">
      <w:pPr>
        <w:numPr>
          <w:ilvl w:val="0"/>
          <w:numId w:val="1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Capital requirements tighten but liquidity requirements loosen</w:t>
      </w:r>
    </w:p>
    <w:p w14:paraId="7031B6E2" w14:textId="77777777" w:rsidR="0032251D" w:rsidRPr="0032251D" w:rsidRDefault="0032251D">
      <w:pPr>
        <w:numPr>
          <w:ilvl w:val="0"/>
          <w:numId w:val="13"/>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32251D">
        <w:rPr>
          <w:rFonts w:ascii="Aptos" w:eastAsia="Times New Roman" w:hAnsi="Aptos" w:cs="Times New Roman"/>
          <w:kern w:val="0"/>
          <w:sz w:val="22"/>
          <w:szCs w:val="22"/>
          <w:lang w:eastAsia="en-GB"/>
          <w14:ligatures w14:val="none"/>
        </w:rPr>
        <w:t>CCyB</w:t>
      </w:r>
      <w:proofErr w:type="spellEnd"/>
      <w:r w:rsidRPr="0032251D">
        <w:rPr>
          <w:rFonts w:ascii="Aptos" w:eastAsia="Times New Roman" w:hAnsi="Aptos" w:cs="Times New Roman"/>
          <w:kern w:val="0"/>
          <w:sz w:val="22"/>
          <w:szCs w:val="22"/>
          <w:lang w:eastAsia="en-GB"/>
          <w14:ligatures w14:val="none"/>
        </w:rPr>
        <w:t xml:space="preserve"> lifts but sectoral RWAs unchanged</w:t>
      </w:r>
    </w:p>
    <w:p w14:paraId="3E41F2B7" w14:textId="77777777" w:rsidR="0032251D" w:rsidRPr="0032251D" w:rsidRDefault="0032251D">
      <w:pPr>
        <w:numPr>
          <w:ilvl w:val="0"/>
          <w:numId w:val="1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Aggregate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tightens but sectoral measures move opposite</w:t>
      </w:r>
    </w:p>
    <w:p w14:paraId="03091EA4" w14:textId="77777777" w:rsidR="0032251D" w:rsidRPr="0032251D" w:rsidRDefault="0032251D">
      <w:pPr>
        <w:numPr>
          <w:ilvl w:val="0"/>
          <w:numId w:val="13"/>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tightens but stress test assumptions become more lenient (covert loosening through changed scenarios)</w:t>
      </w:r>
    </w:p>
    <w:p w14:paraId="0FE929F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upward, L1 → L3e.</w:t>
      </w:r>
      <w:r w:rsidRPr="0032251D">
        <w:rPr>
          <w:rFonts w:ascii="Aptos" w:eastAsia="Times New Roman" w:hAnsi="Aptos" w:cs="Times New Roman"/>
          <w:kern w:val="0"/>
          <w:sz w:val="22"/>
          <w:szCs w:val="22"/>
          <w:lang w:eastAsia="en-GB"/>
          <w14:ligatures w14:val="none"/>
        </w:rPr>
        <w:t xml:space="preserve">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should be active when the rule's λ (financial stability weight) is positive and stability indicators are stressed. Dissonance fires when financial stability is degrading but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is </w:t>
      </w:r>
      <w:proofErr w:type="gramStart"/>
      <w:r w:rsidRPr="0032251D">
        <w:rPr>
          <w:rFonts w:ascii="Aptos" w:eastAsia="Times New Roman" w:hAnsi="Aptos" w:cs="Times New Roman"/>
          <w:kern w:val="0"/>
          <w:sz w:val="22"/>
          <w:szCs w:val="22"/>
          <w:lang w:eastAsia="en-GB"/>
          <w14:ligatures w14:val="none"/>
        </w:rPr>
        <w:t>passive, or</w:t>
      </w:r>
      <w:proofErr w:type="gramEnd"/>
      <w:r w:rsidRPr="0032251D">
        <w:rPr>
          <w:rFonts w:ascii="Aptos" w:eastAsia="Times New Roman" w:hAnsi="Aptos" w:cs="Times New Roman"/>
          <w:kern w:val="0"/>
          <w:sz w:val="22"/>
          <w:szCs w:val="22"/>
          <w:lang w:eastAsia="en-GB"/>
          <w14:ligatures w14:val="none"/>
        </w:rPr>
        <w:t xml:space="preserve"> tightening pre-emptively without underlying stress.</w:t>
      </w:r>
    </w:p>
    <w:p w14:paraId="7EFC690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upward, L2 → L3e.</w:t>
      </w:r>
      <w:r w:rsidRPr="0032251D">
        <w:rPr>
          <w:rFonts w:ascii="Aptos" w:eastAsia="Times New Roman" w:hAnsi="Aptos" w:cs="Times New Roman"/>
          <w:kern w:val="0"/>
          <w:sz w:val="22"/>
          <w:szCs w:val="22"/>
          <w:lang w:eastAsia="en-GB"/>
          <w14:ligatures w14:val="none"/>
        </w:rPr>
        <w:t xml:space="preserve"> The λ weight in the loss function justifies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deployment. Dissonance fires when financial stability is in the mandate but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is dormant, or active without an underlying stability mandate to justify it.</w:t>
      </w:r>
    </w:p>
    <w:p w14:paraId="3457645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peer, L3a ↔ L3e.</w:t>
      </w:r>
      <w:r w:rsidRPr="0032251D">
        <w:rPr>
          <w:rFonts w:ascii="Aptos" w:eastAsia="Times New Roman" w:hAnsi="Aptos" w:cs="Times New Roman"/>
          <w:kern w:val="0"/>
          <w:sz w:val="22"/>
          <w:szCs w:val="22"/>
          <w:lang w:eastAsia="en-GB"/>
          <w14:ligatures w14:val="none"/>
        </w:rPr>
        <w:t xml:space="preserve"> Monetary and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can intentionally diverge — loose monetary + tight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is the post-2008 DM playbook. Dissonance: when divergence is extreme and unaligned with stated framework, or when both move the same direction in ways the framework does not justify.</w:t>
      </w:r>
    </w:p>
    <w:p w14:paraId="17B1ACE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peer, L3b ↔ L3e.</w:t>
      </w:r>
      <w:r w:rsidRPr="0032251D">
        <w:rPr>
          <w:rFonts w:ascii="Aptos" w:eastAsia="Times New Roman" w:hAnsi="Aptos" w:cs="Times New Roman"/>
          <w:kern w:val="0"/>
          <w:sz w:val="22"/>
          <w:szCs w:val="22"/>
          <w:lang w:eastAsia="en-GB"/>
          <w14:ligatures w14:val="none"/>
        </w:rPr>
        <w:t xml:space="preserve"> Balance sheet expansion can build leverage that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must counter. Dissonance: QE expanding household credit while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loosens LTV caps — instruments working at cross purposes.</w:t>
      </w:r>
    </w:p>
    <w:p w14:paraId="1644174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 L3e → L5a (banks).</w:t>
      </w:r>
      <w:r w:rsidRPr="0032251D">
        <w:rPr>
          <w:rFonts w:ascii="Aptos" w:eastAsia="Times New Roman" w:hAnsi="Aptos" w:cs="Times New Roman"/>
          <w:kern w:val="0"/>
          <w:sz w:val="22"/>
          <w:szCs w:val="22"/>
          <w:lang w:eastAsia="en-GB"/>
          <w14:ligatures w14:val="none"/>
        </w:rPr>
        <w:t xml:space="preserve">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directly targets bank balance sheets. Dissonance fires when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is tightened but bank lending continues to grow — circumvention, grandfathering, or substitution.</w:t>
      </w:r>
    </w:p>
    <w:p w14:paraId="4D3ED3F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 L3e → L5b (NBFI).</w:t>
      </w:r>
      <w:r w:rsidRPr="0032251D">
        <w:rPr>
          <w:rFonts w:ascii="Aptos" w:eastAsia="Times New Roman" w:hAnsi="Aptos" w:cs="Times New Roman"/>
          <w:kern w:val="0"/>
          <w:sz w:val="22"/>
          <w:szCs w:val="22"/>
          <w:lang w:eastAsia="en-GB"/>
          <w14:ligatures w14:val="none"/>
        </w:rPr>
        <w:t xml:space="preserve"> NBFI sits outside most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perimeters. Dissonance fires when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tightens on banks while NBFI risk builds — the post-2008 risk migration pattern. This is the central structural weakness of current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architecture.</w:t>
      </w:r>
    </w:p>
    <w:p w14:paraId="7E559EC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 L3e → L10b (financial stability).</w:t>
      </w:r>
      <w:r w:rsidRPr="0032251D">
        <w:rPr>
          <w:rFonts w:ascii="Aptos" w:eastAsia="Times New Roman" w:hAnsi="Aptos" w:cs="Times New Roman"/>
          <w:kern w:val="0"/>
          <w:sz w:val="22"/>
          <w:szCs w:val="22"/>
          <w:lang w:eastAsia="en-GB"/>
          <w14:ligatures w14:val="none"/>
        </w:rPr>
        <w:t xml:space="preserve"> Direct mapping —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targets stability outcomes. Dissonance fires when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is active but financial stability indicators worsen — wrong targeting, wrong calibration, or risk migrating outside the regulatory perimeter.</w:t>
      </w:r>
    </w:p>
    <w:p w14:paraId="35B8935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The L3e node is the bank's </w:t>
      </w:r>
      <w:r w:rsidRPr="0032251D">
        <w:rPr>
          <w:rFonts w:ascii="Aptos" w:eastAsia="Times New Roman" w:hAnsi="Aptos" w:cs="Times New Roman"/>
          <w:i/>
          <w:iCs/>
          <w:kern w:val="0"/>
          <w:sz w:val="22"/>
          <w:szCs w:val="22"/>
          <w:lang w:eastAsia="en-GB"/>
          <w14:ligatures w14:val="none"/>
        </w:rPr>
        <w:t>systemic risk management instrument</w:t>
      </w:r>
      <w:r w:rsidRPr="0032251D">
        <w:rPr>
          <w:rFonts w:ascii="Aptos" w:eastAsia="Times New Roman" w:hAnsi="Aptos" w:cs="Times New Roman"/>
          <w:kern w:val="0"/>
          <w:sz w:val="22"/>
          <w:szCs w:val="22"/>
          <w:lang w:eastAsia="en-GB"/>
          <w14:ligatures w14:val="none"/>
        </w:rPr>
        <w:t xml:space="preserve">. Operating on a different axis from the rate (cost of money), the balance sheet (quantity of safe assets), and FX intervention (currency price), it operates on the structure and incentives of credit allocation. Dissonance at </w:t>
      </w:r>
      <w:r w:rsidRPr="0032251D">
        <w:rPr>
          <w:rFonts w:ascii="Aptos" w:eastAsia="Times New Roman" w:hAnsi="Aptos" w:cs="Times New Roman"/>
          <w:kern w:val="0"/>
          <w:sz w:val="22"/>
          <w:szCs w:val="22"/>
          <w:lang w:eastAsia="en-GB"/>
          <w14:ligatures w14:val="none"/>
        </w:rPr>
        <w:lastRenderedPageBreak/>
        <w:t xml:space="preserve">L3e means the bank's stated financial stability mandate and its actual risk management actions have diverged, or that the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perimeter has failed to cover where the risk has </w:t>
      </w:r>
      <w:proofErr w:type="gramStart"/>
      <w:r w:rsidRPr="0032251D">
        <w:rPr>
          <w:rFonts w:ascii="Aptos" w:eastAsia="Times New Roman" w:hAnsi="Aptos" w:cs="Times New Roman"/>
          <w:kern w:val="0"/>
          <w:sz w:val="22"/>
          <w:szCs w:val="22"/>
          <w:lang w:eastAsia="en-GB"/>
          <w14:ligatures w14:val="none"/>
        </w:rPr>
        <w:t>actually accumulated</w:t>
      </w:r>
      <w:proofErr w:type="gramEnd"/>
      <w:r w:rsidRPr="0032251D">
        <w:rPr>
          <w:rFonts w:ascii="Aptos" w:eastAsia="Times New Roman" w:hAnsi="Aptos" w:cs="Times New Roman"/>
          <w:kern w:val="0"/>
          <w:sz w:val="22"/>
          <w:szCs w:val="22"/>
          <w:lang w:eastAsia="en-GB"/>
          <w14:ligatures w14:val="none"/>
        </w:rPr>
        <w:t>.</w:t>
      </w:r>
    </w:p>
    <w:p w14:paraId="1A188E8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Level 3f — Liquidity Facilities</w:t>
      </w:r>
    </w:p>
    <w:p w14:paraId="3B1FA4E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Definition.</w:t>
      </w:r>
      <w:r w:rsidRPr="0032251D">
        <w:rPr>
          <w:rFonts w:ascii="Aptos" w:eastAsia="Times New Roman" w:hAnsi="Aptos" w:cs="Times New Roman"/>
          <w:kern w:val="0"/>
          <w:sz w:val="22"/>
          <w:szCs w:val="22"/>
          <w:lang w:eastAsia="en-GB"/>
          <w14:ligatures w14:val="none"/>
        </w:rPr>
        <w:t xml:space="preserve"> Liquidity facilities are central bank tools that provide funding to financial institutions, typically against collateral, when normal market funding becomes unavailable or unaffordable. They are distinct from the policy rate (which sets the price of unconstrained liquidity), from the balance sheet (which targets monetary stance), and from macroprudential policy (which sets structural rules). Their defining feature is </w:t>
      </w:r>
      <w:r w:rsidRPr="0032251D">
        <w:rPr>
          <w:rFonts w:ascii="Aptos" w:eastAsia="Times New Roman" w:hAnsi="Aptos" w:cs="Times New Roman"/>
          <w:i/>
          <w:iCs/>
          <w:kern w:val="0"/>
          <w:sz w:val="22"/>
          <w:szCs w:val="22"/>
          <w:lang w:eastAsia="en-GB"/>
          <w14:ligatures w14:val="none"/>
        </w:rPr>
        <w:t>contingency</w:t>
      </w:r>
      <w:r w:rsidRPr="0032251D">
        <w:rPr>
          <w:rFonts w:ascii="Aptos" w:eastAsia="Times New Roman" w:hAnsi="Aptos" w:cs="Times New Roman"/>
          <w:kern w:val="0"/>
          <w:sz w:val="22"/>
          <w:szCs w:val="22"/>
          <w:lang w:eastAsia="en-GB"/>
          <w14:ligatures w14:val="none"/>
        </w:rPr>
        <w:t xml:space="preserve"> — they are dormant in normal times and activated in stress. Three families: </w:t>
      </w:r>
      <w:r w:rsidRPr="0032251D">
        <w:rPr>
          <w:rFonts w:ascii="Aptos" w:eastAsia="Times New Roman" w:hAnsi="Aptos" w:cs="Times New Roman"/>
          <w:i/>
          <w:iCs/>
          <w:kern w:val="0"/>
          <w:sz w:val="22"/>
          <w:szCs w:val="22"/>
          <w:lang w:eastAsia="en-GB"/>
          <w14:ligatures w14:val="none"/>
        </w:rPr>
        <w:t>standing facilities</w:t>
      </w:r>
      <w:r w:rsidRPr="0032251D">
        <w:rPr>
          <w:rFonts w:ascii="Aptos" w:eastAsia="Times New Roman" w:hAnsi="Aptos" w:cs="Times New Roman"/>
          <w:kern w:val="0"/>
          <w:sz w:val="22"/>
          <w:szCs w:val="22"/>
          <w:lang w:eastAsia="en-GB"/>
          <w14:ligatures w14:val="none"/>
        </w:rPr>
        <w:t xml:space="preserve"> permanently available (discount window, Standing Repo Facility); </w:t>
      </w:r>
      <w:r w:rsidRPr="0032251D">
        <w:rPr>
          <w:rFonts w:ascii="Aptos" w:eastAsia="Times New Roman" w:hAnsi="Aptos" w:cs="Times New Roman"/>
          <w:i/>
          <w:iCs/>
          <w:kern w:val="0"/>
          <w:sz w:val="22"/>
          <w:szCs w:val="22"/>
          <w:lang w:eastAsia="en-GB"/>
          <w14:ligatures w14:val="none"/>
        </w:rPr>
        <w:t>crisis facilities</w:t>
      </w:r>
      <w:r w:rsidRPr="0032251D">
        <w:rPr>
          <w:rFonts w:ascii="Aptos" w:eastAsia="Times New Roman" w:hAnsi="Aptos" w:cs="Times New Roman"/>
          <w:kern w:val="0"/>
          <w:sz w:val="22"/>
          <w:szCs w:val="22"/>
          <w:lang w:eastAsia="en-GB"/>
          <w14:ligatures w14:val="none"/>
        </w:rPr>
        <w:t xml:space="preserve"> created or reactivated in response to specific stress (TAF, PDCF, CPFF, BTFP); and </w:t>
      </w:r>
      <w:r w:rsidRPr="0032251D">
        <w:rPr>
          <w:rFonts w:ascii="Aptos" w:eastAsia="Times New Roman" w:hAnsi="Aptos" w:cs="Times New Roman"/>
          <w:i/>
          <w:iCs/>
          <w:kern w:val="0"/>
          <w:sz w:val="22"/>
          <w:szCs w:val="22"/>
          <w:lang w:eastAsia="en-GB"/>
          <w14:ligatures w14:val="none"/>
        </w:rPr>
        <w:t>cross-border facilities</w:t>
      </w:r>
      <w:r w:rsidRPr="0032251D">
        <w:rPr>
          <w:rFonts w:ascii="Aptos" w:eastAsia="Times New Roman" w:hAnsi="Aptos" w:cs="Times New Roman"/>
          <w:kern w:val="0"/>
          <w:sz w:val="22"/>
          <w:szCs w:val="22"/>
          <w:lang w:eastAsia="en-GB"/>
          <w14:ligatures w14:val="none"/>
        </w:rPr>
        <w:t xml:space="preserve"> — FX swap lines between major central banks and the Fed's FIMA repo facility for other CBs holding US Treasuries.</w:t>
      </w:r>
    </w:p>
    <w:p w14:paraId="480735E5"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2224D691">
          <v:rect id="_x0000_i1058" alt="" style="width:451.3pt;height:.05pt;mso-width-percent:0;mso-height-percent:0;mso-width-percent:0;mso-height-percent:0" o:hralign="center" o:hrstd="t" o:hr="t" fillcolor="#a0a0a0" stroked="f"/>
        </w:pict>
      </w:r>
    </w:p>
    <w:p w14:paraId="57AB808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Theory</w:t>
      </w:r>
    </w:p>
    <w:p w14:paraId="696FDD2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Liquidity facilities exist because of an inherent fragility in maturity transformation.</w:t>
      </w:r>
    </w:p>
    <w:p w14:paraId="03839D3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The Bagehot foundation.</w:t>
      </w:r>
      <w:r w:rsidRPr="0032251D">
        <w:rPr>
          <w:rFonts w:ascii="Aptos" w:eastAsia="Times New Roman" w:hAnsi="Aptos" w:cs="Times New Roman"/>
          <w:kern w:val="0"/>
          <w:sz w:val="22"/>
          <w:szCs w:val="22"/>
          <w:lang w:eastAsia="en-GB"/>
          <w14:ligatures w14:val="none"/>
        </w:rPr>
        <w:t xml:space="preserve"> Walter Bagehot's </w:t>
      </w:r>
      <w:r w:rsidRPr="0032251D">
        <w:rPr>
          <w:rFonts w:ascii="Aptos" w:eastAsia="Times New Roman" w:hAnsi="Aptos" w:cs="Times New Roman"/>
          <w:i/>
          <w:iCs/>
          <w:kern w:val="0"/>
          <w:sz w:val="22"/>
          <w:szCs w:val="22"/>
          <w:lang w:eastAsia="en-GB"/>
          <w14:ligatures w14:val="none"/>
        </w:rPr>
        <w:t>Lombard Street</w:t>
      </w:r>
      <w:r w:rsidRPr="0032251D">
        <w:rPr>
          <w:rFonts w:ascii="Aptos" w:eastAsia="Times New Roman" w:hAnsi="Aptos" w:cs="Times New Roman"/>
          <w:kern w:val="0"/>
          <w:sz w:val="22"/>
          <w:szCs w:val="22"/>
          <w:lang w:eastAsia="en-GB"/>
          <w14:ligatures w14:val="none"/>
        </w:rPr>
        <w:t xml:space="preserve"> (1873) provided the foundational LOLR framework: in financial crises, the central bank should lend freely, at penalty rates, against good collateral. The logic builds on Diamond-Dybvig: banks transform short-term liquid liabilities (deposits) into longer-term illiquid assets (loans). This is socially valuable but creates run vulnerability. Illiquidity can become insolvency through fire-sale dynamics. An outside agent providing unconditional liquidity against good collateral breaks the run mechanically.</w:t>
      </w:r>
    </w:p>
    <w:p w14:paraId="6B326F5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The three </w:t>
      </w:r>
      <w:proofErr w:type="spellStart"/>
      <w:r w:rsidRPr="0032251D">
        <w:rPr>
          <w:rFonts w:ascii="Aptos" w:eastAsia="Times New Roman" w:hAnsi="Aptos" w:cs="Times New Roman"/>
          <w:kern w:val="0"/>
          <w:sz w:val="22"/>
          <w:szCs w:val="22"/>
          <w:lang w:eastAsia="en-GB"/>
          <w14:ligatures w14:val="none"/>
        </w:rPr>
        <w:t>Bagehotian</w:t>
      </w:r>
      <w:proofErr w:type="spellEnd"/>
      <w:r w:rsidRPr="0032251D">
        <w:rPr>
          <w:rFonts w:ascii="Aptos" w:eastAsia="Times New Roman" w:hAnsi="Aptos" w:cs="Times New Roman"/>
          <w:kern w:val="0"/>
          <w:sz w:val="22"/>
          <w:szCs w:val="22"/>
          <w:lang w:eastAsia="en-GB"/>
          <w14:ligatures w14:val="none"/>
        </w:rPr>
        <w:t xml:space="preserve"> conditions matter: (1) lend freely — no quantity rationing; (2) at penalty rates — to discourage routine use and limit moral hazard; (3) against good collateral — to protect the central bank from credit risk. Modern facility design has progressively relaxed all three, particularly post-2008.</w:t>
      </w:r>
    </w:p>
    <w:p w14:paraId="08E53C5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The 2008 extension.</w:t>
      </w:r>
      <w:r w:rsidRPr="0032251D">
        <w:rPr>
          <w:rFonts w:ascii="Aptos" w:eastAsia="Times New Roman" w:hAnsi="Aptos" w:cs="Times New Roman"/>
          <w:kern w:val="0"/>
          <w:sz w:val="22"/>
          <w:szCs w:val="22"/>
          <w:lang w:eastAsia="en-GB"/>
          <w14:ligatures w14:val="none"/>
        </w:rPr>
        <w:t xml:space="preserve"> The crisis revealed that the </w:t>
      </w:r>
      <w:proofErr w:type="spellStart"/>
      <w:r w:rsidRPr="0032251D">
        <w:rPr>
          <w:rFonts w:ascii="Aptos" w:eastAsia="Times New Roman" w:hAnsi="Aptos" w:cs="Times New Roman"/>
          <w:kern w:val="0"/>
          <w:sz w:val="22"/>
          <w:szCs w:val="22"/>
          <w:lang w:eastAsia="en-GB"/>
          <w14:ligatures w14:val="none"/>
        </w:rPr>
        <w:t>Bagehotian</w:t>
      </w:r>
      <w:proofErr w:type="spellEnd"/>
      <w:r w:rsidRPr="0032251D">
        <w:rPr>
          <w:rFonts w:ascii="Aptos" w:eastAsia="Times New Roman" w:hAnsi="Aptos" w:cs="Times New Roman"/>
          <w:kern w:val="0"/>
          <w:sz w:val="22"/>
          <w:szCs w:val="22"/>
          <w:lang w:eastAsia="en-GB"/>
          <w14:ligatures w14:val="none"/>
        </w:rPr>
        <w:t xml:space="preserve"> framework needed expansion. Risk had migrated outside the regulated banking perimeter (NBFI, dealers, MMFs); wholesale funding markets (repo, commercial paper) could freeze; cross-border dollar funding required international coordination. The LOLR function consequently expanded along five axes — from banks to non-banks (PDCF), from overnight to term (TAF), from collateral lending to outright asset purchases (CPFF, TALF), from domestic to cross-border (Fed swap lines), and from institution-specific to market-specific (MMLF).</w:t>
      </w:r>
    </w:p>
    <w:p w14:paraId="5D4874D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The 2023 SVB lesson.</w:t>
      </w:r>
      <w:r w:rsidRPr="0032251D">
        <w:rPr>
          <w:rFonts w:ascii="Aptos" w:eastAsia="Times New Roman" w:hAnsi="Aptos" w:cs="Times New Roman"/>
          <w:kern w:val="0"/>
          <w:sz w:val="22"/>
          <w:szCs w:val="22"/>
          <w:lang w:eastAsia="en-GB"/>
          <w14:ligatures w14:val="none"/>
        </w:rPr>
        <w:t xml:space="preserve"> The collapse of Silicon Valley Bank revealed the </w:t>
      </w:r>
      <w:r w:rsidRPr="0032251D">
        <w:rPr>
          <w:rFonts w:ascii="Aptos" w:eastAsia="Times New Roman" w:hAnsi="Aptos" w:cs="Times New Roman"/>
          <w:i/>
          <w:iCs/>
          <w:kern w:val="0"/>
          <w:sz w:val="22"/>
          <w:szCs w:val="22"/>
          <w:lang w:eastAsia="en-GB"/>
          <w14:ligatures w14:val="none"/>
        </w:rPr>
        <w:t>digital deposit run</w:t>
      </w:r>
      <w:r w:rsidRPr="0032251D">
        <w:rPr>
          <w:rFonts w:ascii="Aptos" w:eastAsia="Times New Roman" w:hAnsi="Aptos" w:cs="Times New Roman"/>
          <w:kern w:val="0"/>
          <w:sz w:val="22"/>
          <w:szCs w:val="22"/>
          <w:lang w:eastAsia="en-GB"/>
          <w14:ligatures w14:val="none"/>
        </w:rPr>
        <w:t xml:space="preserve"> problem: deposits can flee at electronic speed (SVB lost ~$42bn in a single day), faster than traditional discount window operations can respond. The Bank Term Funding Program (BTFP), created in response, accepted collateral at par value rather than market value — a significant relaxation of Bagehot's "good collateral" condition, justified as preventing forced asset sales. The facility design tension between speed-of-response and moral hazard sharpened.</w:t>
      </w:r>
    </w:p>
    <w:p w14:paraId="3FB79F3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Moral hazard.</w:t>
      </w:r>
      <w:r w:rsidRPr="0032251D">
        <w:rPr>
          <w:rFonts w:ascii="Aptos" w:eastAsia="Times New Roman" w:hAnsi="Aptos" w:cs="Times New Roman"/>
          <w:kern w:val="0"/>
          <w:sz w:val="22"/>
          <w:szCs w:val="22"/>
          <w:lang w:eastAsia="en-GB"/>
          <w14:ligatures w14:val="none"/>
        </w:rPr>
        <w:t xml:space="preserve"> The standing theoretical concern: if the central bank always provides liquidity, banks take more liquidity risk. Facilities are designed with penalty rates, collateral haircuts, and </w:t>
      </w:r>
      <w:r w:rsidRPr="0032251D">
        <w:rPr>
          <w:rFonts w:ascii="Aptos" w:eastAsia="Times New Roman" w:hAnsi="Aptos" w:cs="Times New Roman"/>
          <w:kern w:val="0"/>
          <w:sz w:val="22"/>
          <w:szCs w:val="22"/>
          <w:lang w:eastAsia="en-GB"/>
          <w14:ligatures w14:val="none"/>
        </w:rPr>
        <w:lastRenderedPageBreak/>
        <w:t>discretionary access to limit this. But each facility extension narrows the moral hazard guardrails. The cumulative effect is debated.</w:t>
      </w:r>
    </w:p>
    <w:p w14:paraId="026400E3"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34F2AC8F">
          <v:rect id="_x0000_i1059" alt="" style="width:451.3pt;height:.05pt;mso-width-percent:0;mso-height-percent:0;mso-width-percent:0;mso-height-percent:0" o:hralign="center" o:hrstd="t" o:hr="t" fillcolor="#a0a0a0" stroked="f"/>
        </w:pict>
      </w:r>
    </w:p>
    <w:p w14:paraId="5182BA4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Canonical specifications and parameters</w:t>
      </w:r>
    </w:p>
    <w:p w14:paraId="1F30863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Three operational families.</w:t>
      </w:r>
    </w:p>
    <w:p w14:paraId="2399CFB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Standing facilities.</w:t>
      </w:r>
      <w:r w:rsidRPr="0032251D">
        <w:rPr>
          <w:rFonts w:ascii="Aptos" w:eastAsia="Times New Roman" w:hAnsi="Aptos" w:cs="Times New Roman"/>
          <w:kern w:val="0"/>
          <w:sz w:val="22"/>
          <w:szCs w:val="22"/>
          <w:lang w:eastAsia="en-GB"/>
          <w14:ligatures w14:val="none"/>
        </w:rPr>
        <w:t xml:space="preserve"> Permanently available, dormant in normal times.</w:t>
      </w:r>
    </w:p>
    <w:p w14:paraId="5EC249E3" w14:textId="77777777" w:rsidR="0032251D" w:rsidRPr="0032251D" w:rsidRDefault="0032251D">
      <w:pPr>
        <w:numPr>
          <w:ilvl w:val="0"/>
          <w:numId w:val="1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Discount window</w:t>
      </w:r>
      <w:r w:rsidRPr="0032251D">
        <w:rPr>
          <w:rFonts w:ascii="Aptos" w:eastAsia="Times New Roman" w:hAnsi="Aptos" w:cs="Times New Roman"/>
          <w:kern w:val="0"/>
          <w:sz w:val="22"/>
          <w:szCs w:val="22"/>
          <w:lang w:eastAsia="en-GB"/>
          <w14:ligatures w14:val="none"/>
        </w:rPr>
        <w:t xml:space="preserve"> (Fed): secured lending to depository institutions, traditionally at penalty rates over the policy rate.</w:t>
      </w:r>
    </w:p>
    <w:p w14:paraId="5E998253" w14:textId="77777777" w:rsidR="0032251D" w:rsidRPr="0032251D" w:rsidRDefault="0032251D">
      <w:pPr>
        <w:numPr>
          <w:ilvl w:val="0"/>
          <w:numId w:val="1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Standing Repo Facility</w:t>
      </w:r>
      <w:r w:rsidRPr="0032251D">
        <w:rPr>
          <w:rFonts w:ascii="Aptos" w:eastAsia="Times New Roman" w:hAnsi="Aptos" w:cs="Times New Roman"/>
          <w:kern w:val="0"/>
          <w:sz w:val="22"/>
          <w:szCs w:val="22"/>
          <w:lang w:eastAsia="en-GB"/>
          <w14:ligatures w14:val="none"/>
        </w:rPr>
        <w:t xml:space="preserve"> (Fed, 2021): committed overnight repo against Treasuries at the policy rate. Designed specifically to overcome stigma.</w:t>
      </w:r>
    </w:p>
    <w:p w14:paraId="42298378" w14:textId="77777777" w:rsidR="0032251D" w:rsidRPr="0032251D" w:rsidRDefault="0032251D">
      <w:pPr>
        <w:numPr>
          <w:ilvl w:val="0"/>
          <w:numId w:val="1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Marginal lending facility</w:t>
      </w:r>
      <w:r w:rsidRPr="0032251D">
        <w:rPr>
          <w:rFonts w:ascii="Aptos" w:eastAsia="Times New Roman" w:hAnsi="Aptos" w:cs="Times New Roman"/>
          <w:kern w:val="0"/>
          <w:sz w:val="22"/>
          <w:szCs w:val="22"/>
          <w:lang w:eastAsia="en-GB"/>
          <w14:ligatures w14:val="none"/>
        </w:rPr>
        <w:t xml:space="preserve"> (ECB): upper bound of the corridor system.</w:t>
      </w:r>
    </w:p>
    <w:p w14:paraId="4DA559D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Crisis facilities.</w:t>
      </w:r>
      <w:r w:rsidRPr="0032251D">
        <w:rPr>
          <w:rFonts w:ascii="Aptos" w:eastAsia="Times New Roman" w:hAnsi="Aptos" w:cs="Times New Roman"/>
          <w:kern w:val="0"/>
          <w:sz w:val="22"/>
          <w:szCs w:val="22"/>
          <w:lang w:eastAsia="en-GB"/>
          <w14:ligatures w14:val="none"/>
        </w:rPr>
        <w:t xml:space="preserve"> Created or activated for specific stress episodes.</w:t>
      </w:r>
    </w:p>
    <w:p w14:paraId="5B74D011" w14:textId="77777777" w:rsidR="0032251D" w:rsidRPr="0032251D" w:rsidRDefault="0032251D">
      <w:pPr>
        <w:numPr>
          <w:ilvl w:val="0"/>
          <w:numId w:val="1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Pre-2008: limited toolkit (discount window primarily).</w:t>
      </w:r>
    </w:p>
    <w:p w14:paraId="2B5F0E25" w14:textId="77777777" w:rsidR="0032251D" w:rsidRPr="0032251D" w:rsidRDefault="0032251D">
      <w:pPr>
        <w:numPr>
          <w:ilvl w:val="0"/>
          <w:numId w:val="1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2008: TAF (term auction), PDCF (primary dealers), CPFF (commercial paper), MMLF (money market funds), TALF (asset-backed securities).</w:t>
      </w:r>
    </w:p>
    <w:p w14:paraId="78AE5F7B" w14:textId="77777777" w:rsidR="0032251D" w:rsidRPr="0032251D" w:rsidRDefault="0032251D">
      <w:pPr>
        <w:numPr>
          <w:ilvl w:val="0"/>
          <w:numId w:val="1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2020 COVID: rapid reactivation of the 2008 toolkit plus Main Street Lending Program, Municipal Liquidity Facility, and others.</w:t>
      </w:r>
    </w:p>
    <w:p w14:paraId="5491DACF" w14:textId="77777777" w:rsidR="0032251D" w:rsidRPr="0032251D" w:rsidRDefault="0032251D">
      <w:pPr>
        <w:numPr>
          <w:ilvl w:val="0"/>
          <w:numId w:val="1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2023: BTFP, designed for the digital deposit run problem.</w:t>
      </w:r>
    </w:p>
    <w:p w14:paraId="7A840B0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Cross-border facilities.</w:t>
      </w:r>
    </w:p>
    <w:p w14:paraId="36A888A7" w14:textId="77777777" w:rsidR="0032251D" w:rsidRPr="0032251D" w:rsidRDefault="0032251D">
      <w:pPr>
        <w:numPr>
          <w:ilvl w:val="0"/>
          <w:numId w:val="1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Standing dollar swap lines</w:t>
      </w:r>
      <w:r w:rsidRPr="0032251D">
        <w:rPr>
          <w:rFonts w:ascii="Aptos" w:eastAsia="Times New Roman" w:hAnsi="Aptos" w:cs="Times New Roman"/>
          <w:kern w:val="0"/>
          <w:sz w:val="22"/>
          <w:szCs w:val="22"/>
          <w:lang w:eastAsia="en-GB"/>
          <w14:ligatures w14:val="none"/>
        </w:rPr>
        <w:t>: Fed-ECB, Fed-BoE, Fed-BoJ, Fed-SNB, Fed-BoC — the C6 currency arrangement made permanent in 2013.</w:t>
      </w:r>
    </w:p>
    <w:p w14:paraId="7A8F3878" w14:textId="77777777" w:rsidR="0032251D" w:rsidRPr="0032251D" w:rsidRDefault="0032251D">
      <w:pPr>
        <w:numPr>
          <w:ilvl w:val="0"/>
          <w:numId w:val="1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Temporary swap lines</w:t>
      </w:r>
      <w:r w:rsidRPr="0032251D">
        <w:rPr>
          <w:rFonts w:ascii="Aptos" w:eastAsia="Times New Roman" w:hAnsi="Aptos" w:cs="Times New Roman"/>
          <w:kern w:val="0"/>
          <w:sz w:val="22"/>
          <w:szCs w:val="22"/>
          <w:lang w:eastAsia="en-GB"/>
          <w14:ligatures w14:val="none"/>
        </w:rPr>
        <w:t>: extended to selected EMs during 2008 (Brazil, Mexico, Korea, Singapore) and 2020 (similar list plus more).</w:t>
      </w:r>
    </w:p>
    <w:p w14:paraId="63765093" w14:textId="77777777" w:rsidR="0032251D" w:rsidRPr="0032251D" w:rsidRDefault="0032251D">
      <w:pPr>
        <w:numPr>
          <w:ilvl w:val="0"/>
          <w:numId w:val="1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FIMA repo facility</w:t>
      </w:r>
      <w:r w:rsidRPr="0032251D">
        <w:rPr>
          <w:rFonts w:ascii="Aptos" w:eastAsia="Times New Roman" w:hAnsi="Aptos" w:cs="Times New Roman"/>
          <w:kern w:val="0"/>
          <w:sz w:val="22"/>
          <w:szCs w:val="22"/>
          <w:lang w:eastAsia="en-GB"/>
          <w14:ligatures w14:val="none"/>
        </w:rPr>
        <w:t xml:space="preserve"> (Fed, 2020): allows any CB holding US Treasuries to obtain dollars by </w:t>
      </w:r>
      <w:proofErr w:type="spellStart"/>
      <w:r w:rsidRPr="0032251D">
        <w:rPr>
          <w:rFonts w:ascii="Aptos" w:eastAsia="Times New Roman" w:hAnsi="Aptos" w:cs="Times New Roman"/>
          <w:kern w:val="0"/>
          <w:sz w:val="22"/>
          <w:szCs w:val="22"/>
          <w:lang w:eastAsia="en-GB"/>
          <w14:ligatures w14:val="none"/>
        </w:rPr>
        <w:t>repoing</w:t>
      </w:r>
      <w:proofErr w:type="spellEnd"/>
      <w:r w:rsidRPr="0032251D">
        <w:rPr>
          <w:rFonts w:ascii="Aptos" w:eastAsia="Times New Roman" w:hAnsi="Aptos" w:cs="Times New Roman"/>
          <w:kern w:val="0"/>
          <w:sz w:val="22"/>
          <w:szCs w:val="22"/>
          <w:lang w:eastAsia="en-GB"/>
          <w14:ligatures w14:val="none"/>
        </w:rPr>
        <w:t xml:space="preserve"> them, with less political gating than swap lines.</w:t>
      </w:r>
    </w:p>
    <w:p w14:paraId="4CFDF057" w14:textId="77777777" w:rsidR="0032251D" w:rsidRPr="0032251D" w:rsidRDefault="0032251D">
      <w:pPr>
        <w:numPr>
          <w:ilvl w:val="0"/>
          <w:numId w:val="1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Regional arrangements</w:t>
      </w:r>
      <w:r w:rsidRPr="0032251D">
        <w:rPr>
          <w:rFonts w:ascii="Aptos" w:eastAsia="Times New Roman" w:hAnsi="Aptos" w:cs="Times New Roman"/>
          <w:kern w:val="0"/>
          <w:sz w:val="22"/>
          <w:szCs w:val="22"/>
          <w:lang w:eastAsia="en-GB"/>
          <w14:ligatures w14:val="none"/>
        </w:rPr>
        <w:t>: Chiang Mai Initiative in Asia, BIS-coordinated facilities.</w:t>
      </w:r>
    </w:p>
    <w:p w14:paraId="44FA2AB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Key parameters: </w:t>
      </w:r>
      <w:r w:rsidRPr="0032251D">
        <w:rPr>
          <w:rFonts w:ascii="Aptos" w:eastAsia="Times New Roman" w:hAnsi="Aptos" w:cs="Times New Roman"/>
          <w:i/>
          <w:iCs/>
          <w:kern w:val="0"/>
          <w:sz w:val="22"/>
          <w:szCs w:val="22"/>
          <w:lang w:eastAsia="en-GB"/>
          <w14:ligatures w14:val="none"/>
        </w:rPr>
        <w:t>rate</w:t>
      </w:r>
      <w:r w:rsidRPr="0032251D">
        <w:rPr>
          <w:rFonts w:ascii="Aptos" w:eastAsia="Times New Roman" w:hAnsi="Aptos" w:cs="Times New Roman"/>
          <w:kern w:val="0"/>
          <w:sz w:val="22"/>
          <w:szCs w:val="22"/>
          <w:lang w:eastAsia="en-GB"/>
          <w14:ligatures w14:val="none"/>
        </w:rPr>
        <w:t xml:space="preserve"> (penalty over policy or near-policy); </w:t>
      </w:r>
      <w:r w:rsidRPr="0032251D">
        <w:rPr>
          <w:rFonts w:ascii="Aptos" w:eastAsia="Times New Roman" w:hAnsi="Aptos" w:cs="Times New Roman"/>
          <w:i/>
          <w:iCs/>
          <w:kern w:val="0"/>
          <w:sz w:val="22"/>
          <w:szCs w:val="22"/>
          <w:lang w:eastAsia="en-GB"/>
          <w14:ligatures w14:val="none"/>
        </w:rPr>
        <w:t>collateral</w:t>
      </w:r>
      <w:r w:rsidRPr="0032251D">
        <w:rPr>
          <w:rFonts w:ascii="Aptos" w:eastAsia="Times New Roman" w:hAnsi="Aptos" w:cs="Times New Roman"/>
          <w:kern w:val="0"/>
          <w:sz w:val="22"/>
          <w:szCs w:val="22"/>
          <w:lang w:eastAsia="en-GB"/>
          <w14:ligatures w14:val="none"/>
        </w:rPr>
        <w:t xml:space="preserve"> (Treasuries only, broader, or asset-specific); </w:t>
      </w:r>
      <w:r w:rsidRPr="0032251D">
        <w:rPr>
          <w:rFonts w:ascii="Aptos" w:eastAsia="Times New Roman" w:hAnsi="Aptos" w:cs="Times New Roman"/>
          <w:i/>
          <w:iCs/>
          <w:kern w:val="0"/>
          <w:sz w:val="22"/>
          <w:szCs w:val="22"/>
          <w:lang w:eastAsia="en-GB"/>
          <w14:ligatures w14:val="none"/>
        </w:rPr>
        <w:t>counterparty</w:t>
      </w:r>
      <w:r w:rsidRPr="0032251D">
        <w:rPr>
          <w:rFonts w:ascii="Aptos" w:eastAsia="Times New Roman" w:hAnsi="Aptos" w:cs="Times New Roman"/>
          <w:kern w:val="0"/>
          <w:sz w:val="22"/>
          <w:szCs w:val="22"/>
          <w:lang w:eastAsia="en-GB"/>
          <w14:ligatures w14:val="none"/>
        </w:rPr>
        <w:t xml:space="preserve"> (banks, dealers, non-bank financials); </w:t>
      </w:r>
      <w:r w:rsidRPr="0032251D">
        <w:rPr>
          <w:rFonts w:ascii="Aptos" w:eastAsia="Times New Roman" w:hAnsi="Aptos" w:cs="Times New Roman"/>
          <w:i/>
          <w:iCs/>
          <w:kern w:val="0"/>
          <w:sz w:val="22"/>
          <w:szCs w:val="22"/>
          <w:lang w:eastAsia="en-GB"/>
          <w14:ligatures w14:val="none"/>
        </w:rPr>
        <w:t>term</w:t>
      </w:r>
      <w:r w:rsidRPr="0032251D">
        <w:rPr>
          <w:rFonts w:ascii="Aptos" w:eastAsia="Times New Roman" w:hAnsi="Aptos" w:cs="Times New Roman"/>
          <w:kern w:val="0"/>
          <w:sz w:val="22"/>
          <w:szCs w:val="22"/>
          <w:lang w:eastAsia="en-GB"/>
          <w14:ligatures w14:val="none"/>
        </w:rPr>
        <w:t xml:space="preserve"> (overnight, one week, three months); </w:t>
      </w:r>
      <w:r w:rsidRPr="0032251D">
        <w:rPr>
          <w:rFonts w:ascii="Aptos" w:eastAsia="Times New Roman" w:hAnsi="Aptos" w:cs="Times New Roman"/>
          <w:i/>
          <w:iCs/>
          <w:kern w:val="0"/>
          <w:sz w:val="22"/>
          <w:szCs w:val="22"/>
          <w:lang w:eastAsia="en-GB"/>
          <w14:ligatures w14:val="none"/>
        </w:rPr>
        <w:t>caps</w:t>
      </w:r>
      <w:r w:rsidRPr="0032251D">
        <w:rPr>
          <w:rFonts w:ascii="Aptos" w:eastAsia="Times New Roman" w:hAnsi="Aptos" w:cs="Times New Roman"/>
          <w:kern w:val="0"/>
          <w:sz w:val="22"/>
          <w:szCs w:val="22"/>
          <w:lang w:eastAsia="en-GB"/>
          <w14:ligatures w14:val="none"/>
        </w:rPr>
        <w:t xml:space="preserve"> (aggregate or per-counterparty); </w:t>
      </w:r>
      <w:r w:rsidRPr="0032251D">
        <w:rPr>
          <w:rFonts w:ascii="Aptos" w:eastAsia="Times New Roman" w:hAnsi="Aptos" w:cs="Times New Roman"/>
          <w:i/>
          <w:iCs/>
          <w:kern w:val="0"/>
          <w:sz w:val="22"/>
          <w:szCs w:val="22"/>
          <w:lang w:eastAsia="en-GB"/>
          <w14:ligatures w14:val="none"/>
        </w:rPr>
        <w:t>pricing mechanism</w:t>
      </w:r>
      <w:r w:rsidRPr="0032251D">
        <w:rPr>
          <w:rFonts w:ascii="Aptos" w:eastAsia="Times New Roman" w:hAnsi="Aptos" w:cs="Times New Roman"/>
          <w:kern w:val="0"/>
          <w:sz w:val="22"/>
          <w:szCs w:val="22"/>
          <w:lang w:eastAsia="en-GB"/>
          <w14:ligatures w14:val="none"/>
        </w:rPr>
        <w:t xml:space="preserve"> (auction vs fixed).</w:t>
      </w:r>
    </w:p>
    <w:p w14:paraId="4C46C5D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Two important contrasts: </w:t>
      </w:r>
      <w:r w:rsidRPr="0032251D">
        <w:rPr>
          <w:rFonts w:ascii="Aptos" w:eastAsia="Times New Roman" w:hAnsi="Aptos" w:cs="Times New Roman"/>
          <w:i/>
          <w:iCs/>
          <w:kern w:val="0"/>
          <w:sz w:val="22"/>
          <w:szCs w:val="22"/>
          <w:lang w:eastAsia="en-GB"/>
          <w14:ligatures w14:val="none"/>
        </w:rPr>
        <w:t>pre-positioned vs created-in-crisis</w:t>
      </w:r>
      <w:r w:rsidRPr="0032251D">
        <w:rPr>
          <w:rFonts w:ascii="Aptos" w:eastAsia="Times New Roman" w:hAnsi="Aptos" w:cs="Times New Roman"/>
          <w:kern w:val="0"/>
          <w:sz w:val="22"/>
          <w:szCs w:val="22"/>
          <w:lang w:eastAsia="en-GB"/>
          <w14:ligatures w14:val="none"/>
        </w:rPr>
        <w:t xml:space="preserve"> (SRF and BTFP are pre-positioned to avoid operational lag, the 2008 facilities required emergency standup); and </w:t>
      </w:r>
      <w:r w:rsidRPr="0032251D">
        <w:rPr>
          <w:rFonts w:ascii="Aptos" w:eastAsia="Times New Roman" w:hAnsi="Aptos" w:cs="Times New Roman"/>
          <w:i/>
          <w:iCs/>
          <w:kern w:val="0"/>
          <w:sz w:val="22"/>
          <w:szCs w:val="22"/>
          <w:lang w:eastAsia="en-GB"/>
          <w14:ligatures w14:val="none"/>
        </w:rPr>
        <w:t>Bagehot vs broader</w:t>
      </w:r>
      <w:r w:rsidRPr="0032251D">
        <w:rPr>
          <w:rFonts w:ascii="Aptos" w:eastAsia="Times New Roman" w:hAnsi="Aptos" w:cs="Times New Roman"/>
          <w:kern w:val="0"/>
          <w:sz w:val="22"/>
          <w:szCs w:val="22"/>
          <w:lang w:eastAsia="en-GB"/>
          <w14:ligatures w14:val="none"/>
        </w:rPr>
        <w:t xml:space="preserve"> (BTFP at par-value collateral is a meaningful departure from the original framework).</w:t>
      </w:r>
    </w:p>
    <w:p w14:paraId="52219F61"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5CFD4E3E">
          <v:rect id="_x0000_i1060" alt="" style="width:451.3pt;height:.05pt;mso-width-percent:0;mso-height-percent:0;mso-width-percent:0;mso-height-percent:0" o:hralign="center" o:hrstd="t" o:hr="t" fillcolor="#a0a0a0" stroked="f"/>
        </w:pict>
      </w:r>
    </w:p>
    <w:p w14:paraId="6EEC1BE2"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Why this matters for asset prices</w:t>
      </w:r>
    </w:p>
    <w:p w14:paraId="72F6B08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Liquidity facilities affect asset prices through six channels.</w:t>
      </w:r>
    </w:p>
    <w:p w14:paraId="7CDEF572"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Funding spread compression.</w:t>
      </w:r>
      <w:r w:rsidRPr="0032251D">
        <w:rPr>
          <w:rFonts w:ascii="Aptos" w:eastAsia="Times New Roman" w:hAnsi="Aptos" w:cs="Times New Roman"/>
          <w:kern w:val="0"/>
          <w:sz w:val="22"/>
          <w:szCs w:val="22"/>
          <w:lang w:eastAsia="en-GB"/>
          <w14:ligatures w14:val="none"/>
        </w:rPr>
        <w:t xml:space="preserve"> When facility access is available, banks and dealers can fund at the facility rate rather than the stressed market rate. This compresses bank funding spreads in commercial paper, CDs, and repo basis.</w:t>
      </w:r>
    </w:p>
    <w:p w14:paraId="107AFE7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Liquidity premium compression.</w:t>
      </w:r>
      <w:r w:rsidRPr="0032251D">
        <w:rPr>
          <w:rFonts w:ascii="Aptos" w:eastAsia="Times New Roman" w:hAnsi="Aptos" w:cs="Times New Roman"/>
          <w:kern w:val="0"/>
          <w:sz w:val="22"/>
          <w:szCs w:val="22"/>
          <w:lang w:eastAsia="en-GB"/>
          <w14:ligatures w14:val="none"/>
        </w:rPr>
        <w:t xml:space="preserve"> Convenience yield (Krishnamurthy-Vissing-Jorgensen) is compressed because the facility effectively guarantees convertibility of safe assets into cash. This narrows the spread between cash and safe-asset yields and dampens the safe-asset liquidity premium.</w:t>
      </w:r>
    </w:p>
    <w:p w14:paraId="5981E6C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Cross-currency basis.</w:t>
      </w:r>
      <w:r w:rsidRPr="0032251D">
        <w:rPr>
          <w:rFonts w:ascii="Aptos" w:eastAsia="Times New Roman" w:hAnsi="Aptos" w:cs="Times New Roman"/>
          <w:kern w:val="0"/>
          <w:sz w:val="22"/>
          <w:szCs w:val="22"/>
          <w:lang w:eastAsia="en-GB"/>
          <w14:ligatures w14:val="none"/>
        </w:rPr>
        <w:t xml:space="preserve"> FX swap lines compress the CIP basis. Without swap lines, non-US banks pay a premium to access dollars; with swap lines, the basis compresses toward zero. The 2008 and 2020 episodes showed both — basis explosions before swap lines and compression after activation.</w:t>
      </w:r>
    </w:p>
    <w:p w14:paraId="677FA40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Crisis-asset spreads.</w:t>
      </w:r>
      <w:r w:rsidRPr="0032251D">
        <w:rPr>
          <w:rFonts w:ascii="Aptos" w:eastAsia="Times New Roman" w:hAnsi="Aptos" w:cs="Times New Roman"/>
          <w:kern w:val="0"/>
          <w:sz w:val="22"/>
          <w:szCs w:val="22"/>
          <w:lang w:eastAsia="en-GB"/>
          <w14:ligatures w14:val="none"/>
        </w:rPr>
        <w:t xml:space="preserve"> Targeted facilities (CPFF, TALF, BTFP) compress the spread on the specific asset class supported. The mechanism is mechanical — the facility creates a buyer (or lender) of last resort for that asset.</w:t>
      </w:r>
    </w:p>
    <w:p w14:paraId="26C3A54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Tail risk pricing.</w:t>
      </w:r>
      <w:r w:rsidRPr="0032251D">
        <w:rPr>
          <w:rFonts w:ascii="Aptos" w:eastAsia="Times New Roman" w:hAnsi="Aptos" w:cs="Times New Roman"/>
          <w:kern w:val="0"/>
          <w:sz w:val="22"/>
          <w:szCs w:val="22"/>
          <w:lang w:eastAsia="en-GB"/>
          <w14:ligatures w14:val="none"/>
        </w:rPr>
        <w:t xml:space="preserve"> Even when not used, the </w:t>
      </w:r>
      <w:r w:rsidRPr="0032251D">
        <w:rPr>
          <w:rFonts w:ascii="Aptos" w:eastAsia="Times New Roman" w:hAnsi="Aptos" w:cs="Times New Roman"/>
          <w:i/>
          <w:iCs/>
          <w:kern w:val="0"/>
          <w:sz w:val="22"/>
          <w:szCs w:val="22"/>
          <w:lang w:eastAsia="en-GB"/>
          <w14:ligatures w14:val="none"/>
        </w:rPr>
        <w:t>availability</w:t>
      </w:r>
      <w:r w:rsidRPr="0032251D">
        <w:rPr>
          <w:rFonts w:ascii="Aptos" w:eastAsia="Times New Roman" w:hAnsi="Aptos" w:cs="Times New Roman"/>
          <w:kern w:val="0"/>
          <w:sz w:val="22"/>
          <w:szCs w:val="22"/>
          <w:lang w:eastAsia="en-GB"/>
          <w14:ligatures w14:val="none"/>
        </w:rPr>
        <w:t xml:space="preserve"> of credible facilities compresses crisis tail risk pricing. The SRF, although rarely drawn, has plausibly reduced repo-spike risk just by existing.</w:t>
      </w:r>
    </w:p>
    <w:p w14:paraId="3AA8C31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Bank equity valuations.</w:t>
      </w:r>
      <w:r w:rsidRPr="0032251D">
        <w:rPr>
          <w:rFonts w:ascii="Aptos" w:eastAsia="Times New Roman" w:hAnsi="Aptos" w:cs="Times New Roman"/>
          <w:kern w:val="0"/>
          <w:sz w:val="22"/>
          <w:szCs w:val="22"/>
          <w:lang w:eastAsia="en-GB"/>
          <w14:ligatures w14:val="none"/>
        </w:rPr>
        <w:t xml:space="preserve"> Emergency facility access supports bank equity prices during stress. BTFP announcement in March 2023 visibly supported regional bank stocks.</w:t>
      </w:r>
    </w:p>
    <w:p w14:paraId="77509CC5"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For investment managers three practitioner points dominate. First, facilities create a </w:t>
      </w:r>
      <w:r w:rsidRPr="0032251D">
        <w:rPr>
          <w:rFonts w:ascii="Aptos" w:eastAsia="Times New Roman" w:hAnsi="Aptos" w:cs="Times New Roman"/>
          <w:i/>
          <w:iCs/>
          <w:kern w:val="0"/>
          <w:sz w:val="22"/>
          <w:szCs w:val="22"/>
          <w:lang w:eastAsia="en-GB"/>
          <w14:ligatures w14:val="none"/>
        </w:rPr>
        <w:t>put option</w:t>
      </w:r>
      <w:r w:rsidRPr="0032251D">
        <w:rPr>
          <w:rFonts w:ascii="Aptos" w:eastAsia="Times New Roman" w:hAnsi="Aptos" w:cs="Times New Roman"/>
          <w:kern w:val="0"/>
          <w:sz w:val="22"/>
          <w:szCs w:val="22"/>
          <w:lang w:eastAsia="en-GB"/>
          <w14:ligatures w14:val="none"/>
        </w:rPr>
        <w:t xml:space="preserve"> on stress — markets price the option even when it is not exercised, which compresses risk premia in normal times. This itself can encourage leverage and risk-taking, so the facility's existence shapes the pre-crisis environment as much as the crisis response. Second, swap line take-up by non-US central banks is a clean read on global dollar funding stress, often leading other stress indicators. Third, </w:t>
      </w:r>
      <w:r w:rsidRPr="0032251D">
        <w:rPr>
          <w:rFonts w:ascii="Aptos" w:eastAsia="Times New Roman" w:hAnsi="Aptos" w:cs="Times New Roman"/>
          <w:i/>
          <w:iCs/>
          <w:kern w:val="0"/>
          <w:sz w:val="22"/>
          <w:szCs w:val="22"/>
          <w:lang w:eastAsia="en-GB"/>
          <w14:ligatures w14:val="none"/>
        </w:rPr>
        <w:t>stigma effects</w:t>
      </w:r>
      <w:r w:rsidRPr="0032251D">
        <w:rPr>
          <w:rFonts w:ascii="Aptos" w:eastAsia="Times New Roman" w:hAnsi="Aptos" w:cs="Times New Roman"/>
          <w:kern w:val="0"/>
          <w:sz w:val="22"/>
          <w:szCs w:val="22"/>
          <w:lang w:eastAsia="en-GB"/>
          <w14:ligatures w14:val="none"/>
        </w:rPr>
        <w:t xml:space="preserve"> are real and predictable — voluntary facilities (discount window) are systematically under-used because borrowers fear reputational signal. The TAF design innovation (anonymous auctions) was specifically to overcome this; the empirical stigma premium ran 30-50bp through 2007-2008.</w:t>
      </w:r>
    </w:p>
    <w:p w14:paraId="6A9B2ED8"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49A4AF89">
          <v:rect id="_x0000_i1061" alt="" style="width:451.3pt;height:.05pt;mso-width-percent:0;mso-height-percent:0;mso-width-percent:0;mso-height-percent:0" o:hralign="center" o:hrstd="t" o:hr="t" fillcolor="#a0a0a0" stroked="f"/>
        </w:pict>
      </w:r>
    </w:p>
    <w:p w14:paraId="5E61094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Regime and EM variation</w:t>
      </w:r>
    </w:p>
    <w:p w14:paraId="4BADEFD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DM panel.</w:t>
      </w:r>
      <w:r w:rsidRPr="0032251D">
        <w:rPr>
          <w:rFonts w:ascii="Aptos" w:eastAsia="Times New Roman" w:hAnsi="Aptos" w:cs="Times New Roman"/>
          <w:kern w:val="0"/>
          <w:sz w:val="22"/>
          <w:szCs w:val="22"/>
          <w:lang w:eastAsia="en-GB"/>
          <w14:ligatures w14:val="none"/>
        </w:rPr>
        <w:t xml:space="preserve"> Full LOLR toolkits, repeatedly deployed.</w:t>
      </w:r>
    </w:p>
    <w:p w14:paraId="6AD5E48A" w14:textId="77777777" w:rsidR="0032251D" w:rsidRPr="0032251D" w:rsidRDefault="0032251D">
      <w:pPr>
        <w:numPr>
          <w:ilvl w:val="0"/>
          <w:numId w:val="1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Fed</w:t>
      </w:r>
      <w:r w:rsidRPr="0032251D">
        <w:rPr>
          <w:rFonts w:ascii="Aptos" w:eastAsia="Times New Roman" w:hAnsi="Aptos" w:cs="Times New Roman"/>
          <w:kern w:val="0"/>
          <w:sz w:val="22"/>
          <w:szCs w:val="22"/>
          <w:lang w:eastAsia="en-GB"/>
          <w14:ligatures w14:val="none"/>
        </w:rPr>
        <w:t>: standing facilities (discount window, SRF) plus crisis facilities created on demand (2008, 2020, 2023). The most comprehensive toolkit globally.</w:t>
      </w:r>
    </w:p>
    <w:p w14:paraId="2AAD6424" w14:textId="77777777" w:rsidR="0032251D" w:rsidRPr="0032251D" w:rsidRDefault="0032251D">
      <w:pPr>
        <w:numPr>
          <w:ilvl w:val="0"/>
          <w:numId w:val="1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ECB</w:t>
      </w:r>
      <w:r w:rsidRPr="0032251D">
        <w:rPr>
          <w:rFonts w:ascii="Aptos" w:eastAsia="Times New Roman" w:hAnsi="Aptos" w:cs="Times New Roman"/>
          <w:kern w:val="0"/>
          <w:sz w:val="22"/>
          <w:szCs w:val="22"/>
          <w:lang w:eastAsia="en-GB"/>
          <w14:ligatures w14:val="none"/>
        </w:rPr>
        <w:t>: TLTRO has both LOLR and monetary policy dimensions; marginal lending facility; crisis facilities through OMT and PEPP.</w:t>
      </w:r>
    </w:p>
    <w:p w14:paraId="58E78308" w14:textId="77777777" w:rsidR="0032251D" w:rsidRPr="0032251D" w:rsidRDefault="0032251D">
      <w:pPr>
        <w:numPr>
          <w:ilvl w:val="0"/>
          <w:numId w:val="1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BoE</w:t>
      </w:r>
      <w:r w:rsidRPr="0032251D">
        <w:rPr>
          <w:rFonts w:ascii="Aptos" w:eastAsia="Times New Roman" w:hAnsi="Aptos" w:cs="Times New Roman"/>
          <w:kern w:val="0"/>
          <w:sz w:val="22"/>
          <w:szCs w:val="22"/>
          <w:lang w:eastAsia="en-GB"/>
          <w14:ligatures w14:val="none"/>
        </w:rPr>
        <w:t>: Sterling Monetary Framework with discount window, indexed long-term repo, and crisis facilities.</w:t>
      </w:r>
    </w:p>
    <w:p w14:paraId="449AAE76" w14:textId="77777777" w:rsidR="0032251D" w:rsidRPr="0032251D" w:rsidRDefault="0032251D">
      <w:pPr>
        <w:numPr>
          <w:ilvl w:val="0"/>
          <w:numId w:val="1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BoJ</w:t>
      </w:r>
      <w:r w:rsidRPr="0032251D">
        <w:rPr>
          <w:rFonts w:ascii="Aptos" w:eastAsia="Times New Roman" w:hAnsi="Aptos" w:cs="Times New Roman"/>
          <w:kern w:val="0"/>
          <w:sz w:val="22"/>
          <w:szCs w:val="22"/>
          <w:lang w:eastAsia="en-GB"/>
          <w14:ligatures w14:val="none"/>
        </w:rPr>
        <w:t>: long history of facility innovation; complementary deposit facility.</w:t>
      </w:r>
    </w:p>
    <w:p w14:paraId="7D23B590" w14:textId="77777777" w:rsidR="0032251D" w:rsidRPr="0032251D" w:rsidRDefault="0032251D">
      <w:pPr>
        <w:numPr>
          <w:ilvl w:val="0"/>
          <w:numId w:val="1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SNB</w:t>
      </w:r>
      <w:r w:rsidRPr="0032251D">
        <w:rPr>
          <w:rFonts w:ascii="Aptos" w:eastAsia="Times New Roman" w:hAnsi="Aptos" w:cs="Times New Roman"/>
          <w:kern w:val="0"/>
          <w:sz w:val="22"/>
          <w:szCs w:val="22"/>
          <w:lang w:eastAsia="en-GB"/>
          <w14:ligatures w14:val="none"/>
        </w:rPr>
        <w:t>: actively used during 2008 (USD facility) and during the 2011-2015 EUR/CHF floor period.</w:t>
      </w:r>
    </w:p>
    <w:p w14:paraId="5DF9473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EM panel.</w:t>
      </w:r>
      <w:r w:rsidRPr="0032251D">
        <w:rPr>
          <w:rFonts w:ascii="Aptos" w:eastAsia="Times New Roman" w:hAnsi="Aptos" w:cs="Times New Roman"/>
          <w:kern w:val="0"/>
          <w:sz w:val="22"/>
          <w:szCs w:val="22"/>
          <w:lang w:eastAsia="en-GB"/>
          <w14:ligatures w14:val="none"/>
        </w:rPr>
        <w:t xml:space="preserve"> Significantly more constrained LOLR architecture.</w:t>
      </w:r>
    </w:p>
    <w:p w14:paraId="3F2D7354" w14:textId="77777777" w:rsidR="0032251D" w:rsidRPr="0032251D" w:rsidRDefault="0032251D">
      <w:pPr>
        <w:numPr>
          <w:ilvl w:val="0"/>
          <w:numId w:val="1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Limited domestic LOLR capacity</w:t>
      </w:r>
      <w:r w:rsidRPr="0032251D">
        <w:rPr>
          <w:rFonts w:ascii="Aptos" w:eastAsia="Times New Roman" w:hAnsi="Aptos" w:cs="Times New Roman"/>
          <w:kern w:val="0"/>
          <w:sz w:val="22"/>
          <w:szCs w:val="22"/>
          <w:lang w:eastAsia="en-GB"/>
          <w14:ligatures w14:val="none"/>
        </w:rPr>
        <w:t xml:space="preserve"> due to smaller balance sheets, capital concerns, and FX constraints.</w:t>
      </w:r>
    </w:p>
    <w:p w14:paraId="4DAE2466" w14:textId="77777777" w:rsidR="0032251D" w:rsidRPr="0032251D" w:rsidRDefault="0032251D">
      <w:pPr>
        <w:numPr>
          <w:ilvl w:val="0"/>
          <w:numId w:val="1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Heavy reliance on external access</w:t>
      </w:r>
      <w:r w:rsidRPr="0032251D">
        <w:rPr>
          <w:rFonts w:ascii="Aptos" w:eastAsia="Times New Roman" w:hAnsi="Aptos" w:cs="Times New Roman"/>
          <w:kern w:val="0"/>
          <w:sz w:val="22"/>
          <w:szCs w:val="22"/>
          <w:lang w:eastAsia="en-GB"/>
          <w14:ligatures w14:val="none"/>
        </w:rPr>
        <w:t>: Fed swap lines (politically gated), FIMA repo facility (less gated), IMF arrangements (FCL, PLL) as international LOLR for sovereigns.</w:t>
      </w:r>
    </w:p>
    <w:p w14:paraId="2CB73074" w14:textId="77777777" w:rsidR="0032251D" w:rsidRPr="0032251D" w:rsidRDefault="0032251D">
      <w:pPr>
        <w:numPr>
          <w:ilvl w:val="0"/>
          <w:numId w:val="1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Brazil and Mexico</w:t>
      </w:r>
      <w:r w:rsidRPr="0032251D">
        <w:rPr>
          <w:rFonts w:ascii="Aptos" w:eastAsia="Times New Roman" w:hAnsi="Aptos" w:cs="Times New Roman"/>
          <w:kern w:val="0"/>
          <w:sz w:val="22"/>
          <w:szCs w:val="22"/>
          <w:lang w:eastAsia="en-GB"/>
          <w14:ligatures w14:val="none"/>
        </w:rPr>
        <w:t>: among the small set of EMs to receive Fed swap lines in both 2008 and 2020.</w:t>
      </w:r>
    </w:p>
    <w:p w14:paraId="0ACA8BFD" w14:textId="77777777" w:rsidR="0032251D" w:rsidRPr="0032251D" w:rsidRDefault="0032251D">
      <w:pPr>
        <w:numPr>
          <w:ilvl w:val="0"/>
          <w:numId w:val="1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Selective swap line access</w:t>
      </w:r>
      <w:r w:rsidRPr="0032251D">
        <w:rPr>
          <w:rFonts w:ascii="Aptos" w:eastAsia="Times New Roman" w:hAnsi="Aptos" w:cs="Times New Roman"/>
          <w:kern w:val="0"/>
          <w:sz w:val="22"/>
          <w:szCs w:val="22"/>
          <w:lang w:eastAsia="en-GB"/>
          <w14:ligatures w14:val="none"/>
        </w:rPr>
        <w:t xml:space="preserve"> is a structural risk factor — the political economy of who gets dollar access in a crisis tracks geopolitical alignment more than narrow technical criteria.</w:t>
      </w:r>
    </w:p>
    <w:p w14:paraId="17692515"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SA specifically.</w:t>
      </w:r>
      <w:r w:rsidRPr="0032251D">
        <w:rPr>
          <w:rFonts w:ascii="Aptos" w:eastAsia="Times New Roman" w:hAnsi="Aptos" w:cs="Times New Roman"/>
          <w:kern w:val="0"/>
          <w:sz w:val="22"/>
          <w:szCs w:val="22"/>
          <w:lang w:eastAsia="en-GB"/>
          <w14:ligatures w14:val="none"/>
        </w:rPr>
        <w:t xml:space="preserve"> SARB has standing facilities for banks (the standing repo facility), but SA did </w:t>
      </w:r>
      <w:r w:rsidRPr="0032251D">
        <w:rPr>
          <w:rFonts w:ascii="Aptos" w:eastAsia="Times New Roman" w:hAnsi="Aptos" w:cs="Times New Roman"/>
          <w:i/>
          <w:iCs/>
          <w:kern w:val="0"/>
          <w:sz w:val="22"/>
          <w:szCs w:val="22"/>
          <w:lang w:eastAsia="en-GB"/>
          <w14:ligatures w14:val="none"/>
        </w:rPr>
        <w:t>not</w:t>
      </w:r>
      <w:r w:rsidRPr="0032251D">
        <w:rPr>
          <w:rFonts w:ascii="Aptos" w:eastAsia="Times New Roman" w:hAnsi="Aptos" w:cs="Times New Roman"/>
          <w:kern w:val="0"/>
          <w:sz w:val="22"/>
          <w:szCs w:val="22"/>
          <w:lang w:eastAsia="en-GB"/>
          <w14:ligatures w14:val="none"/>
        </w:rPr>
        <w:t xml:space="preserve"> receive a Fed swap line in either 2008 or 2020. Among Latin EMs only Brazil and Mexico received 2020 swap lines; among Asian EMs only Korea and Singapore. SA was not on the list. SARB's COVID-19 response included some domestic liquidity support but no major facility innovation. The exclusion from external dollar access is a real structural constraint — SA depends on FIMA repo or IMF facilities rather than swap lines, with different speed and political characteristics.</w:t>
      </w:r>
    </w:p>
    <w:p w14:paraId="37C044A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For the framework: L3f is asymmetrically </w:t>
      </w:r>
      <w:r w:rsidRPr="0032251D">
        <w:rPr>
          <w:rFonts w:ascii="Aptos" w:eastAsia="Times New Roman" w:hAnsi="Aptos" w:cs="Times New Roman"/>
          <w:i/>
          <w:iCs/>
          <w:kern w:val="0"/>
          <w:sz w:val="22"/>
          <w:szCs w:val="22"/>
          <w:lang w:eastAsia="en-GB"/>
          <w14:ligatures w14:val="none"/>
        </w:rPr>
        <w:t>unavailable</w:t>
      </w:r>
      <w:r w:rsidRPr="0032251D">
        <w:rPr>
          <w:rFonts w:ascii="Aptos" w:eastAsia="Times New Roman" w:hAnsi="Aptos" w:cs="Times New Roman"/>
          <w:kern w:val="0"/>
          <w:sz w:val="22"/>
          <w:szCs w:val="22"/>
          <w:lang w:eastAsia="en-GB"/>
          <w14:ligatures w14:val="none"/>
        </w:rPr>
        <w:t xml:space="preserve"> in much of the EM panel, which is itself an important regime feature. The instrument is theoretically there but operationally constrained.</w:t>
      </w:r>
    </w:p>
    <w:p w14:paraId="6615E8EB"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6F67A37F">
          <v:rect id="_x0000_i1062" alt="" style="width:451.3pt;height:.05pt;mso-width-percent:0;mso-height-percent:0;mso-width-percent:0;mso-height-percent:0" o:hralign="center" o:hrstd="t" o:hr="t" fillcolor="#a0a0a0" stroked="f"/>
        </w:pict>
      </w:r>
    </w:p>
    <w:p w14:paraId="7195790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Empirical pitfalls</w:t>
      </w:r>
    </w:p>
    <w:p w14:paraId="0E51E75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Utilisation vs availability.</w:t>
      </w:r>
      <w:r w:rsidRPr="0032251D">
        <w:rPr>
          <w:rFonts w:ascii="Aptos" w:eastAsia="Times New Roman" w:hAnsi="Aptos" w:cs="Times New Roman"/>
          <w:kern w:val="0"/>
          <w:sz w:val="22"/>
          <w:szCs w:val="22"/>
          <w:lang w:eastAsia="en-GB"/>
          <w14:ligatures w14:val="none"/>
        </w:rPr>
        <w:t xml:space="preserve"> Facilities can be effective without being used. The 2021 SRF has had minimal usage but plausibly compressed repo-spike risk. Estimating the effect of facility </w:t>
      </w:r>
      <w:r w:rsidRPr="0032251D">
        <w:rPr>
          <w:rFonts w:ascii="Aptos" w:eastAsia="Times New Roman" w:hAnsi="Aptos" w:cs="Times New Roman"/>
          <w:i/>
          <w:iCs/>
          <w:kern w:val="0"/>
          <w:sz w:val="22"/>
          <w:szCs w:val="22"/>
          <w:lang w:eastAsia="en-GB"/>
          <w14:ligatures w14:val="none"/>
        </w:rPr>
        <w:t>availability</w:t>
      </w:r>
      <w:r w:rsidRPr="0032251D">
        <w:rPr>
          <w:rFonts w:ascii="Aptos" w:eastAsia="Times New Roman" w:hAnsi="Aptos" w:cs="Times New Roman"/>
          <w:kern w:val="0"/>
          <w:sz w:val="22"/>
          <w:szCs w:val="22"/>
          <w:lang w:eastAsia="en-GB"/>
          <w14:ligatures w14:val="none"/>
        </w:rPr>
        <w:t xml:space="preserve"> (separate from utilisation) requires identifying the counterfactual — what would have happened without the facility.</w:t>
      </w:r>
    </w:p>
    <w:p w14:paraId="772441E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Stigma.</w:t>
      </w:r>
      <w:r w:rsidRPr="0032251D">
        <w:rPr>
          <w:rFonts w:ascii="Aptos" w:eastAsia="Times New Roman" w:hAnsi="Aptos" w:cs="Times New Roman"/>
          <w:kern w:val="0"/>
          <w:sz w:val="22"/>
          <w:szCs w:val="22"/>
          <w:lang w:eastAsia="en-GB"/>
          <w14:ligatures w14:val="none"/>
        </w:rPr>
        <w:t xml:space="preserve"> Voluntary facility access is stigmatised; banks avoid it even when they need it. So observed usage systematically understates need. The TAF in 2007 was designed specifically to overcome this through anonymous auctions. Empirically, identified stigma costs ran 30-50bp during 2007-2008.</w:t>
      </w:r>
    </w:p>
    <w:p w14:paraId="45002FB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Multiple objectives.</w:t>
      </w:r>
      <w:r w:rsidRPr="0032251D">
        <w:rPr>
          <w:rFonts w:ascii="Aptos" w:eastAsia="Times New Roman" w:hAnsi="Aptos" w:cs="Times New Roman"/>
          <w:kern w:val="0"/>
          <w:sz w:val="22"/>
          <w:szCs w:val="22"/>
          <w:lang w:eastAsia="en-GB"/>
          <w14:ligatures w14:val="none"/>
        </w:rPr>
        <w:t xml:space="preserve"> Some facilities serve monetary policy (TLTRO has stance dimensions), market functioning (SRF), and emergency stability (BTFP) simultaneously. Decomposing the contribution of each objective requires structural modelling rather than reduced-form attribution.</w:t>
      </w:r>
    </w:p>
    <w:p w14:paraId="3332D38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Identification of effects.</w:t>
      </w:r>
      <w:r w:rsidRPr="0032251D">
        <w:rPr>
          <w:rFonts w:ascii="Aptos" w:eastAsia="Times New Roman" w:hAnsi="Aptos" w:cs="Times New Roman"/>
          <w:kern w:val="0"/>
          <w:sz w:val="22"/>
          <w:szCs w:val="22"/>
          <w:lang w:eastAsia="en-GB"/>
          <w14:ligatures w14:val="none"/>
        </w:rPr>
        <w:t xml:space="preserve"> Facilities are deployed in response to stress. Was the stress moderation caused by the facility, or would it have happened anyway? Standard counterfactual problem; event studies around announcement are the cleanest empirical approach.</w:t>
      </w:r>
    </w:p>
    <w:p w14:paraId="3FE8977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Cross-border reporting.</w:t>
      </w:r>
      <w:r w:rsidRPr="0032251D">
        <w:rPr>
          <w:rFonts w:ascii="Aptos" w:eastAsia="Times New Roman" w:hAnsi="Aptos" w:cs="Times New Roman"/>
          <w:kern w:val="0"/>
          <w:sz w:val="22"/>
          <w:szCs w:val="22"/>
          <w:lang w:eastAsia="en-GB"/>
          <w14:ligatures w14:val="none"/>
        </w:rPr>
        <w:t xml:space="preserve"> FX swap line usage by non-US central banks is reported with lags and limited detail. True dollar funding stress is partially observed in real time.</w:t>
      </w:r>
    </w:p>
    <w:p w14:paraId="5906778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Off-balance-sheet aspects.</w:t>
      </w:r>
      <w:r w:rsidRPr="0032251D">
        <w:rPr>
          <w:rFonts w:ascii="Aptos" w:eastAsia="Times New Roman" w:hAnsi="Aptos" w:cs="Times New Roman"/>
          <w:kern w:val="0"/>
          <w:sz w:val="22"/>
          <w:szCs w:val="22"/>
          <w:lang w:eastAsia="en-GB"/>
          <w14:ligatures w14:val="none"/>
        </w:rPr>
        <w:t xml:space="preserve"> Some facilities (BTFP) accept collateral at par rather than market value, creating implicit subsidies that do not appear in headline cost-of-funds calculations. Effective subsidy measurement requires comparing facility terms to market-equivalent funding.</w:t>
      </w:r>
    </w:p>
    <w:p w14:paraId="6824800F"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lastRenderedPageBreak/>
        <w:pict w14:anchorId="78757F3C">
          <v:rect id="_x0000_i1063" alt="" style="width:451.3pt;height:.05pt;mso-width-percent:0;mso-height-percent:0;mso-width-percent:0;mso-height-percent:0" o:hralign="center" o:hrstd="t" o:hr="t" fillcolor="#a0a0a0" stroked="f"/>
        </w:pict>
      </w:r>
    </w:p>
    <w:p w14:paraId="5B51AF9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Where dissonance lives</w:t>
      </w:r>
    </w:p>
    <w:p w14:paraId="67CB170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Within L3f:</w:t>
      </w:r>
    </w:p>
    <w:p w14:paraId="753ECD6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Intra-node.</w:t>
      </w:r>
      <w:r w:rsidRPr="0032251D">
        <w:rPr>
          <w:rFonts w:ascii="Aptos" w:eastAsia="Times New Roman" w:hAnsi="Aptos" w:cs="Times New Roman"/>
          <w:kern w:val="0"/>
          <w:sz w:val="22"/>
          <w:szCs w:val="22"/>
          <w:lang w:eastAsia="en-GB"/>
          <w14:ligatures w14:val="none"/>
        </w:rPr>
        <w:t xml:space="preserve"> Standing facilities, crisis facilities, and FX swap lines should be consistent in their signal about market stress. Dissonance fires when:</w:t>
      </w:r>
    </w:p>
    <w:p w14:paraId="055A6679" w14:textId="77777777" w:rsidR="0032251D" w:rsidRPr="0032251D" w:rsidRDefault="0032251D">
      <w:pPr>
        <w:numPr>
          <w:ilvl w:val="0"/>
          <w:numId w:val="1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One facility is being normalised while another is expanded</w:t>
      </w:r>
    </w:p>
    <w:p w14:paraId="7819EE12" w14:textId="77777777" w:rsidR="0032251D" w:rsidRPr="0032251D" w:rsidRDefault="0032251D">
      <w:pPr>
        <w:numPr>
          <w:ilvl w:val="0"/>
          <w:numId w:val="1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Take-up patterns differ across facilities (banks using BTFP but not discount window, suggesting stigma still binds the latter)</w:t>
      </w:r>
    </w:p>
    <w:p w14:paraId="15CF18A2" w14:textId="77777777" w:rsidR="0032251D" w:rsidRPr="0032251D" w:rsidRDefault="0032251D">
      <w:pPr>
        <w:numPr>
          <w:ilvl w:val="0"/>
          <w:numId w:val="1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Standing facilities are calm but crisis facilities are quietly being prepared (bank's stress assessment differs from public posture)</w:t>
      </w:r>
    </w:p>
    <w:p w14:paraId="44F0CE8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upward, L1 → L3f.</w:t>
      </w:r>
      <w:r w:rsidRPr="0032251D">
        <w:rPr>
          <w:rFonts w:ascii="Aptos" w:eastAsia="Times New Roman" w:hAnsi="Aptos" w:cs="Times New Roman"/>
          <w:kern w:val="0"/>
          <w:sz w:val="22"/>
          <w:szCs w:val="22"/>
          <w:lang w:eastAsia="en-GB"/>
          <w14:ligatures w14:val="none"/>
        </w:rPr>
        <w:t xml:space="preserve"> Liquidity facilities should activate in funding stress regardless of monetary stance. Dissonance fires when the rule implies normal conditions but facility usage signals stress, or when facilities remain dormant during clear funding pressure.</w:t>
      </w:r>
    </w:p>
    <w:p w14:paraId="652EE18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upward, L2 → L3f.</w:t>
      </w:r>
      <w:r w:rsidRPr="0032251D">
        <w:rPr>
          <w:rFonts w:ascii="Aptos" w:eastAsia="Times New Roman" w:hAnsi="Aptos" w:cs="Times New Roman"/>
          <w:kern w:val="0"/>
          <w:sz w:val="22"/>
          <w:szCs w:val="22"/>
          <w:lang w:eastAsia="en-GB"/>
          <w14:ligatures w14:val="none"/>
        </w:rPr>
        <w:t xml:space="preserve"> Facilities provide constraint relief in stress. Dissonance fires when funding stress emerges (constraints binding for banks) but facilities are not </w:t>
      </w:r>
      <w:proofErr w:type="gramStart"/>
      <w:r w:rsidRPr="0032251D">
        <w:rPr>
          <w:rFonts w:ascii="Aptos" w:eastAsia="Times New Roman" w:hAnsi="Aptos" w:cs="Times New Roman"/>
          <w:kern w:val="0"/>
          <w:sz w:val="22"/>
          <w:szCs w:val="22"/>
          <w:lang w:eastAsia="en-GB"/>
          <w14:ligatures w14:val="none"/>
        </w:rPr>
        <w:t>extended, or</w:t>
      </w:r>
      <w:proofErr w:type="gramEnd"/>
      <w:r w:rsidRPr="0032251D">
        <w:rPr>
          <w:rFonts w:ascii="Aptos" w:eastAsia="Times New Roman" w:hAnsi="Aptos" w:cs="Times New Roman"/>
          <w:kern w:val="0"/>
          <w:sz w:val="22"/>
          <w:szCs w:val="22"/>
          <w:lang w:eastAsia="en-GB"/>
          <w14:ligatures w14:val="none"/>
        </w:rPr>
        <w:t xml:space="preserve"> extended without clear stress justification.</w:t>
      </w:r>
    </w:p>
    <w:p w14:paraId="52901BB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peer, L3a ↔ L3f.</w:t>
      </w:r>
      <w:r w:rsidRPr="0032251D">
        <w:rPr>
          <w:rFonts w:ascii="Aptos" w:eastAsia="Times New Roman" w:hAnsi="Aptos" w:cs="Times New Roman"/>
          <w:kern w:val="0"/>
          <w:sz w:val="22"/>
          <w:szCs w:val="22"/>
          <w:lang w:eastAsia="en-GB"/>
          <w14:ligatures w14:val="none"/>
        </w:rPr>
        <w:t xml:space="preserve"> Normal times — rate active, facilities dormant. Stress times — </w:t>
      </w:r>
      <w:proofErr w:type="gramStart"/>
      <w:r w:rsidRPr="0032251D">
        <w:rPr>
          <w:rFonts w:ascii="Aptos" w:eastAsia="Times New Roman" w:hAnsi="Aptos" w:cs="Times New Roman"/>
          <w:kern w:val="0"/>
          <w:sz w:val="22"/>
          <w:szCs w:val="22"/>
          <w:lang w:eastAsia="en-GB"/>
          <w14:ligatures w14:val="none"/>
        </w:rPr>
        <w:t>both active</w:t>
      </w:r>
      <w:proofErr w:type="gramEnd"/>
      <w:r w:rsidRPr="0032251D">
        <w:rPr>
          <w:rFonts w:ascii="Aptos" w:eastAsia="Times New Roman" w:hAnsi="Aptos" w:cs="Times New Roman"/>
          <w:kern w:val="0"/>
          <w:sz w:val="22"/>
          <w:szCs w:val="22"/>
          <w:lang w:eastAsia="en-GB"/>
          <w14:ligatures w14:val="none"/>
        </w:rPr>
        <w:t xml:space="preserve"> in compatible directions. Dissonance: rate hikes while facilities are being extended for funding stress — the 2023 Fed pattern, where the BTFP was supporting bank funding while the policy rate continued to rise.</w:t>
      </w:r>
    </w:p>
    <w:p w14:paraId="7D84237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peer, L3b ↔ L3f.</w:t>
      </w:r>
      <w:r w:rsidRPr="0032251D">
        <w:rPr>
          <w:rFonts w:ascii="Aptos" w:eastAsia="Times New Roman" w:hAnsi="Aptos" w:cs="Times New Roman"/>
          <w:kern w:val="0"/>
          <w:sz w:val="22"/>
          <w:szCs w:val="22"/>
          <w:lang w:eastAsia="en-GB"/>
          <w14:ligatures w14:val="none"/>
        </w:rPr>
        <w:t xml:space="preserve"> Both expand the central bank balance sheet but for different purposes (monetary vs market functioning). Dissonance: facility usage large enough to materially affect monetary stance, blurring the labelling.</w:t>
      </w:r>
    </w:p>
    <w:p w14:paraId="51520405"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 L3f → L4b (FX).</w:t>
      </w:r>
      <w:r w:rsidRPr="0032251D">
        <w:rPr>
          <w:rFonts w:ascii="Aptos" w:eastAsia="Times New Roman" w:hAnsi="Aptos" w:cs="Times New Roman"/>
          <w:kern w:val="0"/>
          <w:sz w:val="22"/>
          <w:szCs w:val="22"/>
          <w:lang w:eastAsia="en-GB"/>
          <w14:ligatures w14:val="none"/>
        </w:rPr>
        <w:t xml:space="preserve"> FX swap lines compress cross-currency basis. Dissonance fires when dollar funding stress persists despite swap line availability — facility cap binding, take-up constrained by counterparty issues, or structural exclusion from facility access.</w:t>
      </w:r>
    </w:p>
    <w:p w14:paraId="527101A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 L3f → L5a (banks).</w:t>
      </w:r>
      <w:r w:rsidRPr="0032251D">
        <w:rPr>
          <w:rFonts w:ascii="Aptos" w:eastAsia="Times New Roman" w:hAnsi="Aptos" w:cs="Times New Roman"/>
          <w:kern w:val="0"/>
          <w:sz w:val="22"/>
          <w:szCs w:val="22"/>
          <w:lang w:eastAsia="en-GB"/>
          <w14:ligatures w14:val="none"/>
        </w:rPr>
        <w:t xml:space="preserve"> Discount window is the primary stress relief channel for banks. Dissonance fires when bank stress signals are </w:t>
      </w:r>
      <w:proofErr w:type="gramStart"/>
      <w:r w:rsidRPr="0032251D">
        <w:rPr>
          <w:rFonts w:ascii="Aptos" w:eastAsia="Times New Roman" w:hAnsi="Aptos" w:cs="Times New Roman"/>
          <w:kern w:val="0"/>
          <w:sz w:val="22"/>
          <w:szCs w:val="22"/>
          <w:lang w:eastAsia="en-GB"/>
          <w14:ligatures w14:val="none"/>
        </w:rPr>
        <w:t>high</w:t>
      </w:r>
      <w:proofErr w:type="gramEnd"/>
      <w:r w:rsidRPr="0032251D">
        <w:rPr>
          <w:rFonts w:ascii="Aptos" w:eastAsia="Times New Roman" w:hAnsi="Aptos" w:cs="Times New Roman"/>
          <w:kern w:val="0"/>
          <w:sz w:val="22"/>
          <w:szCs w:val="22"/>
          <w:lang w:eastAsia="en-GB"/>
          <w14:ligatures w14:val="none"/>
        </w:rPr>
        <w:t xml:space="preserve"> but discount window remains underused — stigma effect dominating.</w:t>
      </w:r>
    </w:p>
    <w:p w14:paraId="5459CC65"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 L3f → L5b (NBFI).</w:t>
      </w:r>
      <w:r w:rsidRPr="0032251D">
        <w:rPr>
          <w:rFonts w:ascii="Aptos" w:eastAsia="Times New Roman" w:hAnsi="Aptos" w:cs="Times New Roman"/>
          <w:kern w:val="0"/>
          <w:sz w:val="22"/>
          <w:szCs w:val="22"/>
          <w:lang w:eastAsia="en-GB"/>
          <w14:ligatures w14:val="none"/>
        </w:rPr>
        <w:t xml:space="preserve"> Most facilities exclude NBFIs except specific crisis tools. Dissonance fires when NBFI stress emerges without facility access — structural coverage gap. The post-2008 risk migration combined with limited NBFI facility access is the most important standing macroprudential weakness.</w:t>
      </w:r>
    </w:p>
    <w:p w14:paraId="14031F4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 L3f → L10b (financial stability).</w:t>
      </w:r>
      <w:r w:rsidRPr="0032251D">
        <w:rPr>
          <w:rFonts w:ascii="Aptos" w:eastAsia="Times New Roman" w:hAnsi="Aptos" w:cs="Times New Roman"/>
          <w:kern w:val="0"/>
          <w:sz w:val="22"/>
          <w:szCs w:val="22"/>
          <w:lang w:eastAsia="en-GB"/>
          <w14:ligatures w14:val="none"/>
        </w:rPr>
        <w:t xml:space="preserve"> Direct mapping — facilities target stability outcomes in stress. Dissonance fires when facilities are </w:t>
      </w:r>
      <w:proofErr w:type="gramStart"/>
      <w:r w:rsidRPr="0032251D">
        <w:rPr>
          <w:rFonts w:ascii="Aptos" w:eastAsia="Times New Roman" w:hAnsi="Aptos" w:cs="Times New Roman"/>
          <w:kern w:val="0"/>
          <w:sz w:val="22"/>
          <w:szCs w:val="22"/>
          <w:lang w:eastAsia="en-GB"/>
          <w14:ligatures w14:val="none"/>
        </w:rPr>
        <w:t>active</w:t>
      </w:r>
      <w:proofErr w:type="gramEnd"/>
      <w:r w:rsidRPr="0032251D">
        <w:rPr>
          <w:rFonts w:ascii="Aptos" w:eastAsia="Times New Roman" w:hAnsi="Aptos" w:cs="Times New Roman"/>
          <w:kern w:val="0"/>
          <w:sz w:val="22"/>
          <w:szCs w:val="22"/>
          <w:lang w:eastAsia="en-GB"/>
          <w14:ligatures w14:val="none"/>
        </w:rPr>
        <w:t xml:space="preserve"> but stability indicators continue to worsen (crisis severity exceeds tool capacity), or when facilities are absent during clear instability buildup.</w:t>
      </w:r>
    </w:p>
    <w:p w14:paraId="56D39F70" w14:textId="77777777" w:rsidR="0032251D" w:rsidRPr="00B84586"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lastRenderedPageBreak/>
        <w:t xml:space="preserve">The L3f node is the central bank's </w:t>
      </w:r>
      <w:r w:rsidRPr="0032251D">
        <w:rPr>
          <w:rFonts w:ascii="Aptos" w:eastAsia="Times New Roman" w:hAnsi="Aptos" w:cs="Times New Roman"/>
          <w:i/>
          <w:iCs/>
          <w:kern w:val="0"/>
          <w:sz w:val="22"/>
          <w:szCs w:val="22"/>
          <w:lang w:eastAsia="en-GB"/>
          <w14:ligatures w14:val="none"/>
        </w:rPr>
        <w:t>contingent liquidity provision instrument</w:t>
      </w:r>
      <w:r w:rsidRPr="0032251D">
        <w:rPr>
          <w:rFonts w:ascii="Aptos" w:eastAsia="Times New Roman" w:hAnsi="Aptos" w:cs="Times New Roman"/>
          <w:kern w:val="0"/>
          <w:sz w:val="22"/>
          <w:szCs w:val="22"/>
          <w:lang w:eastAsia="en-GB"/>
          <w14:ligatures w14:val="none"/>
        </w:rPr>
        <w:t xml:space="preserve">. Unlike the rate (price of unconstrained money), the balance sheet (monetary stance), FX intervention (currency price), or macroprudential policy (structural risk), it operates on the </w:t>
      </w:r>
      <w:r w:rsidRPr="0032251D">
        <w:rPr>
          <w:rFonts w:ascii="Aptos" w:eastAsia="Times New Roman" w:hAnsi="Aptos" w:cs="Times New Roman"/>
          <w:i/>
          <w:iCs/>
          <w:kern w:val="0"/>
          <w:sz w:val="22"/>
          <w:szCs w:val="22"/>
          <w:lang w:eastAsia="en-GB"/>
          <w14:ligatures w14:val="none"/>
        </w:rPr>
        <w:t>availability</w:t>
      </w:r>
      <w:r w:rsidRPr="0032251D">
        <w:rPr>
          <w:rFonts w:ascii="Aptos" w:eastAsia="Times New Roman" w:hAnsi="Aptos" w:cs="Times New Roman"/>
          <w:kern w:val="0"/>
          <w:sz w:val="22"/>
          <w:szCs w:val="22"/>
          <w:lang w:eastAsia="en-GB"/>
          <w14:ligatures w14:val="none"/>
        </w:rPr>
        <w:t xml:space="preserve"> of funding in stress. Its dormancy in normal times makes it operationally distinct from the other L3 instruments — most of its information content lies in </w:t>
      </w:r>
      <w:r w:rsidRPr="0032251D">
        <w:rPr>
          <w:rFonts w:ascii="Aptos" w:eastAsia="Times New Roman" w:hAnsi="Aptos" w:cs="Times New Roman"/>
          <w:i/>
          <w:iCs/>
          <w:kern w:val="0"/>
          <w:sz w:val="22"/>
          <w:szCs w:val="22"/>
          <w:lang w:eastAsia="en-GB"/>
          <w14:ligatures w14:val="none"/>
        </w:rPr>
        <w:t>whether and when</w:t>
      </w:r>
      <w:r w:rsidRPr="0032251D">
        <w:rPr>
          <w:rFonts w:ascii="Aptos" w:eastAsia="Times New Roman" w:hAnsi="Aptos" w:cs="Times New Roman"/>
          <w:kern w:val="0"/>
          <w:sz w:val="22"/>
          <w:szCs w:val="22"/>
          <w:lang w:eastAsia="en-GB"/>
          <w14:ligatures w14:val="none"/>
        </w:rPr>
        <w:t xml:space="preserve"> it is activated, not in its routine setting. Dissonance at L3f means either funding stress that facilities are not addressing, or facility deployment without underlying stress justification — both signals that the bank's reading of market conditions differs from market reality.</w:t>
      </w:r>
    </w:p>
    <w:p w14:paraId="012DDCFB" w14:textId="77777777" w:rsidR="0032251D" w:rsidRPr="00B84586"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5F92DE63" w14:textId="77777777" w:rsidR="0032251D" w:rsidRPr="00B84586"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2C6FFA3B" w14:textId="77777777" w:rsidR="0032251D" w:rsidRPr="00B84586"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3DBC3D1F" w14:textId="77777777" w:rsidR="0032251D" w:rsidRPr="00B84586"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7EBBB7DF" w14:textId="77777777" w:rsidR="0032251D" w:rsidRPr="00B84586"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7F295F89" w14:textId="77777777" w:rsidR="0032251D" w:rsidRPr="00B84586"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3228D0A8" w14:textId="77777777" w:rsidR="0032251D" w:rsidRPr="00B84586"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4DAF1B04" w14:textId="77777777" w:rsidR="0032251D" w:rsidRPr="00B84586"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57921343" w14:textId="77777777" w:rsidR="0032251D" w:rsidRPr="00B84586"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224D0ED9" w14:textId="77777777" w:rsidR="0032251D" w:rsidRPr="00B84586"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74897FEC" w14:textId="77777777" w:rsidR="0032251D" w:rsidRPr="00B84586"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6920C42C" w14:textId="77777777" w:rsidR="0032251D" w:rsidRPr="00B84586"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4E759E89" w14:textId="77777777" w:rsidR="0032251D" w:rsidRPr="00B84586"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3D309744" w14:textId="77777777" w:rsidR="0032251D" w:rsidRPr="00B84586"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7144BB2D" w14:textId="77777777" w:rsidR="0032251D" w:rsidRPr="00B84586"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0D9C9908" w14:textId="77777777" w:rsidR="0032251D" w:rsidRPr="00B84586"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75F85075" w14:textId="77777777" w:rsidR="0032251D" w:rsidRPr="00B84586"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1DF24679" w14:textId="77777777" w:rsidR="0032251D" w:rsidRPr="00B84586"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252BDB9C" w14:textId="77777777" w:rsid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4D136C5D" w14:textId="77777777" w:rsidR="00B40C26" w:rsidRDefault="00B40C26"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5DA03210" w14:textId="77777777" w:rsidR="00B40C26" w:rsidRPr="00B84586" w:rsidRDefault="00B40C26"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48746CC5" w14:textId="3A126D4A" w:rsidR="0032251D" w:rsidRPr="0032251D" w:rsidRDefault="0032251D" w:rsidP="0032251D">
      <w:pPr>
        <w:spacing w:before="100" w:beforeAutospacing="1" w:after="100" w:afterAutospacing="1" w:line="240" w:lineRule="auto"/>
        <w:jc w:val="center"/>
        <w:rPr>
          <w:rFonts w:ascii="Aptos" w:eastAsia="Times New Roman" w:hAnsi="Aptos" w:cs="Times New Roman"/>
          <w:b/>
          <w:bCs/>
          <w:kern w:val="0"/>
          <w:sz w:val="22"/>
          <w:szCs w:val="22"/>
          <w:lang w:eastAsia="en-GB"/>
          <w14:ligatures w14:val="none"/>
        </w:rPr>
      </w:pPr>
      <w:r w:rsidRPr="00B84586">
        <w:rPr>
          <w:rFonts w:ascii="Aptos" w:eastAsia="Times New Roman" w:hAnsi="Aptos" w:cs="Times New Roman"/>
          <w:b/>
          <w:bCs/>
          <w:kern w:val="0"/>
          <w:sz w:val="22"/>
          <w:szCs w:val="22"/>
          <w:lang w:eastAsia="en-GB"/>
          <w14:ligatures w14:val="none"/>
        </w:rPr>
        <w:lastRenderedPageBreak/>
        <w:t>Level 4 – The Market</w:t>
      </w:r>
    </w:p>
    <w:p w14:paraId="33303D2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Level 4a — The Yield Curve</w:t>
      </w:r>
    </w:p>
    <w:p w14:paraId="5CA74C2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Definition.</w:t>
      </w:r>
      <w:r w:rsidRPr="0032251D">
        <w:rPr>
          <w:rFonts w:ascii="Aptos" w:eastAsia="Times New Roman" w:hAnsi="Aptos" w:cs="Times New Roman"/>
          <w:kern w:val="0"/>
          <w:sz w:val="22"/>
          <w:szCs w:val="22"/>
          <w:lang w:eastAsia="en-GB"/>
          <w14:ligatures w14:val="none"/>
        </w:rPr>
        <w:t xml:space="preserve"> The yield curve is the schedule of yields on government bonds plotted across maturities — typically 3m, 2y, 5y, 10y, 30y. It is the most-watched object in monetary economics because it integrates everything the framework cares about into a single observable: the current policy rate (front end), expectations of future policy rates (belly, long-end), term premia (long-end), inflation expectations, liquidity and convenience yield, and — in EM — sovereign credit and currency risk premia. Unlike L1-L3 nodes which describe what the bank does, L4a is what the </w:t>
      </w:r>
      <w:r w:rsidRPr="0032251D">
        <w:rPr>
          <w:rFonts w:ascii="Aptos" w:eastAsia="Times New Roman" w:hAnsi="Aptos" w:cs="Times New Roman"/>
          <w:i/>
          <w:iCs/>
          <w:kern w:val="0"/>
          <w:sz w:val="22"/>
          <w:szCs w:val="22"/>
          <w:lang w:eastAsia="en-GB"/>
          <w14:ligatures w14:val="none"/>
        </w:rPr>
        <w:t>market prices</w:t>
      </w:r>
      <w:r w:rsidRPr="0032251D">
        <w:rPr>
          <w:rFonts w:ascii="Aptos" w:eastAsia="Times New Roman" w:hAnsi="Aptos" w:cs="Times New Roman"/>
          <w:kern w:val="0"/>
          <w:sz w:val="22"/>
          <w:szCs w:val="22"/>
          <w:lang w:eastAsia="en-GB"/>
          <w14:ligatures w14:val="none"/>
        </w:rPr>
        <w:t xml:space="preserve"> in response. It is the first node in the framework that is observable continuously at high frequency, and the most heavily traded sovereign market on Earth.</w:t>
      </w:r>
    </w:p>
    <w:p w14:paraId="19212A1E"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2C586431">
          <v:rect id="_x0000_i1064" alt="" style="width:451.3pt;height:.05pt;mso-width-percent:0;mso-height-percent:0;mso-width-percent:0;mso-height-percent:0" o:hralign="center" o:hrstd="t" o:hr="t" fillcolor="#a0a0a0" stroked="f"/>
        </w:pict>
      </w:r>
    </w:p>
    <w:p w14:paraId="2859925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Theory</w:t>
      </w:r>
    </w:p>
    <w:p w14:paraId="0F5024D2"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Three theoretical foundations underlie the yield curve.</w:t>
      </w:r>
    </w:p>
    <w:p w14:paraId="10A1408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The expectations hypothesis (EH).</w:t>
      </w:r>
      <w:r w:rsidRPr="0032251D">
        <w:rPr>
          <w:rFonts w:ascii="Aptos" w:eastAsia="Times New Roman" w:hAnsi="Aptos" w:cs="Times New Roman"/>
          <w:kern w:val="0"/>
          <w:sz w:val="22"/>
          <w:szCs w:val="22"/>
          <w:lang w:eastAsia="en-GB"/>
          <w14:ligatures w14:val="none"/>
        </w:rPr>
        <w:t xml:space="preserve"> Long yields are weighted averages of expected future short rates plus a term premium. In pure form: long yield = average expected short rates over the maturity. In modified form: long yield = average expected short + term premium. Modern empirics reject the pure EH (Campbell-Shiller 1991; Fama-Bliss 1987) — excess returns on long bonds are predictable, implying time-varying term premia. </w:t>
      </w:r>
      <w:proofErr w:type="gramStart"/>
      <w:r w:rsidRPr="0032251D">
        <w:rPr>
          <w:rFonts w:ascii="Aptos" w:eastAsia="Times New Roman" w:hAnsi="Aptos" w:cs="Times New Roman"/>
          <w:kern w:val="0"/>
          <w:sz w:val="22"/>
          <w:szCs w:val="22"/>
          <w:lang w:eastAsia="en-GB"/>
          <w14:ligatures w14:val="none"/>
        </w:rPr>
        <w:t>So</w:t>
      </w:r>
      <w:proofErr w:type="gramEnd"/>
      <w:r w:rsidRPr="0032251D">
        <w:rPr>
          <w:rFonts w:ascii="Aptos" w:eastAsia="Times New Roman" w:hAnsi="Aptos" w:cs="Times New Roman"/>
          <w:kern w:val="0"/>
          <w:sz w:val="22"/>
          <w:szCs w:val="22"/>
          <w:lang w:eastAsia="en-GB"/>
          <w14:ligatures w14:val="none"/>
        </w:rPr>
        <w:t xml:space="preserve"> the modified version is the workhorse: long yield = expected average short rate + term premium, where both components vary over time and respond to different shocks.</w:t>
      </w:r>
    </w:p>
    <w:p w14:paraId="1534D29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Liquidity preference (Hicks 1939).</w:t>
      </w:r>
      <w:r w:rsidRPr="0032251D">
        <w:rPr>
          <w:rFonts w:ascii="Aptos" w:eastAsia="Times New Roman" w:hAnsi="Aptos" w:cs="Times New Roman"/>
          <w:kern w:val="0"/>
          <w:sz w:val="22"/>
          <w:szCs w:val="22"/>
          <w:lang w:eastAsia="en-GB"/>
          <w14:ligatures w14:val="none"/>
        </w:rPr>
        <w:t xml:space="preserve"> Investors prefer liquidity, so demand a premium for holding long bonds rather than rolling overnight. The term premium is positive on average — this is the empirical regularity. But it varies meaningfully across time and can turn negative (it did in 2019-2021 when balance sheet operations compressed it heavily).</w:t>
      </w:r>
    </w:p>
    <w:p w14:paraId="267F74A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 xml:space="preserve">Preferred habitat (Modigliani-Sutch 1966; </w:t>
      </w:r>
      <w:proofErr w:type="spellStart"/>
      <w:r w:rsidRPr="0032251D">
        <w:rPr>
          <w:rFonts w:ascii="Aptos" w:eastAsia="Times New Roman" w:hAnsi="Aptos" w:cs="Times New Roman"/>
          <w:i/>
          <w:iCs/>
          <w:kern w:val="0"/>
          <w:sz w:val="22"/>
          <w:szCs w:val="22"/>
          <w:lang w:eastAsia="en-GB"/>
          <w14:ligatures w14:val="none"/>
        </w:rPr>
        <w:t>Vayanos</w:t>
      </w:r>
      <w:proofErr w:type="spellEnd"/>
      <w:r w:rsidRPr="0032251D">
        <w:rPr>
          <w:rFonts w:ascii="Aptos" w:eastAsia="Times New Roman" w:hAnsi="Aptos" w:cs="Times New Roman"/>
          <w:i/>
          <w:iCs/>
          <w:kern w:val="0"/>
          <w:sz w:val="22"/>
          <w:szCs w:val="22"/>
          <w:lang w:eastAsia="en-GB"/>
          <w14:ligatures w14:val="none"/>
        </w:rPr>
        <w:t>-Vila 2021).</w:t>
      </w:r>
      <w:r w:rsidRPr="0032251D">
        <w:rPr>
          <w:rFonts w:ascii="Aptos" w:eastAsia="Times New Roman" w:hAnsi="Aptos" w:cs="Times New Roman"/>
          <w:kern w:val="0"/>
          <w:sz w:val="22"/>
          <w:szCs w:val="22"/>
          <w:lang w:eastAsia="en-GB"/>
          <w14:ligatures w14:val="none"/>
        </w:rPr>
        <w:t xml:space="preserve"> Different investors have different preferred maturities — insurers and pensions want long-dated assets, banks want short. Markets are partially segmented; the supply of bonds at each maturity matters because investors do not freely substitute across maturities. This is what makes balance sheet operations work — by removing duration from specific maturities, the central bank changes relative supply and hence relative price.</w:t>
      </w:r>
    </w:p>
    <w:p w14:paraId="02ABBC7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These three foundations are complementary. The EH gives the level decomposition (expected short + term premium). Liquidity preference gives the sign of the average term premium. Preferred habitat gives the maturity-specific responsiveness to supply shocks.</w:t>
      </w:r>
    </w:p>
    <w:p w14:paraId="1169A36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Underlying all three is the Fisher relationship: nominal yield = real yield + expected inflation + inflation risk premium. The yield curve is therefore not one curve but at least three jointly determined ones — nominal, real, and break-even inflation.</w:t>
      </w:r>
    </w:p>
    <w:p w14:paraId="1CAE8A87"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43E815E9">
          <v:rect id="_x0000_i1065" alt="" style="width:451.3pt;height:.05pt;mso-width-percent:0;mso-height-percent:0;mso-width-percent:0;mso-height-percent:0" o:hralign="center" o:hrstd="t" o:hr="t" fillcolor="#a0a0a0" stroked="f"/>
        </w:pict>
      </w:r>
    </w:p>
    <w:p w14:paraId="6F051AE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Canonical decomposition and components</w:t>
      </w:r>
    </w:p>
    <w:p w14:paraId="31E71E0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lastRenderedPageBreak/>
        <w:t>The dominant operational framework decomposes any long yield into two components:</w:t>
      </w:r>
    </w:p>
    <w:p w14:paraId="0A77352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Long yield = Expected average short rate + Term premium</w:t>
      </w:r>
    </w:p>
    <w:p w14:paraId="1A3FE24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Each component responds to different shocks. The expected short rate component reflects perceived monetary policy path — moves on rate decisions, forward guidance, and data prints that update the rule. The term premium reflects compensation for duration risk — moves on supply shocks (Treasury issuance, QT), uncertainty about future rates and inflation, and convenience yield dynamics.</w:t>
      </w:r>
    </w:p>
    <w:p w14:paraId="1FD7A87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Workhorse estimation models.</w:t>
      </w:r>
    </w:p>
    <w:p w14:paraId="2F669055" w14:textId="77777777" w:rsidR="0032251D" w:rsidRPr="0032251D" w:rsidRDefault="0032251D">
      <w:pPr>
        <w:numPr>
          <w:ilvl w:val="0"/>
          <w:numId w:val="2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Adrian-Crump-Moench (ACM, 2013)</w:t>
      </w:r>
      <w:r w:rsidRPr="0032251D">
        <w:rPr>
          <w:rFonts w:ascii="Aptos" w:eastAsia="Times New Roman" w:hAnsi="Aptos" w:cs="Times New Roman"/>
          <w:kern w:val="0"/>
          <w:sz w:val="22"/>
          <w:szCs w:val="22"/>
          <w:lang w:eastAsia="en-GB"/>
          <w14:ligatures w14:val="none"/>
        </w:rPr>
        <w:t>: affine model with five factors, available daily from NY Fed. The most-cited US Treasury term premium estimate.</w:t>
      </w:r>
    </w:p>
    <w:p w14:paraId="0CBBE213" w14:textId="77777777" w:rsidR="0032251D" w:rsidRPr="0032251D" w:rsidRDefault="0032251D">
      <w:pPr>
        <w:numPr>
          <w:ilvl w:val="0"/>
          <w:numId w:val="2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Kim-Wright (2005)</w:t>
      </w:r>
      <w:r w:rsidRPr="0032251D">
        <w:rPr>
          <w:rFonts w:ascii="Aptos" w:eastAsia="Times New Roman" w:hAnsi="Aptos" w:cs="Times New Roman"/>
          <w:kern w:val="0"/>
          <w:sz w:val="22"/>
          <w:szCs w:val="22"/>
          <w:lang w:eastAsia="en-GB"/>
          <w14:ligatures w14:val="none"/>
        </w:rPr>
        <w:t>: three-factor latent variable model, used by BoE and others.</w:t>
      </w:r>
    </w:p>
    <w:p w14:paraId="1EDCBA89" w14:textId="77777777" w:rsidR="0032251D" w:rsidRPr="0032251D" w:rsidRDefault="0032251D">
      <w:pPr>
        <w:numPr>
          <w:ilvl w:val="0"/>
          <w:numId w:val="2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D'Amico-Kim-Wei (2018)</w:t>
      </w:r>
      <w:r w:rsidRPr="0032251D">
        <w:rPr>
          <w:rFonts w:ascii="Aptos" w:eastAsia="Times New Roman" w:hAnsi="Aptos" w:cs="Times New Roman"/>
          <w:kern w:val="0"/>
          <w:sz w:val="22"/>
          <w:szCs w:val="22"/>
          <w:lang w:eastAsia="en-GB"/>
          <w14:ligatures w14:val="none"/>
        </w:rPr>
        <w:t>: incorporating balance sheet operation effects explicitly.</w:t>
      </w:r>
    </w:p>
    <w:p w14:paraId="14ECE62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A practical caveat: ACM and Kim-Wright sometimes give meaningfully different decompositions of the same yield. Term premium estimates are model-dependent, which limits how cleanly the decomposition can be used in empirical work.</w:t>
      </w:r>
    </w:p>
    <w:p w14:paraId="5F45109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Curve shape diagnostics.</w:t>
      </w:r>
    </w:p>
    <w:p w14:paraId="779B8A09" w14:textId="77777777" w:rsidR="0032251D" w:rsidRPr="0032251D" w:rsidRDefault="0032251D">
      <w:pPr>
        <w:numPr>
          <w:ilvl w:val="0"/>
          <w:numId w:val="2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Slope</w:t>
      </w:r>
      <w:r w:rsidRPr="0032251D">
        <w:rPr>
          <w:rFonts w:ascii="Aptos" w:eastAsia="Times New Roman" w:hAnsi="Aptos" w:cs="Times New Roman"/>
          <w:kern w:val="0"/>
          <w:sz w:val="22"/>
          <w:szCs w:val="22"/>
          <w:lang w:eastAsia="en-GB"/>
          <w14:ligatures w14:val="none"/>
        </w:rPr>
        <w:t>: 2s10s, 5s30s, 3m10y — each captures different aspects of policy expectations</w:t>
      </w:r>
    </w:p>
    <w:p w14:paraId="250B7927" w14:textId="77777777" w:rsidR="0032251D" w:rsidRPr="0032251D" w:rsidRDefault="0032251D">
      <w:pPr>
        <w:numPr>
          <w:ilvl w:val="0"/>
          <w:numId w:val="2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Curvature</w:t>
      </w:r>
      <w:r w:rsidRPr="0032251D">
        <w:rPr>
          <w:rFonts w:ascii="Aptos" w:eastAsia="Times New Roman" w:hAnsi="Aptos" w:cs="Times New Roman"/>
          <w:kern w:val="0"/>
          <w:sz w:val="22"/>
          <w:szCs w:val="22"/>
          <w:lang w:eastAsia="en-GB"/>
          <w14:ligatures w14:val="none"/>
        </w:rPr>
        <w:t xml:space="preserve"> ("butterfly"): the 2-5-10 relationship; curvature spikes around regime transitions</w:t>
      </w:r>
    </w:p>
    <w:p w14:paraId="443386A3" w14:textId="77777777" w:rsidR="0032251D" w:rsidRPr="0032251D" w:rsidRDefault="0032251D">
      <w:pPr>
        <w:numPr>
          <w:ilvl w:val="0"/>
          <w:numId w:val="2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Convexity</w:t>
      </w:r>
      <w:r w:rsidRPr="0032251D">
        <w:rPr>
          <w:rFonts w:ascii="Aptos" w:eastAsia="Times New Roman" w:hAnsi="Aptos" w:cs="Times New Roman"/>
          <w:kern w:val="0"/>
          <w:sz w:val="22"/>
          <w:szCs w:val="22"/>
          <w:lang w:eastAsia="en-GB"/>
          <w14:ligatures w14:val="none"/>
        </w:rPr>
        <w:t>: shape of the very long end, sensitive to duration positioning and supply</w:t>
      </w:r>
    </w:p>
    <w:p w14:paraId="07C10145" w14:textId="77777777" w:rsidR="0032251D" w:rsidRPr="0032251D" w:rsidRDefault="0032251D">
      <w:pPr>
        <w:numPr>
          <w:ilvl w:val="0"/>
          <w:numId w:val="2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Liquidity basis</w:t>
      </w:r>
      <w:r w:rsidRPr="0032251D">
        <w:rPr>
          <w:rFonts w:ascii="Aptos" w:eastAsia="Times New Roman" w:hAnsi="Aptos" w:cs="Times New Roman"/>
          <w:kern w:val="0"/>
          <w:sz w:val="22"/>
          <w:szCs w:val="22"/>
          <w:lang w:eastAsia="en-GB"/>
          <w14:ligatures w14:val="none"/>
        </w:rPr>
        <w:t>: on-the-run vs off-the-run spreads; Treasury-OIS basis (collateral premium)</w:t>
      </w:r>
    </w:p>
    <w:p w14:paraId="125A76A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Convenience yield decomposition.</w:t>
      </w:r>
      <w:r w:rsidRPr="0032251D">
        <w:rPr>
          <w:rFonts w:ascii="Aptos" w:eastAsia="Times New Roman" w:hAnsi="Aptos" w:cs="Times New Roman"/>
          <w:kern w:val="0"/>
          <w:sz w:val="22"/>
          <w:szCs w:val="22"/>
          <w:lang w:eastAsia="en-GB"/>
          <w14:ligatures w14:val="none"/>
        </w:rPr>
        <w:t xml:space="preserve"> Convenience yield is the non-pecuniary benefit of holding safe assets — Treasuries, bunds, dollar cash. Sources: collateral value (accepted in repo, derivatives), liquidity (sellable at scale), regulatory utility (LCR, capital relief), and flight-to-quality demand. Krishnamurthy-Vissing-Jorgensen (2012) estimated the average US Treasury convenience yield at 73bp. It is variable and spikes in stress.</w:t>
      </w:r>
    </w:p>
    <w:p w14:paraId="3387B70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The </w:t>
      </w:r>
      <w:proofErr w:type="gramStart"/>
      <w:r w:rsidRPr="0032251D">
        <w:rPr>
          <w:rFonts w:ascii="Aptos" w:eastAsia="Times New Roman" w:hAnsi="Aptos" w:cs="Times New Roman"/>
          <w:kern w:val="0"/>
          <w:sz w:val="22"/>
          <w:szCs w:val="22"/>
          <w:lang w:eastAsia="en-GB"/>
          <w14:ligatures w14:val="none"/>
        </w:rPr>
        <w:t>fully-expanded</w:t>
      </w:r>
      <w:proofErr w:type="gramEnd"/>
      <w:r w:rsidRPr="0032251D">
        <w:rPr>
          <w:rFonts w:ascii="Aptos" w:eastAsia="Times New Roman" w:hAnsi="Aptos" w:cs="Times New Roman"/>
          <w:kern w:val="0"/>
          <w:sz w:val="22"/>
          <w:szCs w:val="22"/>
          <w:lang w:eastAsia="en-GB"/>
          <w14:ligatures w14:val="none"/>
        </w:rPr>
        <w:t xml:space="preserve"> decomposition:</w:t>
      </w:r>
    </w:p>
    <w:p w14:paraId="788605E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Nominal yield = Real expected short rate + Expected inflation + Inflation risk premium + Term premium − Convenience yield</w:t>
      </w:r>
    </w:p>
    <w:p w14:paraId="489E224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This is the structural equation that links every node in the framework to the yield curve.</w:t>
      </w:r>
    </w:p>
    <w:p w14:paraId="7595B4B6"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7FC79426">
          <v:rect id="_x0000_i1066" alt="" style="width:451.3pt;height:.05pt;mso-width-percent:0;mso-height-percent:0;mso-width-percent:0;mso-height-percent:0" o:hralign="center" o:hrstd="t" o:hr="t" fillcolor="#a0a0a0" stroked="f"/>
        </w:pict>
      </w:r>
    </w:p>
    <w:p w14:paraId="0B42AFC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Why this matters for asset prices</w:t>
      </w:r>
    </w:p>
    <w:p w14:paraId="185EB40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yield curve is foundational because it is the discount rate input for every other asset.</w:t>
      </w:r>
    </w:p>
    <w:p w14:paraId="042D034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Direct effects.</w:t>
      </w:r>
    </w:p>
    <w:p w14:paraId="4DE37E01" w14:textId="77777777" w:rsidR="0032251D" w:rsidRPr="0032251D" w:rsidRDefault="0032251D">
      <w:pPr>
        <w:numPr>
          <w:ilvl w:val="0"/>
          <w:numId w:val="2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lastRenderedPageBreak/>
        <w:t>Government bond prices, mechanically</w:t>
      </w:r>
    </w:p>
    <w:p w14:paraId="2B65C395" w14:textId="77777777" w:rsidR="0032251D" w:rsidRPr="0032251D" w:rsidRDefault="0032251D">
      <w:pPr>
        <w:numPr>
          <w:ilvl w:val="0"/>
          <w:numId w:val="2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Mortgage rates (long Treasuries + MBS spread)</w:t>
      </w:r>
    </w:p>
    <w:p w14:paraId="7A0CEF16" w14:textId="77777777" w:rsidR="0032251D" w:rsidRPr="0032251D" w:rsidRDefault="0032251D">
      <w:pPr>
        <w:numPr>
          <w:ilvl w:val="0"/>
          <w:numId w:val="2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Corporate bond yields (Treasury + credit spread)</w:t>
      </w:r>
    </w:p>
    <w:p w14:paraId="5D3D1587" w14:textId="77777777" w:rsidR="0032251D" w:rsidRPr="0032251D" w:rsidRDefault="0032251D">
      <w:pPr>
        <w:numPr>
          <w:ilvl w:val="0"/>
          <w:numId w:val="2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Discount rates for cash-flow assets (equities, real estate, infrastructure)</w:t>
      </w:r>
    </w:p>
    <w:p w14:paraId="0B6FC38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Asymmetric effects across the curve.</w:t>
      </w:r>
      <w:r w:rsidRPr="0032251D">
        <w:rPr>
          <w:rFonts w:ascii="Aptos" w:eastAsia="Times New Roman" w:hAnsi="Aptos" w:cs="Times New Roman"/>
          <w:kern w:val="0"/>
          <w:sz w:val="22"/>
          <w:szCs w:val="22"/>
          <w:lang w:eastAsia="en-GB"/>
          <w14:ligatures w14:val="none"/>
        </w:rPr>
        <w:t xml:space="preserve"> A 25bp move at the front re-prices money market funds and front-end credit. A 25bp move at 10y re-prices mortgages, growth equity valuations, pension liability discount rates, and long-duration credit. Same nominal move, very different asset price consequences depending on which part of the curve moved.</w:t>
      </w:r>
    </w:p>
    <w:p w14:paraId="59AC993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The decomposition matters for interpretation.</w:t>
      </w:r>
      <w:r w:rsidRPr="0032251D">
        <w:rPr>
          <w:rFonts w:ascii="Aptos" w:eastAsia="Times New Roman" w:hAnsi="Aptos" w:cs="Times New Roman"/>
          <w:kern w:val="0"/>
          <w:sz w:val="22"/>
          <w:szCs w:val="22"/>
          <w:lang w:eastAsia="en-GB"/>
          <w14:ligatures w14:val="none"/>
        </w:rPr>
        <w:t xml:space="preserve"> The same headline move in the 10y yield can mean opposite things depending on which component drove it. A rise driven by expected short rates is hawkish — markets think the bank will hike more. A rise driven by term premium is something else entirely — fiscal worry, inflation uncertainty, QT supply pressure, or convenience yield compression — and policy stance has not changed. A risk analyst looking only at the headline yield misses this distinction; positioning depends on the component breakdown.</w:t>
      </w:r>
    </w:p>
    <w:p w14:paraId="4D7F7D6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Curve shape signals.</w:t>
      </w:r>
      <w:r w:rsidRPr="0032251D">
        <w:rPr>
          <w:rFonts w:ascii="Aptos" w:eastAsia="Times New Roman" w:hAnsi="Aptos" w:cs="Times New Roman"/>
          <w:kern w:val="0"/>
          <w:sz w:val="22"/>
          <w:szCs w:val="22"/>
          <w:lang w:eastAsia="en-GB"/>
          <w14:ligatures w14:val="none"/>
        </w:rPr>
        <w:t xml:space="preserve"> Steep curve = expected rate hikes or high term premium. Flat curve = expected rate cuts soon or low term premium. Inverted curve = expected rate cuts (historically predicts recession, with caveats — inversion since 2022 has not produced US recession on the historical schedule).</w:t>
      </w:r>
    </w:p>
    <w:p w14:paraId="2EFB5DE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For investment managers three practitioner points: first, curve positioning (</w:t>
      </w:r>
      <w:proofErr w:type="spellStart"/>
      <w:r w:rsidRPr="0032251D">
        <w:rPr>
          <w:rFonts w:ascii="Aptos" w:eastAsia="Times New Roman" w:hAnsi="Aptos" w:cs="Times New Roman"/>
          <w:kern w:val="0"/>
          <w:sz w:val="22"/>
          <w:szCs w:val="22"/>
          <w:lang w:eastAsia="en-GB"/>
          <w14:ligatures w14:val="none"/>
        </w:rPr>
        <w:t>steepeners</w:t>
      </w:r>
      <w:proofErr w:type="spellEnd"/>
      <w:r w:rsidRPr="0032251D">
        <w:rPr>
          <w:rFonts w:ascii="Aptos" w:eastAsia="Times New Roman" w:hAnsi="Aptos" w:cs="Times New Roman"/>
          <w:kern w:val="0"/>
          <w:sz w:val="22"/>
          <w:szCs w:val="22"/>
          <w:lang w:eastAsia="en-GB"/>
          <w14:ligatures w14:val="none"/>
        </w:rPr>
        <w:t xml:space="preserve"> vs flatteners) depends critically on which component is moving — same trade can win or lose depending on what drove the curve shift; second, term premium exposure is increasingly a strategic allocation decision (passive long-duration positions are concentrated term premium bets, often unhedged); third, in EM, yields trade against global convenience yield — when US Treasuries become more "convenient," EM yields widen even without domestic deterioration. This is the cleanest framework for understanding the 2013 taper tantrum, March 2020 dollar shortage, and similar episodes.</w:t>
      </w:r>
    </w:p>
    <w:p w14:paraId="7C4ED75C"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2FE814AA">
          <v:rect id="_x0000_i1067" alt="" style="width:451.3pt;height:.05pt;mso-width-percent:0;mso-height-percent:0;mso-width-percent:0;mso-height-percent:0" o:hralign="center" o:hrstd="t" o:hr="t" fillcolor="#a0a0a0" stroked="f"/>
        </w:pict>
      </w:r>
    </w:p>
    <w:p w14:paraId="77A8E03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Regime and EM variation</w:t>
      </w:r>
    </w:p>
    <w:p w14:paraId="24AE076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EM yield curves differ from DM in seven structural ways.</w:t>
      </w:r>
    </w:p>
    <w:p w14:paraId="435FC70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Inflation risk premium.</w:t>
      </w:r>
      <w:r w:rsidRPr="0032251D">
        <w:rPr>
          <w:rFonts w:ascii="Aptos" w:eastAsia="Times New Roman" w:hAnsi="Aptos" w:cs="Times New Roman"/>
          <w:kern w:val="0"/>
          <w:sz w:val="22"/>
          <w:szCs w:val="22"/>
          <w:lang w:eastAsia="en-GB"/>
          <w14:ligatures w14:val="none"/>
        </w:rPr>
        <w:t xml:space="preserve"> EM long yields embed higher inflation risk premia. Long BEIs in EM are less anchored. SARB's 10y inflation-linked yields suggest BEI of 5-6%, vs </w:t>
      </w:r>
      <w:proofErr w:type="spellStart"/>
      <w:r w:rsidRPr="0032251D">
        <w:rPr>
          <w:rFonts w:ascii="Aptos" w:eastAsia="Times New Roman" w:hAnsi="Aptos" w:cs="Times New Roman"/>
          <w:kern w:val="0"/>
          <w:sz w:val="22"/>
          <w:szCs w:val="22"/>
          <w:lang w:eastAsia="en-GB"/>
          <w14:ligatures w14:val="none"/>
        </w:rPr>
        <w:t>Fed's</w:t>
      </w:r>
      <w:proofErr w:type="spellEnd"/>
      <w:r w:rsidRPr="0032251D">
        <w:rPr>
          <w:rFonts w:ascii="Aptos" w:eastAsia="Times New Roman" w:hAnsi="Aptos" w:cs="Times New Roman"/>
          <w:kern w:val="0"/>
          <w:sz w:val="22"/>
          <w:szCs w:val="22"/>
          <w:lang w:eastAsia="en-GB"/>
          <w14:ligatures w14:val="none"/>
        </w:rPr>
        <w:t xml:space="preserve"> of 2-2.5% — most of which is inflation risk premium rather than central tendency.</w:t>
      </w:r>
    </w:p>
    <w:p w14:paraId="4C6316A2"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Sovereign credit premium.</w:t>
      </w:r>
      <w:r w:rsidRPr="0032251D">
        <w:rPr>
          <w:rFonts w:ascii="Aptos" w:eastAsia="Times New Roman" w:hAnsi="Aptos" w:cs="Times New Roman"/>
          <w:kern w:val="0"/>
          <w:sz w:val="22"/>
          <w:szCs w:val="22"/>
          <w:lang w:eastAsia="en-GB"/>
          <w14:ligatures w14:val="none"/>
        </w:rPr>
        <w:t xml:space="preserve"> EM sovereign yields include credit risk in their own currency. Theoretically zero for a sovereign issuing in its own currency (it can print), but markets price it because of denomination risk, default willingness, and fiscal sustainability. SA 10y trades 4-6% above US 10y; not all of that is rate differential — credit and currency premia are embedded.</w:t>
      </w:r>
    </w:p>
    <w:p w14:paraId="10681C72"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Convenience yield exposure.</w:t>
      </w:r>
      <w:r w:rsidRPr="0032251D">
        <w:rPr>
          <w:rFonts w:ascii="Aptos" w:eastAsia="Times New Roman" w:hAnsi="Aptos" w:cs="Times New Roman"/>
          <w:kern w:val="0"/>
          <w:sz w:val="22"/>
          <w:szCs w:val="22"/>
          <w:lang w:eastAsia="en-GB"/>
          <w14:ligatures w14:val="none"/>
        </w:rPr>
        <w:t xml:space="preserve"> EM local-currency bonds trade against global convenience yield. When global safe-asset demand spikes (flight to quality), EM curves widen even without domestic deterioration. This is a cross-currency convenience yield mechanism that DM markets do not face symmetrically.</w:t>
      </w:r>
    </w:p>
    <w:p w14:paraId="051801D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Liquidity premium.</w:t>
      </w:r>
      <w:r w:rsidRPr="0032251D">
        <w:rPr>
          <w:rFonts w:ascii="Aptos" w:eastAsia="Times New Roman" w:hAnsi="Aptos" w:cs="Times New Roman"/>
          <w:kern w:val="0"/>
          <w:sz w:val="22"/>
          <w:szCs w:val="22"/>
          <w:lang w:eastAsia="en-GB"/>
          <w14:ligatures w14:val="none"/>
        </w:rPr>
        <w:t xml:space="preserve"> EM bond markets are thinner. Liquidity premia are larger and more variable. On-the-run vs off-the-run spreads in SA can be 10-20bp; in the US 1-3bp.</w:t>
      </w:r>
    </w:p>
    <w:p w14:paraId="050BEA2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Foreign holder share.</w:t>
      </w:r>
      <w:r w:rsidRPr="0032251D">
        <w:rPr>
          <w:rFonts w:ascii="Aptos" w:eastAsia="Times New Roman" w:hAnsi="Aptos" w:cs="Times New Roman"/>
          <w:kern w:val="0"/>
          <w:sz w:val="22"/>
          <w:szCs w:val="22"/>
          <w:lang w:eastAsia="en-GB"/>
          <w14:ligatures w14:val="none"/>
        </w:rPr>
        <w:t xml:space="preserve"> EM bond markets have variable foreign holder share, which drives sensitivity to global flows. SA foreign holder share peaked above 40% pre-2018; now around 20%. The decline matters because foreign-held positioning is what gets sold first in stress.</w:t>
      </w:r>
    </w:p>
    <w:p w14:paraId="3521B6F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Maturity coverage.</w:t>
      </w:r>
      <w:r w:rsidRPr="0032251D">
        <w:rPr>
          <w:rFonts w:ascii="Aptos" w:eastAsia="Times New Roman" w:hAnsi="Aptos" w:cs="Times New Roman"/>
          <w:kern w:val="0"/>
          <w:sz w:val="22"/>
          <w:szCs w:val="22"/>
          <w:lang w:eastAsia="en-GB"/>
          <w14:ligatures w14:val="none"/>
        </w:rPr>
        <w:t xml:space="preserve"> EM curves often do not extend as far as DM. SA's longest benchmark (R2053) is shorter than the US 30y; many EMs have no liquid 20y+ bonds. This complicates fixed-income hedging for long-duration liabilities.</w:t>
      </w:r>
    </w:p>
    <w:p w14:paraId="6975572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Reaction function transmission.</w:t>
      </w:r>
      <w:r w:rsidRPr="0032251D">
        <w:rPr>
          <w:rFonts w:ascii="Aptos" w:eastAsia="Times New Roman" w:hAnsi="Aptos" w:cs="Times New Roman"/>
          <w:kern w:val="0"/>
          <w:sz w:val="22"/>
          <w:szCs w:val="22"/>
          <w:lang w:eastAsia="en-GB"/>
          <w14:ligatures w14:val="none"/>
        </w:rPr>
        <w:t xml:space="preserve"> EM curves price the bank's FX-sensitive reaction function. </w:t>
      </w:r>
      <w:proofErr w:type="gramStart"/>
      <w:r w:rsidRPr="0032251D">
        <w:rPr>
          <w:rFonts w:ascii="Aptos" w:eastAsia="Times New Roman" w:hAnsi="Aptos" w:cs="Times New Roman"/>
          <w:kern w:val="0"/>
          <w:sz w:val="22"/>
          <w:szCs w:val="22"/>
          <w:lang w:eastAsia="en-GB"/>
          <w14:ligatures w14:val="none"/>
        </w:rPr>
        <w:t>So</w:t>
      </w:r>
      <w:proofErr w:type="gramEnd"/>
      <w:r w:rsidRPr="0032251D">
        <w:rPr>
          <w:rFonts w:ascii="Aptos" w:eastAsia="Times New Roman" w:hAnsi="Aptos" w:cs="Times New Roman"/>
          <w:kern w:val="0"/>
          <w:sz w:val="22"/>
          <w:szCs w:val="22"/>
          <w:lang w:eastAsia="en-GB"/>
          <w14:ligatures w14:val="none"/>
        </w:rPr>
        <w:t xml:space="preserve"> they are more FX-responsive than DM curves — a USD-ZAR shock moves the SA curve through both expected-rate and term-premium channels simultaneously.</w:t>
      </w:r>
    </w:p>
    <w:p w14:paraId="559C83A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SA specifically.</w:t>
      </w:r>
      <w:r w:rsidRPr="0032251D">
        <w:rPr>
          <w:rFonts w:ascii="Aptos" w:eastAsia="Times New Roman" w:hAnsi="Aptos" w:cs="Times New Roman"/>
          <w:kern w:val="0"/>
          <w:sz w:val="22"/>
          <w:szCs w:val="22"/>
          <w:lang w:eastAsia="en-GB"/>
          <w14:ligatures w14:val="none"/>
        </w:rPr>
        <w:t xml:space="preserve"> The R-bond curve trades via benchmark names — R186, R208, R213, R2030, R2032, R2035, R2040, R2044, R2048, R2053. Inflation-linked bonds — I-series, I2025 through I2050. ZAR forwards and FRA/swap curves provide alternative reads. The R2030 and R2035 are the key liquidity benchmarks. Foreign </w:t>
      </w:r>
      <w:proofErr w:type="gramStart"/>
      <w:r w:rsidRPr="0032251D">
        <w:rPr>
          <w:rFonts w:ascii="Aptos" w:eastAsia="Times New Roman" w:hAnsi="Aptos" w:cs="Times New Roman"/>
          <w:kern w:val="0"/>
          <w:sz w:val="22"/>
          <w:szCs w:val="22"/>
          <w:lang w:eastAsia="en-GB"/>
          <w14:ligatures w14:val="none"/>
        </w:rPr>
        <w:t>holder</w:t>
      </w:r>
      <w:proofErr w:type="gramEnd"/>
      <w:r w:rsidRPr="0032251D">
        <w:rPr>
          <w:rFonts w:ascii="Aptos" w:eastAsia="Times New Roman" w:hAnsi="Aptos" w:cs="Times New Roman"/>
          <w:kern w:val="0"/>
          <w:sz w:val="22"/>
          <w:szCs w:val="22"/>
          <w:lang w:eastAsia="en-GB"/>
          <w14:ligatures w14:val="none"/>
        </w:rPr>
        <w:t xml:space="preserve"> share collapse 2018-2024 changed the curve's transmission characteristics — less foreign positioning means less stress-vol but also less anchoring during global episodes.</w:t>
      </w:r>
    </w:p>
    <w:p w14:paraId="707452E5"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40C4CF58">
          <v:rect id="_x0000_i1068" alt="" style="width:451.3pt;height:.05pt;mso-width-percent:0;mso-height-percent:0;mso-width-percent:0;mso-height-percent:0" o:hralign="center" o:hrstd="t" o:hr="t" fillcolor="#a0a0a0" stroked="f"/>
        </w:pict>
      </w:r>
    </w:p>
    <w:p w14:paraId="399D0D3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Measurement choices</w:t>
      </w:r>
    </w:p>
    <w:p w14:paraId="59117BC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For market nodes, measurement is operationally rich. Key choices:</w:t>
      </w:r>
    </w:p>
    <w:p w14:paraId="0EC772D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Bond vs swap curve.</w:t>
      </w:r>
      <w:r w:rsidRPr="0032251D">
        <w:rPr>
          <w:rFonts w:ascii="Aptos" w:eastAsia="Times New Roman" w:hAnsi="Aptos" w:cs="Times New Roman"/>
          <w:kern w:val="0"/>
          <w:sz w:val="22"/>
          <w:szCs w:val="22"/>
          <w:lang w:eastAsia="en-GB"/>
          <w14:ligatures w14:val="none"/>
        </w:rPr>
        <w:t xml:space="preserve"> Bond curves include sovereign credit; swap curves include bank credit. For monetary policy transmission, swap curves are sometimes cleaner; for sovereign analysis, bond curves are right. The Treasury-OIS basis itself carries information about collateral pricing and dealer balance sheet stress.</w:t>
      </w:r>
    </w:p>
    <w:p w14:paraId="148D764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On-the-run vs off-the-run.</w:t>
      </w:r>
      <w:r w:rsidRPr="0032251D">
        <w:rPr>
          <w:rFonts w:ascii="Aptos" w:eastAsia="Times New Roman" w:hAnsi="Aptos" w:cs="Times New Roman"/>
          <w:kern w:val="0"/>
          <w:sz w:val="22"/>
          <w:szCs w:val="22"/>
          <w:lang w:eastAsia="en-GB"/>
          <w14:ligatures w14:val="none"/>
        </w:rPr>
        <w:t xml:space="preserve"> On-the-run bonds trade with a liquidity premium. For "the 10y yield" — use which? The on-the-run vs off-the-run basis is 1-3bp in the US, larger in EM.</w:t>
      </w:r>
    </w:p>
    <w:p w14:paraId="11FE4E6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Zero-coupon vs par yield.</w:t>
      </w:r>
      <w:r w:rsidRPr="0032251D">
        <w:rPr>
          <w:rFonts w:ascii="Aptos" w:eastAsia="Times New Roman" w:hAnsi="Aptos" w:cs="Times New Roman"/>
          <w:kern w:val="0"/>
          <w:sz w:val="22"/>
          <w:szCs w:val="22"/>
          <w:lang w:eastAsia="en-GB"/>
          <w14:ligatures w14:val="none"/>
        </w:rPr>
        <w:t xml:space="preserve"> Zero-coupon yields are theoretically right but require interpolation from observed coupon bonds. Par yields are observable but mix coupon and principal effects. ACM uses zero-coupon. Most market practitioners use par.</w:t>
      </w:r>
    </w:p>
    <w:p w14:paraId="6413183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Term premium model.</w:t>
      </w:r>
      <w:r w:rsidRPr="0032251D">
        <w:rPr>
          <w:rFonts w:ascii="Aptos" w:eastAsia="Times New Roman" w:hAnsi="Aptos" w:cs="Times New Roman"/>
          <w:kern w:val="0"/>
          <w:sz w:val="22"/>
          <w:szCs w:val="22"/>
          <w:lang w:eastAsia="en-GB"/>
          <w14:ligatures w14:val="none"/>
        </w:rPr>
        <w:t xml:space="preserve"> ACM vs Kim-Wright vs others. Same data, different decompositions. Cross-check across models is good practice; using one model exclusively risks model-specific artefacts driving conclusions.</w:t>
      </w:r>
    </w:p>
    <w:p w14:paraId="4B93E7E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Real yield estimation.</w:t>
      </w:r>
      <w:r w:rsidRPr="0032251D">
        <w:rPr>
          <w:rFonts w:ascii="Aptos" w:eastAsia="Times New Roman" w:hAnsi="Aptos" w:cs="Times New Roman"/>
          <w:kern w:val="0"/>
          <w:sz w:val="22"/>
          <w:szCs w:val="22"/>
          <w:lang w:eastAsia="en-GB"/>
          <w14:ligatures w14:val="none"/>
        </w:rPr>
        <w:t xml:space="preserve"> Real yields from inflation-linked bonds include a liquidity premium that distorts the BEI decomposition. The Treasury-TIPS basis swap (which neutralises the liquidity premium) can adjust this but is itself a small market.</w:t>
      </w:r>
    </w:p>
    <w:p w14:paraId="0434ED3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Curve construction method.</w:t>
      </w:r>
      <w:r w:rsidRPr="0032251D">
        <w:rPr>
          <w:rFonts w:ascii="Aptos" w:eastAsia="Times New Roman" w:hAnsi="Aptos" w:cs="Times New Roman"/>
          <w:kern w:val="0"/>
          <w:sz w:val="22"/>
          <w:szCs w:val="22"/>
          <w:lang w:eastAsia="en-GB"/>
          <w14:ligatures w14:val="none"/>
        </w:rPr>
        <w:t xml:space="preserve"> Nelson-Siegel-Svensson vs spline methods give different fits, especially at the wings. Daily curve estimates can differ across providers (Bloomberg, Refinitiv, FRBs).</w:t>
      </w:r>
    </w:p>
    <w:p w14:paraId="7D7D8F2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Maturity benchmark choice.</w:t>
      </w:r>
      <w:r w:rsidRPr="0032251D">
        <w:rPr>
          <w:rFonts w:ascii="Aptos" w:eastAsia="Times New Roman" w:hAnsi="Aptos" w:cs="Times New Roman"/>
          <w:kern w:val="0"/>
          <w:sz w:val="22"/>
          <w:szCs w:val="22"/>
          <w:lang w:eastAsia="en-GB"/>
          <w14:ligatures w14:val="none"/>
        </w:rPr>
        <w:t xml:space="preserve"> "10y" can be a constant-maturity construct (smoother, theoretical) or a specific bond (tradable, exposed to roll dynamics). Different empirical questions warrant different choices.</w:t>
      </w:r>
    </w:p>
    <w:p w14:paraId="54E9B72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Stale-price problem.</w:t>
      </w:r>
      <w:r w:rsidRPr="0032251D">
        <w:rPr>
          <w:rFonts w:ascii="Aptos" w:eastAsia="Times New Roman" w:hAnsi="Aptos" w:cs="Times New Roman"/>
          <w:kern w:val="0"/>
          <w:sz w:val="22"/>
          <w:szCs w:val="22"/>
          <w:lang w:eastAsia="en-GB"/>
          <w14:ligatures w14:val="none"/>
        </w:rPr>
        <w:t xml:space="preserve"> Especially relevant for EM curves with thinner liquidity. End-of-day yields may not reflect tradeable prices; intraday or VWAP measures are more reliable for high-frequency identification.</w:t>
      </w:r>
    </w:p>
    <w:p w14:paraId="2523B02E"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1DD94BDB">
          <v:rect id="_x0000_i1069" alt="" style="width:451.3pt;height:.05pt;mso-width-percent:0;mso-height-percent:0;mso-width-percent:0;mso-height-percent:0" o:hralign="center" o:hrstd="t" o:hr="t" fillcolor="#a0a0a0" stroked="f"/>
        </w:pict>
      </w:r>
    </w:p>
    <w:p w14:paraId="652A8ED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Where dissonance lives</w:t>
      </w:r>
    </w:p>
    <w:p w14:paraId="2CB73F9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Within L4a:</w:t>
      </w:r>
    </w:p>
    <w:p w14:paraId="0D0FBAD5"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Intra-node.</w:t>
      </w:r>
      <w:r w:rsidRPr="0032251D">
        <w:rPr>
          <w:rFonts w:ascii="Aptos" w:eastAsia="Times New Roman" w:hAnsi="Aptos" w:cs="Times New Roman"/>
          <w:kern w:val="0"/>
          <w:sz w:val="22"/>
          <w:szCs w:val="22"/>
          <w:lang w:eastAsia="en-GB"/>
          <w14:ligatures w14:val="none"/>
        </w:rPr>
        <w:t xml:space="preserve"> Curve shape components — slope, curvature, term premium estimate, Treasury-OIS basis, on-the-run vs off-the-run — should imply a consistent regime read. Dissonance fires when:</w:t>
      </w:r>
    </w:p>
    <w:p w14:paraId="2F7F4696" w14:textId="77777777" w:rsidR="0032251D" w:rsidRPr="0032251D" w:rsidRDefault="0032251D">
      <w:pPr>
        <w:numPr>
          <w:ilvl w:val="0"/>
          <w:numId w:val="2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Slope and term premium imply contradictory regime reads (steepening with falling term premium is unusual; usually steepening reflects expectations of more hikes or rising term premium, not both)</w:t>
      </w:r>
    </w:p>
    <w:p w14:paraId="40C3ADBA" w14:textId="77777777" w:rsidR="0032251D" w:rsidRPr="0032251D" w:rsidRDefault="0032251D">
      <w:pPr>
        <w:numPr>
          <w:ilvl w:val="0"/>
          <w:numId w:val="2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Curvature spikes outside historical ranges — typically a regime-transition signature</w:t>
      </w:r>
    </w:p>
    <w:p w14:paraId="2DEC8C1E" w14:textId="77777777" w:rsidR="0032251D" w:rsidRPr="0032251D" w:rsidRDefault="0032251D">
      <w:pPr>
        <w:numPr>
          <w:ilvl w:val="0"/>
          <w:numId w:val="2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Treasury-OIS basis widens — collateral / dealer balance sheet stress, market plumbing breaking</w:t>
      </w:r>
    </w:p>
    <w:p w14:paraId="66C822AD" w14:textId="77777777" w:rsidR="0032251D" w:rsidRPr="0032251D" w:rsidRDefault="0032251D">
      <w:pPr>
        <w:numPr>
          <w:ilvl w:val="0"/>
          <w:numId w:val="2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Real yields and BEIs move inconsistent with nominal yield decomposition — the Fisher relationship straining</w:t>
      </w:r>
    </w:p>
    <w:p w14:paraId="26E7478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Incoming relationships.</w:t>
      </w:r>
      <w:r w:rsidRPr="0032251D">
        <w:rPr>
          <w:rFonts w:ascii="Aptos" w:eastAsia="Times New Roman" w:hAnsi="Aptos" w:cs="Times New Roman"/>
          <w:kern w:val="0"/>
          <w:sz w:val="22"/>
          <w:szCs w:val="22"/>
          <w:lang w:eastAsia="en-GB"/>
          <w14:ligatures w14:val="none"/>
        </w:rPr>
        <w:t xml:space="preserve"> The yield curve is the consolidator of L1, L3a, L3b, L3c effects. Dissonance from above flows into L4a as the integrated market read:</w:t>
      </w:r>
    </w:p>
    <w:p w14:paraId="11AECE9F" w14:textId="77777777" w:rsidR="0032251D" w:rsidRPr="0032251D" w:rsidRDefault="0032251D">
      <w:pPr>
        <w:numPr>
          <w:ilvl w:val="0"/>
          <w:numId w:val="2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L1 → L4a: curve prices a different reaction function from the estimated one</w:t>
      </w:r>
    </w:p>
    <w:p w14:paraId="7A396A6C" w14:textId="77777777" w:rsidR="0032251D" w:rsidRPr="0032251D" w:rsidRDefault="0032251D">
      <w:pPr>
        <w:numPr>
          <w:ilvl w:val="0"/>
          <w:numId w:val="2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L3a → L4a: front re-prices but slope/curvature inconsistent with the rule (front-back disagreement)</w:t>
      </w:r>
    </w:p>
    <w:p w14:paraId="07B4A813" w14:textId="77777777" w:rsidR="0032251D" w:rsidRPr="0032251D" w:rsidRDefault="0032251D">
      <w:pPr>
        <w:numPr>
          <w:ilvl w:val="0"/>
          <w:numId w:val="2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L3b → L4a: balance sheet operations not producing the expected term premium response</w:t>
      </w:r>
    </w:p>
    <w:p w14:paraId="38A09787" w14:textId="77777777" w:rsidR="0032251D" w:rsidRPr="0032251D" w:rsidRDefault="0032251D">
      <w:pPr>
        <w:numPr>
          <w:ilvl w:val="0"/>
          <w:numId w:val="2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L3c → L4a: guidance moves but belly does not follow (credibility leak visible in the curve)</w:t>
      </w:r>
    </w:p>
    <w:p w14:paraId="03E1D97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Peer relationships within L4.</w:t>
      </w:r>
      <w:r w:rsidRPr="0032251D">
        <w:rPr>
          <w:rFonts w:ascii="Aptos" w:eastAsia="Times New Roman" w:hAnsi="Aptos" w:cs="Times New Roman"/>
          <w:kern w:val="0"/>
          <w:sz w:val="22"/>
          <w:szCs w:val="22"/>
          <w:lang w:eastAsia="en-GB"/>
          <w14:ligatures w14:val="none"/>
        </w:rPr>
        <w:t xml:space="preserve"> The yield curve, FX (L4b), inflation-linked (L4c), and volatility surface (L4d) jointly characterise the market regime. Dissonance fires when the curve disagrees with what FX, BEIs, or vol are simultaneously pricing — e.g., yield curve steepening with FX strengthening and vol falling, when the framework says these should move together.</w:t>
      </w:r>
    </w:p>
    <w:p w14:paraId="0A610972"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Outgoing relationships.</w:t>
      </w:r>
      <w:r w:rsidRPr="0032251D">
        <w:rPr>
          <w:rFonts w:ascii="Aptos" w:eastAsia="Times New Roman" w:hAnsi="Aptos" w:cs="Times New Roman"/>
          <w:kern w:val="0"/>
          <w:sz w:val="22"/>
          <w:szCs w:val="22"/>
          <w:lang w:eastAsia="en-GB"/>
          <w14:ligatures w14:val="none"/>
        </w:rPr>
        <w:t xml:space="preserve"> The yield curve is the input to discount rates (L8), financial conditions (L7), bank NIM (L5a), and asset prices (L9). Dissonance fires when curve moves do not translate downstream — segmentation in transmission, or curve disconnecting from what other prices are implying.</w:t>
      </w:r>
    </w:p>
    <w:p w14:paraId="47B4120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The L4a node is the </w:t>
      </w:r>
      <w:r w:rsidRPr="0032251D">
        <w:rPr>
          <w:rFonts w:ascii="Aptos" w:eastAsia="Times New Roman" w:hAnsi="Aptos" w:cs="Times New Roman"/>
          <w:i/>
          <w:iCs/>
          <w:kern w:val="0"/>
          <w:sz w:val="22"/>
          <w:szCs w:val="22"/>
          <w:lang w:eastAsia="en-GB"/>
          <w14:ligatures w14:val="none"/>
        </w:rPr>
        <w:t>market integrator</w:t>
      </w:r>
      <w:r w:rsidRPr="0032251D">
        <w:rPr>
          <w:rFonts w:ascii="Aptos" w:eastAsia="Times New Roman" w:hAnsi="Aptos" w:cs="Times New Roman"/>
          <w:kern w:val="0"/>
          <w:sz w:val="22"/>
          <w:szCs w:val="22"/>
          <w:lang w:eastAsia="en-GB"/>
          <w14:ligatures w14:val="none"/>
        </w:rPr>
        <w:t xml:space="preserve">. It is where every L1-L3 dissonance ultimately manifests as a tradable price, and where measurement is richest. Dissonance at L4a is rarely an origin point — it is usually the consequence of dissonance somewhere else in the framework, made visible in the most-watched market. For empirical work, the yield curve is therefore both the </w:t>
      </w:r>
      <w:r w:rsidRPr="0032251D">
        <w:rPr>
          <w:rFonts w:ascii="Aptos" w:eastAsia="Times New Roman" w:hAnsi="Aptos" w:cs="Times New Roman"/>
          <w:i/>
          <w:iCs/>
          <w:kern w:val="0"/>
          <w:sz w:val="22"/>
          <w:szCs w:val="22"/>
          <w:lang w:eastAsia="en-GB"/>
          <w14:ligatures w14:val="none"/>
        </w:rPr>
        <w:lastRenderedPageBreak/>
        <w:t>output</w:t>
      </w:r>
      <w:r w:rsidRPr="0032251D">
        <w:rPr>
          <w:rFonts w:ascii="Aptos" w:eastAsia="Times New Roman" w:hAnsi="Aptos" w:cs="Times New Roman"/>
          <w:kern w:val="0"/>
          <w:sz w:val="22"/>
          <w:szCs w:val="22"/>
          <w:lang w:eastAsia="en-GB"/>
          <w14:ligatures w14:val="none"/>
        </w:rPr>
        <w:t xml:space="preserve"> (where stress shows up) and the </w:t>
      </w:r>
      <w:r w:rsidRPr="0032251D">
        <w:rPr>
          <w:rFonts w:ascii="Aptos" w:eastAsia="Times New Roman" w:hAnsi="Aptos" w:cs="Times New Roman"/>
          <w:i/>
          <w:iCs/>
          <w:kern w:val="0"/>
          <w:sz w:val="22"/>
          <w:szCs w:val="22"/>
          <w:lang w:eastAsia="en-GB"/>
          <w14:ligatures w14:val="none"/>
        </w:rPr>
        <w:t>measurement instrument</w:t>
      </w:r>
      <w:r w:rsidRPr="0032251D">
        <w:rPr>
          <w:rFonts w:ascii="Aptos" w:eastAsia="Times New Roman" w:hAnsi="Aptos" w:cs="Times New Roman"/>
          <w:kern w:val="0"/>
          <w:sz w:val="22"/>
          <w:szCs w:val="22"/>
          <w:lang w:eastAsia="en-GB"/>
          <w14:ligatures w14:val="none"/>
        </w:rPr>
        <w:t xml:space="preserve"> (the cleanest read on integrated stance and credibility). It is the most informationally dense node in the framework.</w:t>
      </w:r>
    </w:p>
    <w:p w14:paraId="0B6EE50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Level 4b — FX</w:t>
      </w:r>
    </w:p>
    <w:p w14:paraId="38550BE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Definition.</w:t>
      </w:r>
      <w:r w:rsidRPr="0032251D">
        <w:rPr>
          <w:rFonts w:ascii="Aptos" w:eastAsia="Times New Roman" w:hAnsi="Aptos" w:cs="Times New Roman"/>
          <w:kern w:val="0"/>
          <w:sz w:val="22"/>
          <w:szCs w:val="22"/>
          <w:lang w:eastAsia="en-GB"/>
          <w14:ligatures w14:val="none"/>
        </w:rPr>
        <w:t xml:space="preserve"> FX (foreign exchange) is the global market in which currencies are exchanged. By turnover it is the largest financial market on Earth — ~$7.5tn/day per the BIS triennial survey. Unlike yield curves, FX is not priced via discounted cash flows. It is a </w:t>
      </w:r>
      <w:r w:rsidRPr="0032251D">
        <w:rPr>
          <w:rFonts w:ascii="Aptos" w:eastAsia="Times New Roman" w:hAnsi="Aptos" w:cs="Times New Roman"/>
          <w:i/>
          <w:iCs/>
          <w:kern w:val="0"/>
          <w:sz w:val="22"/>
          <w:szCs w:val="22"/>
          <w:lang w:eastAsia="en-GB"/>
          <w14:ligatures w14:val="none"/>
        </w:rPr>
        <w:t>relative</w:t>
      </w:r>
      <w:r w:rsidRPr="0032251D">
        <w:rPr>
          <w:rFonts w:ascii="Aptos" w:eastAsia="Times New Roman" w:hAnsi="Aptos" w:cs="Times New Roman"/>
          <w:kern w:val="0"/>
          <w:sz w:val="22"/>
          <w:szCs w:val="22"/>
          <w:lang w:eastAsia="en-GB"/>
          <w14:ligatures w14:val="none"/>
        </w:rPr>
        <w:t xml:space="preserve"> price between two currencies — always a ratio, never an absolute. Three principal instrument families: </w:t>
      </w:r>
      <w:r w:rsidRPr="0032251D">
        <w:rPr>
          <w:rFonts w:ascii="Aptos" w:eastAsia="Times New Roman" w:hAnsi="Aptos" w:cs="Times New Roman"/>
          <w:i/>
          <w:iCs/>
          <w:kern w:val="0"/>
          <w:sz w:val="22"/>
          <w:szCs w:val="22"/>
          <w:lang w:eastAsia="en-GB"/>
          <w14:ligatures w14:val="none"/>
        </w:rPr>
        <w:t>spot</w:t>
      </w:r>
      <w:r w:rsidRPr="0032251D">
        <w:rPr>
          <w:rFonts w:ascii="Aptos" w:eastAsia="Times New Roman" w:hAnsi="Aptos" w:cs="Times New Roman"/>
          <w:kern w:val="0"/>
          <w:sz w:val="22"/>
          <w:szCs w:val="22"/>
          <w:lang w:eastAsia="en-GB"/>
          <w14:ligatures w14:val="none"/>
        </w:rPr>
        <w:t xml:space="preserve"> (immediate, T+2), </w:t>
      </w:r>
      <w:r w:rsidRPr="0032251D">
        <w:rPr>
          <w:rFonts w:ascii="Aptos" w:eastAsia="Times New Roman" w:hAnsi="Aptos" w:cs="Times New Roman"/>
          <w:i/>
          <w:iCs/>
          <w:kern w:val="0"/>
          <w:sz w:val="22"/>
          <w:szCs w:val="22"/>
          <w:lang w:eastAsia="en-GB"/>
          <w14:ligatures w14:val="none"/>
        </w:rPr>
        <w:t>forwards</w:t>
      </w:r>
      <w:r w:rsidRPr="0032251D">
        <w:rPr>
          <w:rFonts w:ascii="Aptos" w:eastAsia="Times New Roman" w:hAnsi="Aptos" w:cs="Times New Roman"/>
          <w:kern w:val="0"/>
          <w:sz w:val="22"/>
          <w:szCs w:val="22"/>
          <w:lang w:eastAsia="en-GB"/>
          <w14:ligatures w14:val="none"/>
        </w:rPr>
        <w:t xml:space="preserve"> (contracted future exchange, the basis of CIP), and </w:t>
      </w:r>
      <w:r w:rsidRPr="0032251D">
        <w:rPr>
          <w:rFonts w:ascii="Aptos" w:eastAsia="Times New Roman" w:hAnsi="Aptos" w:cs="Times New Roman"/>
          <w:i/>
          <w:iCs/>
          <w:kern w:val="0"/>
          <w:sz w:val="22"/>
          <w:szCs w:val="22"/>
          <w:lang w:eastAsia="en-GB"/>
          <w14:ligatures w14:val="none"/>
        </w:rPr>
        <w:t>options</w:t>
      </w:r>
      <w:r w:rsidRPr="0032251D">
        <w:rPr>
          <w:rFonts w:ascii="Aptos" w:eastAsia="Times New Roman" w:hAnsi="Aptos" w:cs="Times New Roman"/>
          <w:kern w:val="0"/>
          <w:sz w:val="22"/>
          <w:szCs w:val="22"/>
          <w:lang w:eastAsia="en-GB"/>
          <w14:ligatures w14:val="none"/>
        </w:rPr>
        <w:t xml:space="preserve"> (right but not obligation to exchange). Reference measures: bilateral spot rates, NEER (Nominal Effective Exchange Rate, trade-weighted), REER (Real Effective Exchange Rate, trade-weighted and inflation-adjusted), and USD-specific indices like DXY. FX is unique among L4 markets because it has no terminal value, is defined bilaterally rather than absolutely, and is therefore driven by parities and arbitrage rather than discounted cash flows.</w:t>
      </w:r>
    </w:p>
    <w:p w14:paraId="31B71010"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4B9D1D55">
          <v:rect id="_x0000_i1070" alt="" style="width:451.3pt;height:.05pt;mso-width-percent:0;mso-height-percent:0;mso-width-percent:0;mso-height-percent:0" o:hralign="center" o:hrstd="t" o:hr="t" fillcolor="#a0a0a0" stroked="f"/>
        </w:pict>
      </w:r>
    </w:p>
    <w:p w14:paraId="56EFF98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Theory</w:t>
      </w:r>
    </w:p>
    <w:p w14:paraId="4F45517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Several theoretical foundations sit beneath FX as a market.</w:t>
      </w:r>
    </w:p>
    <w:p w14:paraId="31541C4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Purchasing Power Parity (PPP).</w:t>
      </w:r>
      <w:r w:rsidRPr="0032251D">
        <w:rPr>
          <w:rFonts w:ascii="Aptos" w:eastAsia="Times New Roman" w:hAnsi="Aptos" w:cs="Times New Roman"/>
          <w:kern w:val="0"/>
          <w:sz w:val="22"/>
          <w:szCs w:val="22"/>
          <w:lang w:eastAsia="en-GB"/>
          <w14:ligatures w14:val="none"/>
        </w:rPr>
        <w:t xml:space="preserve"> Relative prices should adjust to make tradable goods equally priced across countries. Absolute PPP almost never holds; relative PPP (changes in inflation differentials should match changes in FX) holds at long horizons (decades), not short. PPP is the long-run anchor for FX — equilibrium exchange rates drift toward it, but deviations can persist for years.</w:t>
      </w:r>
    </w:p>
    <w:p w14:paraId="02CC960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Uncovered Interest Parity (UIP).</w:t>
      </w:r>
      <w:r w:rsidRPr="0032251D">
        <w:rPr>
          <w:rFonts w:ascii="Aptos" w:eastAsia="Times New Roman" w:hAnsi="Aptos" w:cs="Times New Roman"/>
          <w:kern w:val="0"/>
          <w:sz w:val="22"/>
          <w:szCs w:val="22"/>
          <w:lang w:eastAsia="en-GB"/>
          <w14:ligatures w14:val="none"/>
        </w:rPr>
        <w:t xml:space="preserve"> The textbook prediction: expected FX change = interest rate differential. If domestic rates exceed foreign by X%, the currency should depreciate by X% over the period. </w:t>
      </w:r>
      <w:r w:rsidRPr="0032251D">
        <w:rPr>
          <w:rFonts w:ascii="Aptos" w:eastAsia="Times New Roman" w:hAnsi="Aptos" w:cs="Times New Roman"/>
          <w:i/>
          <w:iCs/>
          <w:kern w:val="0"/>
          <w:sz w:val="22"/>
          <w:szCs w:val="22"/>
          <w:lang w:eastAsia="en-GB"/>
          <w14:ligatures w14:val="none"/>
        </w:rPr>
        <w:t>UIP fails systematically</w:t>
      </w:r>
      <w:r w:rsidRPr="0032251D">
        <w:rPr>
          <w:rFonts w:ascii="Aptos" w:eastAsia="Times New Roman" w:hAnsi="Aptos" w:cs="Times New Roman"/>
          <w:kern w:val="0"/>
          <w:sz w:val="22"/>
          <w:szCs w:val="22"/>
          <w:lang w:eastAsia="en-GB"/>
          <w14:ligatures w14:val="none"/>
        </w:rPr>
        <w:t xml:space="preserve"> — high-rate currencies </w:t>
      </w:r>
      <w:r w:rsidRPr="0032251D">
        <w:rPr>
          <w:rFonts w:ascii="Aptos" w:eastAsia="Times New Roman" w:hAnsi="Aptos" w:cs="Times New Roman"/>
          <w:i/>
          <w:iCs/>
          <w:kern w:val="0"/>
          <w:sz w:val="22"/>
          <w:szCs w:val="22"/>
          <w:lang w:eastAsia="en-GB"/>
          <w14:ligatures w14:val="none"/>
        </w:rPr>
        <w:t>appreciate</w:t>
      </w:r>
      <w:r w:rsidRPr="0032251D">
        <w:rPr>
          <w:rFonts w:ascii="Aptos" w:eastAsia="Times New Roman" w:hAnsi="Aptos" w:cs="Times New Roman"/>
          <w:kern w:val="0"/>
          <w:sz w:val="22"/>
          <w:szCs w:val="22"/>
          <w:lang w:eastAsia="en-GB"/>
          <w14:ligatures w14:val="none"/>
        </w:rPr>
        <w:t xml:space="preserve"> on average, not depreciate. This is the "forward premium puzzle" or carry trade puzzle (Fama 1984). The failure is one of the most robust empirical regularities in finance.</w:t>
      </w:r>
    </w:p>
    <w:p w14:paraId="7DA5192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Covered Interest Parity (CIP).</w:t>
      </w:r>
      <w:r w:rsidRPr="0032251D">
        <w:rPr>
          <w:rFonts w:ascii="Aptos" w:eastAsia="Times New Roman" w:hAnsi="Aptos" w:cs="Times New Roman"/>
          <w:kern w:val="0"/>
          <w:sz w:val="22"/>
          <w:szCs w:val="22"/>
          <w:lang w:eastAsia="en-GB"/>
          <w14:ligatures w14:val="none"/>
        </w:rPr>
        <w:t xml:space="preserve"> Spot, forward, and rate differentials must satisfy a no-arbitrage condition: F/S = (1 + </w:t>
      </w:r>
      <w:proofErr w:type="spellStart"/>
      <w:r w:rsidRPr="0032251D">
        <w:rPr>
          <w:rFonts w:ascii="Aptos" w:eastAsia="Times New Roman" w:hAnsi="Aptos" w:cs="Times New Roman"/>
          <w:kern w:val="0"/>
          <w:sz w:val="22"/>
          <w:szCs w:val="22"/>
          <w:lang w:eastAsia="en-GB"/>
          <w14:ligatures w14:val="none"/>
        </w:rPr>
        <w:t>i_d</w:t>
      </w:r>
      <w:proofErr w:type="spellEnd"/>
      <w:r w:rsidRPr="0032251D">
        <w:rPr>
          <w:rFonts w:ascii="Aptos" w:eastAsia="Times New Roman" w:hAnsi="Aptos" w:cs="Times New Roman"/>
          <w:kern w:val="0"/>
          <w:sz w:val="22"/>
          <w:szCs w:val="22"/>
          <w:lang w:eastAsia="en-GB"/>
          <w14:ligatures w14:val="none"/>
        </w:rPr>
        <w:t xml:space="preserve">) / (1 + </w:t>
      </w:r>
      <w:proofErr w:type="spellStart"/>
      <w:r w:rsidRPr="0032251D">
        <w:rPr>
          <w:rFonts w:ascii="Aptos" w:eastAsia="Times New Roman" w:hAnsi="Aptos" w:cs="Times New Roman"/>
          <w:kern w:val="0"/>
          <w:sz w:val="22"/>
          <w:szCs w:val="22"/>
          <w:lang w:eastAsia="en-GB"/>
          <w14:ligatures w14:val="none"/>
        </w:rPr>
        <w:t>i_f</w:t>
      </w:r>
      <w:proofErr w:type="spellEnd"/>
      <w:r w:rsidRPr="0032251D">
        <w:rPr>
          <w:rFonts w:ascii="Aptos" w:eastAsia="Times New Roman" w:hAnsi="Aptos" w:cs="Times New Roman"/>
          <w:kern w:val="0"/>
          <w:sz w:val="22"/>
          <w:szCs w:val="22"/>
          <w:lang w:eastAsia="en-GB"/>
          <w14:ligatures w14:val="none"/>
        </w:rPr>
        <w:t xml:space="preserve">). Pre-2008, CIP held tightly because dealers could arbitrage cheaply. Post-2008, CIP </w:t>
      </w:r>
      <w:r w:rsidRPr="0032251D">
        <w:rPr>
          <w:rFonts w:ascii="Aptos" w:eastAsia="Times New Roman" w:hAnsi="Aptos" w:cs="Times New Roman"/>
          <w:i/>
          <w:iCs/>
          <w:kern w:val="0"/>
          <w:sz w:val="22"/>
          <w:szCs w:val="22"/>
          <w:lang w:eastAsia="en-GB"/>
          <w14:ligatures w14:val="none"/>
        </w:rPr>
        <w:t>fails systematically</w:t>
      </w:r>
      <w:r w:rsidRPr="0032251D">
        <w:rPr>
          <w:rFonts w:ascii="Aptos" w:eastAsia="Times New Roman" w:hAnsi="Aptos" w:cs="Times New Roman"/>
          <w:kern w:val="0"/>
          <w:sz w:val="22"/>
          <w:szCs w:val="22"/>
          <w:lang w:eastAsia="en-GB"/>
          <w14:ligatures w14:val="none"/>
        </w:rPr>
        <w:t xml:space="preserve"> because dealer balance sheet constraints (SLR, G-SIB surcharges) make the arbitrage costly. The CIP basis — the deviation from parity, in basis points — is itself now an important market price. Du-Tepper-</w:t>
      </w:r>
      <w:proofErr w:type="spellStart"/>
      <w:r w:rsidRPr="0032251D">
        <w:rPr>
          <w:rFonts w:ascii="Aptos" w:eastAsia="Times New Roman" w:hAnsi="Aptos" w:cs="Times New Roman"/>
          <w:kern w:val="0"/>
          <w:sz w:val="22"/>
          <w:szCs w:val="22"/>
          <w:lang w:eastAsia="en-GB"/>
          <w14:ligatures w14:val="none"/>
        </w:rPr>
        <w:t>Verdelhan</w:t>
      </w:r>
      <w:proofErr w:type="spellEnd"/>
      <w:r w:rsidRPr="0032251D">
        <w:rPr>
          <w:rFonts w:ascii="Aptos" w:eastAsia="Times New Roman" w:hAnsi="Aptos" w:cs="Times New Roman"/>
          <w:kern w:val="0"/>
          <w:sz w:val="22"/>
          <w:szCs w:val="22"/>
          <w:lang w:eastAsia="en-GB"/>
          <w14:ligatures w14:val="none"/>
        </w:rPr>
        <w:t xml:space="preserve"> (2018) documented persistent post-2008 CIP basis of 20-50bp across major currencies.</w:t>
      </w:r>
    </w:p>
    <w:p w14:paraId="41C3FD3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Carry premium.</w:t>
      </w:r>
      <w:r w:rsidRPr="0032251D">
        <w:rPr>
          <w:rFonts w:ascii="Aptos" w:eastAsia="Times New Roman" w:hAnsi="Aptos" w:cs="Times New Roman"/>
          <w:kern w:val="0"/>
          <w:sz w:val="22"/>
          <w:szCs w:val="22"/>
          <w:lang w:eastAsia="en-GB"/>
          <w14:ligatures w14:val="none"/>
        </w:rPr>
        <w:t xml:space="preserve"> Because UIP fails, there is a positive carry trade risk premium on average. Why does it exist? Crash risk (</w:t>
      </w:r>
      <w:proofErr w:type="spellStart"/>
      <w:r w:rsidRPr="0032251D">
        <w:rPr>
          <w:rFonts w:ascii="Aptos" w:eastAsia="Times New Roman" w:hAnsi="Aptos" w:cs="Times New Roman"/>
          <w:kern w:val="0"/>
          <w:sz w:val="22"/>
          <w:szCs w:val="22"/>
          <w:lang w:eastAsia="en-GB"/>
          <w14:ligatures w14:val="none"/>
        </w:rPr>
        <w:t>Brunnermeier</w:t>
      </w:r>
      <w:proofErr w:type="spellEnd"/>
      <w:r w:rsidRPr="0032251D">
        <w:rPr>
          <w:rFonts w:ascii="Aptos" w:eastAsia="Times New Roman" w:hAnsi="Aptos" w:cs="Times New Roman"/>
          <w:kern w:val="0"/>
          <w:sz w:val="22"/>
          <w:szCs w:val="22"/>
          <w:lang w:eastAsia="en-GB"/>
          <w14:ligatures w14:val="none"/>
        </w:rPr>
        <w:t>-Pedersen 2009), liquidity risk, peso problems, intermediary balance sheet constraints (Lustig-Roussanov-</w:t>
      </w:r>
      <w:proofErr w:type="spellStart"/>
      <w:r w:rsidRPr="0032251D">
        <w:rPr>
          <w:rFonts w:ascii="Aptos" w:eastAsia="Times New Roman" w:hAnsi="Aptos" w:cs="Times New Roman"/>
          <w:kern w:val="0"/>
          <w:sz w:val="22"/>
          <w:szCs w:val="22"/>
          <w:lang w:eastAsia="en-GB"/>
          <w14:ligatures w14:val="none"/>
        </w:rPr>
        <w:t>Verdelhan</w:t>
      </w:r>
      <w:proofErr w:type="spellEnd"/>
      <w:r w:rsidRPr="0032251D">
        <w:rPr>
          <w:rFonts w:ascii="Aptos" w:eastAsia="Times New Roman" w:hAnsi="Aptos" w:cs="Times New Roman"/>
          <w:kern w:val="0"/>
          <w:sz w:val="22"/>
          <w:szCs w:val="22"/>
          <w:lang w:eastAsia="en-GB"/>
          <w14:ligatures w14:val="none"/>
        </w:rPr>
        <w:t xml:space="preserve"> 2011; Adrian-</w:t>
      </w:r>
      <w:proofErr w:type="spellStart"/>
      <w:r w:rsidRPr="0032251D">
        <w:rPr>
          <w:rFonts w:ascii="Aptos" w:eastAsia="Times New Roman" w:hAnsi="Aptos" w:cs="Times New Roman"/>
          <w:kern w:val="0"/>
          <w:sz w:val="22"/>
          <w:szCs w:val="22"/>
          <w:lang w:eastAsia="en-GB"/>
          <w14:ligatures w14:val="none"/>
        </w:rPr>
        <w:t>Etula</w:t>
      </w:r>
      <w:proofErr w:type="spellEnd"/>
      <w:r w:rsidRPr="0032251D">
        <w:rPr>
          <w:rFonts w:ascii="Aptos" w:eastAsia="Times New Roman" w:hAnsi="Aptos" w:cs="Times New Roman"/>
          <w:kern w:val="0"/>
          <w:sz w:val="22"/>
          <w:szCs w:val="22"/>
          <w:lang w:eastAsia="en-GB"/>
          <w14:ligatures w14:val="none"/>
        </w:rPr>
        <w:t>-Muir 2014). The carry premium compensates investors for bearing the downside risk that materialises in stress — high-carry currencies crash when global risk-off hits.</w:t>
      </w:r>
    </w:p>
    <w:p w14:paraId="16D5E8F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Currency factor models.</w:t>
      </w:r>
      <w:r w:rsidRPr="0032251D">
        <w:rPr>
          <w:rFonts w:ascii="Aptos" w:eastAsia="Times New Roman" w:hAnsi="Aptos" w:cs="Times New Roman"/>
          <w:kern w:val="0"/>
          <w:sz w:val="22"/>
          <w:szCs w:val="22"/>
          <w:lang w:eastAsia="en-GB"/>
          <w14:ligatures w14:val="none"/>
        </w:rPr>
        <w:t xml:space="preserve"> Empirical work has identified factors that price the cross-section of currency returns. Lustig-Roussanov-</w:t>
      </w:r>
      <w:proofErr w:type="spellStart"/>
      <w:r w:rsidRPr="0032251D">
        <w:rPr>
          <w:rFonts w:ascii="Aptos" w:eastAsia="Times New Roman" w:hAnsi="Aptos" w:cs="Times New Roman"/>
          <w:kern w:val="0"/>
          <w:sz w:val="22"/>
          <w:szCs w:val="22"/>
          <w:lang w:eastAsia="en-GB"/>
          <w14:ligatures w14:val="none"/>
        </w:rPr>
        <w:t>Verdelhan</w:t>
      </w:r>
      <w:proofErr w:type="spellEnd"/>
      <w:r w:rsidRPr="0032251D">
        <w:rPr>
          <w:rFonts w:ascii="Aptos" w:eastAsia="Times New Roman" w:hAnsi="Aptos" w:cs="Times New Roman"/>
          <w:kern w:val="0"/>
          <w:sz w:val="22"/>
          <w:szCs w:val="22"/>
          <w:lang w:eastAsia="en-GB"/>
          <w14:ligatures w14:val="none"/>
        </w:rPr>
        <w:t xml:space="preserve"> (2011) established the dollar (DOL) and carry (HML_FX) factors. Subsequent work added value (BEER deviations), momentum, and volatility </w:t>
      </w:r>
      <w:r w:rsidRPr="0032251D">
        <w:rPr>
          <w:rFonts w:ascii="Aptos" w:eastAsia="Times New Roman" w:hAnsi="Aptos" w:cs="Times New Roman"/>
          <w:kern w:val="0"/>
          <w:sz w:val="22"/>
          <w:szCs w:val="22"/>
          <w:lang w:eastAsia="en-GB"/>
          <w14:ligatures w14:val="none"/>
        </w:rPr>
        <w:lastRenderedPageBreak/>
        <w:t>factors. The same logic as equity factor models — currencies have systematic risk exposures that price expected returns.</w:t>
      </w:r>
    </w:p>
    <w:p w14:paraId="2758331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Order flow and microstructure.</w:t>
      </w:r>
      <w:r w:rsidRPr="0032251D">
        <w:rPr>
          <w:rFonts w:ascii="Aptos" w:eastAsia="Times New Roman" w:hAnsi="Aptos" w:cs="Times New Roman"/>
          <w:kern w:val="0"/>
          <w:sz w:val="22"/>
          <w:szCs w:val="22"/>
          <w:lang w:eastAsia="en-GB"/>
          <w14:ligatures w14:val="none"/>
        </w:rPr>
        <w:t xml:space="preserve"> Because FX has no terminal value, price formation is more flow-driven than in equities or bonds. Evans-Lyons (2002) showed that order flow has permanent price impact in FX. This makes FX more sensitive to positioning and less anchored to fundamentals on short horizons.</w:t>
      </w:r>
    </w:p>
    <w:p w14:paraId="7DACB286"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1E29E52E">
          <v:rect id="_x0000_i1071" alt="" style="width:451.3pt;height:.05pt;mso-width-percent:0;mso-height-percent:0;mso-width-percent:0;mso-height-percent:0" o:hralign="center" o:hrstd="t" o:hr="t" fillcolor="#a0a0a0" stroked="f"/>
        </w:pict>
      </w:r>
    </w:p>
    <w:p w14:paraId="6549AF3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Canonical decomposition and components</w:t>
      </w:r>
    </w:p>
    <w:p w14:paraId="56D3F0C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FX prices can be decomposed several ways depending on the analytical question.</w:t>
      </w:r>
    </w:p>
    <w:p w14:paraId="1BC9D32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Spot dynamics.</w:t>
      </w:r>
    </w:p>
    <w:p w14:paraId="28B70BA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Expected FX change = Interest rate differential + Risk premium</w:t>
      </w:r>
    </w:p>
    <w:p w14:paraId="11463F1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This is the violated UIP relationship. The risk premium is what makes carry profitable on average. Empirically the risk premium is time-varying and largest in stress.</w:t>
      </w:r>
    </w:p>
    <w:p w14:paraId="4EEF04C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Forward pricing (CIP).</w:t>
      </w:r>
    </w:p>
    <w:p w14:paraId="42976C0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F = S × (1 + </w:t>
      </w:r>
      <w:proofErr w:type="spellStart"/>
      <w:r w:rsidRPr="0032251D">
        <w:rPr>
          <w:rFonts w:ascii="Aptos" w:eastAsia="Times New Roman" w:hAnsi="Aptos" w:cs="Times New Roman"/>
          <w:kern w:val="0"/>
          <w:sz w:val="22"/>
          <w:szCs w:val="22"/>
          <w:lang w:eastAsia="en-GB"/>
          <w14:ligatures w14:val="none"/>
        </w:rPr>
        <w:t>i_d</w:t>
      </w:r>
      <w:proofErr w:type="spellEnd"/>
      <w:r w:rsidRPr="0032251D">
        <w:rPr>
          <w:rFonts w:ascii="Aptos" w:eastAsia="Times New Roman" w:hAnsi="Aptos" w:cs="Times New Roman"/>
          <w:kern w:val="0"/>
          <w:sz w:val="22"/>
          <w:szCs w:val="22"/>
          <w:lang w:eastAsia="en-GB"/>
          <w14:ligatures w14:val="none"/>
        </w:rPr>
        <w:t xml:space="preserve">) / (1 + </w:t>
      </w:r>
      <w:proofErr w:type="spellStart"/>
      <w:r w:rsidRPr="0032251D">
        <w:rPr>
          <w:rFonts w:ascii="Aptos" w:eastAsia="Times New Roman" w:hAnsi="Aptos" w:cs="Times New Roman"/>
          <w:kern w:val="0"/>
          <w:sz w:val="22"/>
          <w:szCs w:val="22"/>
          <w:lang w:eastAsia="en-GB"/>
          <w14:ligatures w14:val="none"/>
        </w:rPr>
        <w:t>i_f</w:t>
      </w:r>
      <w:proofErr w:type="spellEnd"/>
      <w:r w:rsidRPr="0032251D">
        <w:rPr>
          <w:rFonts w:ascii="Aptos" w:eastAsia="Times New Roman" w:hAnsi="Aptos" w:cs="Times New Roman"/>
          <w:kern w:val="0"/>
          <w:sz w:val="22"/>
          <w:szCs w:val="22"/>
          <w:lang w:eastAsia="en-GB"/>
          <w14:ligatures w14:val="none"/>
        </w:rPr>
        <w:t>) + CIP basis</w:t>
      </w:r>
    </w:p>
    <w:p w14:paraId="4618670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Forward FX should equal spot scaled by the carry. The basis term is the post-2008 friction — deviations from parity that persist because dealers cannot arbitrage </w:t>
      </w:r>
      <w:proofErr w:type="spellStart"/>
      <w:r w:rsidRPr="0032251D">
        <w:rPr>
          <w:rFonts w:ascii="Aptos" w:eastAsia="Times New Roman" w:hAnsi="Aptos" w:cs="Times New Roman"/>
          <w:kern w:val="0"/>
          <w:sz w:val="22"/>
          <w:szCs w:val="22"/>
          <w:lang w:eastAsia="en-GB"/>
          <w14:ligatures w14:val="none"/>
        </w:rPr>
        <w:t>costlessly</w:t>
      </w:r>
      <w:proofErr w:type="spellEnd"/>
      <w:r w:rsidRPr="0032251D">
        <w:rPr>
          <w:rFonts w:ascii="Aptos" w:eastAsia="Times New Roman" w:hAnsi="Aptos" w:cs="Times New Roman"/>
          <w:kern w:val="0"/>
          <w:sz w:val="22"/>
          <w:szCs w:val="22"/>
          <w:lang w:eastAsia="en-GB"/>
          <w14:ligatures w14:val="none"/>
        </w:rPr>
        <w:t>.</w:t>
      </w:r>
    </w:p>
    <w:p w14:paraId="3134E4D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Cross-currency convenience yield asymmetry.</w:t>
      </w:r>
      <w:r w:rsidRPr="0032251D">
        <w:rPr>
          <w:rFonts w:ascii="Aptos" w:eastAsia="Times New Roman" w:hAnsi="Aptos" w:cs="Times New Roman"/>
          <w:kern w:val="0"/>
          <w:sz w:val="22"/>
          <w:szCs w:val="22"/>
          <w:lang w:eastAsia="en-GB"/>
          <w14:ligatures w14:val="none"/>
        </w:rPr>
        <w:t xml:space="preserve"> USD has a convenience yield premium — it is the world's safe-haven currency. EUR, JPY, CHF have some convenience yield. EM currencies have </w:t>
      </w:r>
      <w:r w:rsidRPr="0032251D">
        <w:rPr>
          <w:rFonts w:ascii="Aptos" w:eastAsia="Times New Roman" w:hAnsi="Aptos" w:cs="Times New Roman"/>
          <w:i/>
          <w:iCs/>
          <w:kern w:val="0"/>
          <w:sz w:val="22"/>
          <w:szCs w:val="22"/>
          <w:lang w:eastAsia="en-GB"/>
          <w14:ligatures w14:val="none"/>
        </w:rPr>
        <w:t>negative</w:t>
      </w:r>
      <w:r w:rsidRPr="0032251D">
        <w:rPr>
          <w:rFonts w:ascii="Aptos" w:eastAsia="Times New Roman" w:hAnsi="Aptos" w:cs="Times New Roman"/>
          <w:kern w:val="0"/>
          <w:sz w:val="22"/>
          <w:szCs w:val="22"/>
          <w:lang w:eastAsia="en-GB"/>
          <w14:ligatures w14:val="none"/>
        </w:rPr>
        <w:t xml:space="preserve"> convenience yield — they are not safe havens. This asymmetry shows up in:</w:t>
      </w:r>
    </w:p>
    <w:p w14:paraId="553AC9AA" w14:textId="77777777" w:rsidR="0032251D" w:rsidRPr="0032251D" w:rsidRDefault="0032251D">
      <w:pPr>
        <w:numPr>
          <w:ilvl w:val="0"/>
          <w:numId w:val="2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CIP basis (USD basis is structurally negative — non-US borrowers pay a premium for dollars)</w:t>
      </w:r>
    </w:p>
    <w:p w14:paraId="4B57713F" w14:textId="77777777" w:rsidR="0032251D" w:rsidRPr="0032251D" w:rsidRDefault="0032251D">
      <w:pPr>
        <w:numPr>
          <w:ilvl w:val="0"/>
          <w:numId w:val="2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Risk-off behaviour (dollar strengthens broadly in stress)</w:t>
      </w:r>
    </w:p>
    <w:p w14:paraId="74A06CB4" w14:textId="77777777" w:rsidR="0032251D" w:rsidRPr="0032251D" w:rsidRDefault="0032251D">
      <w:pPr>
        <w:numPr>
          <w:ilvl w:val="0"/>
          <w:numId w:val="2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Volatility asymmetry (downside skew is larger for EM)</w:t>
      </w:r>
    </w:p>
    <w:p w14:paraId="4977280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Currency factor decomposition (Lustig-</w:t>
      </w:r>
      <w:proofErr w:type="spellStart"/>
      <w:r w:rsidRPr="0032251D">
        <w:rPr>
          <w:rFonts w:ascii="Aptos" w:eastAsia="Times New Roman" w:hAnsi="Aptos" w:cs="Times New Roman"/>
          <w:i/>
          <w:iCs/>
          <w:kern w:val="0"/>
          <w:sz w:val="22"/>
          <w:szCs w:val="22"/>
          <w:lang w:eastAsia="en-GB"/>
          <w14:ligatures w14:val="none"/>
        </w:rPr>
        <w:t>Verdelhan</w:t>
      </w:r>
      <w:proofErr w:type="spellEnd"/>
      <w:r w:rsidRPr="0032251D">
        <w:rPr>
          <w:rFonts w:ascii="Aptos" w:eastAsia="Times New Roman" w:hAnsi="Aptos" w:cs="Times New Roman"/>
          <w:i/>
          <w:iCs/>
          <w:kern w:val="0"/>
          <w:sz w:val="22"/>
          <w:szCs w:val="22"/>
          <w:lang w:eastAsia="en-GB"/>
          <w14:ligatures w14:val="none"/>
        </w:rPr>
        <w:t>).</w:t>
      </w:r>
    </w:p>
    <w:p w14:paraId="7B47914C" w14:textId="77777777" w:rsidR="0032251D" w:rsidRPr="0032251D" w:rsidRDefault="0032251D">
      <w:pPr>
        <w:numPr>
          <w:ilvl w:val="0"/>
          <w:numId w:val="2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Dollar factor (DOL): broad USD level</w:t>
      </w:r>
    </w:p>
    <w:p w14:paraId="039DFB03" w14:textId="77777777" w:rsidR="0032251D" w:rsidRPr="0032251D" w:rsidRDefault="0032251D">
      <w:pPr>
        <w:numPr>
          <w:ilvl w:val="0"/>
          <w:numId w:val="2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Carry factor (HML_FX): high-rate currencies vs low-rate</w:t>
      </w:r>
    </w:p>
    <w:p w14:paraId="5EB352DE" w14:textId="77777777" w:rsidR="0032251D" w:rsidRPr="0032251D" w:rsidRDefault="0032251D">
      <w:pPr>
        <w:numPr>
          <w:ilvl w:val="0"/>
          <w:numId w:val="2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Value factor: deviations from BEER fair value</w:t>
      </w:r>
    </w:p>
    <w:p w14:paraId="207EF201" w14:textId="77777777" w:rsidR="0032251D" w:rsidRPr="0032251D" w:rsidRDefault="0032251D">
      <w:pPr>
        <w:numPr>
          <w:ilvl w:val="0"/>
          <w:numId w:val="2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Momentum factor: recent return continuation</w:t>
      </w:r>
    </w:p>
    <w:p w14:paraId="4116E4A8" w14:textId="77777777" w:rsidR="0032251D" w:rsidRPr="0032251D" w:rsidRDefault="0032251D">
      <w:pPr>
        <w:numPr>
          <w:ilvl w:val="0"/>
          <w:numId w:val="2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Volatility factor: short volatility currencies vs long volatility</w:t>
      </w:r>
    </w:p>
    <w:p w14:paraId="264EE822"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Effective rate construction.</w:t>
      </w:r>
    </w:p>
    <w:p w14:paraId="3C2C37CB" w14:textId="77777777" w:rsidR="0032251D" w:rsidRPr="0032251D" w:rsidRDefault="0032251D">
      <w:pPr>
        <w:numPr>
          <w:ilvl w:val="0"/>
          <w:numId w:val="2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NEER: trade-weighted basket, nominal</w:t>
      </w:r>
    </w:p>
    <w:p w14:paraId="07653F9D" w14:textId="77777777" w:rsidR="0032251D" w:rsidRPr="0032251D" w:rsidRDefault="0032251D">
      <w:pPr>
        <w:numPr>
          <w:ilvl w:val="0"/>
          <w:numId w:val="2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REER: trade-weighted basket, adjusted for relative CPI or unit labour costs</w:t>
      </w:r>
    </w:p>
    <w:p w14:paraId="52462DD8" w14:textId="77777777" w:rsidR="0032251D" w:rsidRPr="0032251D" w:rsidRDefault="0032251D">
      <w:pPr>
        <w:numPr>
          <w:ilvl w:val="0"/>
          <w:numId w:val="2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USD-weighted indices: trade-weighted vs financial-weighted give different reads</w:t>
      </w:r>
    </w:p>
    <w:p w14:paraId="6959A01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lastRenderedPageBreak/>
        <w:t>The same currency move can look very different through these lenses — a USD/ZAR move tells one story; the trade-weighted REER may tell another.</w:t>
      </w:r>
    </w:p>
    <w:p w14:paraId="2E5E9BE5"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235031FA">
          <v:rect id="_x0000_i1072" alt="" style="width:451.3pt;height:.05pt;mso-width-percent:0;mso-height-percent:0;mso-width-percent:0;mso-height-percent:0" o:hralign="center" o:hrstd="t" o:hr="t" fillcolor="#a0a0a0" stroked="f"/>
        </w:pict>
      </w:r>
    </w:p>
    <w:p w14:paraId="7E8F735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Why this matters for asset prices</w:t>
      </w:r>
    </w:p>
    <w:p w14:paraId="6049821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FX is consequential through eight channels.</w:t>
      </w:r>
    </w:p>
    <w:p w14:paraId="7F1074F5"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Carry trade returns.</w:t>
      </w:r>
      <w:r w:rsidRPr="0032251D">
        <w:rPr>
          <w:rFonts w:ascii="Aptos" w:eastAsia="Times New Roman" w:hAnsi="Aptos" w:cs="Times New Roman"/>
          <w:kern w:val="0"/>
          <w:sz w:val="22"/>
          <w:szCs w:val="22"/>
          <w:lang w:eastAsia="en-GB"/>
          <w14:ligatures w14:val="none"/>
        </w:rPr>
        <w:t xml:space="preserve"> Directly, FX positioning is a return source. Carry trades have generated positive long-run Sharpe ratios with periodic crashes — the </w:t>
      </w:r>
      <w:proofErr w:type="spellStart"/>
      <w:r w:rsidRPr="0032251D">
        <w:rPr>
          <w:rFonts w:ascii="Aptos" w:eastAsia="Times New Roman" w:hAnsi="Aptos" w:cs="Times New Roman"/>
          <w:kern w:val="0"/>
          <w:sz w:val="22"/>
          <w:szCs w:val="22"/>
          <w:lang w:eastAsia="en-GB"/>
          <w14:ligatures w14:val="none"/>
        </w:rPr>
        <w:t>Brunnermeier</w:t>
      </w:r>
      <w:proofErr w:type="spellEnd"/>
      <w:r w:rsidRPr="0032251D">
        <w:rPr>
          <w:rFonts w:ascii="Aptos" w:eastAsia="Times New Roman" w:hAnsi="Aptos" w:cs="Times New Roman"/>
          <w:kern w:val="0"/>
          <w:sz w:val="22"/>
          <w:szCs w:val="22"/>
          <w:lang w:eastAsia="en-GB"/>
          <w14:ligatures w14:val="none"/>
        </w:rPr>
        <w:t>-Pedersen crash-risk pattern.</w:t>
      </w:r>
    </w:p>
    <w:p w14:paraId="3563DB95"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Cross-currency asset valuations.</w:t>
      </w:r>
      <w:r w:rsidRPr="0032251D">
        <w:rPr>
          <w:rFonts w:ascii="Aptos" w:eastAsia="Times New Roman" w:hAnsi="Aptos" w:cs="Times New Roman"/>
          <w:kern w:val="0"/>
          <w:sz w:val="22"/>
          <w:szCs w:val="22"/>
          <w:lang w:eastAsia="en-GB"/>
          <w14:ligatures w14:val="none"/>
        </w:rPr>
        <w:t xml:space="preserve"> The same equity or bond in different currencies has different unhedged returns. FX is half the return for unhedged foreign investments — sometimes more in volatile periods.</w:t>
      </w:r>
    </w:p>
    <w:p w14:paraId="52EBB14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Inflation pass-through.</w:t>
      </w:r>
      <w:r w:rsidRPr="0032251D">
        <w:rPr>
          <w:rFonts w:ascii="Aptos" w:eastAsia="Times New Roman" w:hAnsi="Aptos" w:cs="Times New Roman"/>
          <w:kern w:val="0"/>
          <w:sz w:val="22"/>
          <w:szCs w:val="22"/>
          <w:lang w:eastAsia="en-GB"/>
          <w14:ligatures w14:val="none"/>
        </w:rPr>
        <w:t xml:space="preserve"> Weaker domestic FX raises import prices, raising inflation. The pass-through coefficient varies (~0.2-0.5 over 12 months for most economies); higher for small open economies, lower for </w:t>
      </w:r>
      <w:proofErr w:type="gramStart"/>
      <w:r w:rsidRPr="0032251D">
        <w:rPr>
          <w:rFonts w:ascii="Aptos" w:eastAsia="Times New Roman" w:hAnsi="Aptos" w:cs="Times New Roman"/>
          <w:kern w:val="0"/>
          <w:sz w:val="22"/>
          <w:szCs w:val="22"/>
          <w:lang w:eastAsia="en-GB"/>
          <w14:ligatures w14:val="none"/>
        </w:rPr>
        <w:t>large closed</w:t>
      </w:r>
      <w:proofErr w:type="gramEnd"/>
      <w:r w:rsidRPr="0032251D">
        <w:rPr>
          <w:rFonts w:ascii="Aptos" w:eastAsia="Times New Roman" w:hAnsi="Aptos" w:cs="Times New Roman"/>
          <w:kern w:val="0"/>
          <w:sz w:val="22"/>
          <w:szCs w:val="22"/>
          <w:lang w:eastAsia="en-GB"/>
          <w14:ligatures w14:val="none"/>
        </w:rPr>
        <w:t xml:space="preserve"> ones. This flows through to rates expectations and corporate margins.</w:t>
      </w:r>
    </w:p>
    <w:p w14:paraId="36FCDBF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Corporate balance sheets.</w:t>
      </w:r>
      <w:r w:rsidRPr="0032251D">
        <w:rPr>
          <w:rFonts w:ascii="Aptos" w:eastAsia="Times New Roman" w:hAnsi="Aptos" w:cs="Times New Roman"/>
          <w:kern w:val="0"/>
          <w:sz w:val="22"/>
          <w:szCs w:val="22"/>
          <w:lang w:eastAsia="en-GB"/>
          <w14:ligatures w14:val="none"/>
        </w:rPr>
        <w:t xml:space="preserve"> Companies with FX-denominated debt face solvency stress on FX moves. The Asian crisis (1997-98) was largely this mechanism — corporate FX mismatch turning into mass default. In SA, gold miners and import-dependent retailers are exposed in opposite directions.</w:t>
      </w:r>
    </w:p>
    <w:p w14:paraId="1D8E7CA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Sovereign credit.</w:t>
      </w:r>
      <w:r w:rsidRPr="0032251D">
        <w:rPr>
          <w:rFonts w:ascii="Aptos" w:eastAsia="Times New Roman" w:hAnsi="Aptos" w:cs="Times New Roman"/>
          <w:kern w:val="0"/>
          <w:sz w:val="22"/>
          <w:szCs w:val="22"/>
          <w:lang w:eastAsia="en-GB"/>
          <w14:ligatures w14:val="none"/>
        </w:rPr>
        <w:t xml:space="preserve"> Sovereigns with FX-denominated debt face solvency stress. Argentina, Turkey, Lebanon — modern textbook cases. EM sovereign CDS is heavily FX-correlated for this reason.</w:t>
      </w:r>
    </w:p>
    <w:p w14:paraId="7E50CCC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Capital flows.</w:t>
      </w:r>
      <w:r w:rsidRPr="0032251D">
        <w:rPr>
          <w:rFonts w:ascii="Aptos" w:eastAsia="Times New Roman" w:hAnsi="Aptos" w:cs="Times New Roman"/>
          <w:kern w:val="0"/>
          <w:sz w:val="22"/>
          <w:szCs w:val="22"/>
          <w:lang w:eastAsia="en-GB"/>
          <w14:ligatures w14:val="none"/>
        </w:rPr>
        <w:t xml:space="preserve"> Stable FX attracts foreign capital; volatile FX repels it. The relationship is reflexive — flow-driven FX stability attracts more flow.</w:t>
      </w:r>
    </w:p>
    <w:p w14:paraId="7CCE1F9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Commodity prices.</w:t>
      </w:r>
      <w:r w:rsidRPr="0032251D">
        <w:rPr>
          <w:rFonts w:ascii="Aptos" w:eastAsia="Times New Roman" w:hAnsi="Aptos" w:cs="Times New Roman"/>
          <w:kern w:val="0"/>
          <w:sz w:val="22"/>
          <w:szCs w:val="22"/>
          <w:lang w:eastAsia="en-GB"/>
          <w14:ligatures w14:val="none"/>
        </w:rPr>
        <w:t xml:space="preserve"> Most commodities are priced in USD. FX moves change relative commodity costs for non-USD producers and consumers. For SA, this is the rand-gold and rand-PGM relationship.</w:t>
      </w:r>
    </w:p>
    <w:p w14:paraId="0A9F414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Trade balances.</w:t>
      </w:r>
      <w:r w:rsidRPr="0032251D">
        <w:rPr>
          <w:rFonts w:ascii="Aptos" w:eastAsia="Times New Roman" w:hAnsi="Aptos" w:cs="Times New Roman"/>
          <w:kern w:val="0"/>
          <w:sz w:val="22"/>
          <w:szCs w:val="22"/>
          <w:lang w:eastAsia="en-GB"/>
          <w14:ligatures w14:val="none"/>
        </w:rPr>
        <w:t xml:space="preserve"> Long-run, FX moves affect competitiveness and current account. Short-run, J-curve dynamics often reverse the relationship — depreciation worsens the trade balance before improving it.</w:t>
      </w:r>
    </w:p>
    <w:p w14:paraId="1A97C45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For investment managers four practitioner points dominate. First, EM FX is the cleanest read on central bank credibility — cleaner than rates because it integrates the rule, instruments, and constraints into a single price observable continuously. Second, FX hedging decisions for international portfolios are major return drivers and often under-resourced relative to equity selection. Third, FX factor strategies (carry, value, momentum) are established sources of return with capacity but periodic drawdowns. Fourth, the post-2008 CIP basis creates persistent funding arbitrage opportunities for those with balance sheet — which is why dealer regulation matters for the basis.</w:t>
      </w:r>
    </w:p>
    <w:p w14:paraId="4B531F82"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3D5243F0">
          <v:rect id="_x0000_i1073" alt="" style="width:451.3pt;height:.05pt;mso-width-percent:0;mso-height-percent:0;mso-width-percent:0;mso-height-percent:0" o:hralign="center" o:hrstd="t" o:hr="t" fillcolor="#a0a0a0" stroked="f"/>
        </w:pict>
      </w:r>
    </w:p>
    <w:p w14:paraId="4EEC8E0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lastRenderedPageBreak/>
        <w:t>Sub-node: Regime and EM variation</w:t>
      </w:r>
    </w:p>
    <w:p w14:paraId="6411672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structural differences across the panel are deep.</w:t>
      </w:r>
    </w:p>
    <w:p w14:paraId="0AB011E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DM currencies.</w:t>
      </w:r>
      <w:r w:rsidRPr="0032251D">
        <w:rPr>
          <w:rFonts w:ascii="Aptos" w:eastAsia="Times New Roman" w:hAnsi="Aptos" w:cs="Times New Roman"/>
          <w:kern w:val="0"/>
          <w:sz w:val="22"/>
          <w:szCs w:val="22"/>
          <w:lang w:eastAsia="en-GB"/>
          <w14:ligatures w14:val="none"/>
        </w:rPr>
        <w:t xml:space="preserve"> Generally free-floating, deep markets, low convenience yield variability for majors. G10 carry dynamics: JPY traditionally funded, AUD/NZD as </w:t>
      </w:r>
      <w:proofErr w:type="gramStart"/>
      <w:r w:rsidRPr="0032251D">
        <w:rPr>
          <w:rFonts w:ascii="Aptos" w:eastAsia="Times New Roman" w:hAnsi="Aptos" w:cs="Times New Roman"/>
          <w:kern w:val="0"/>
          <w:sz w:val="22"/>
          <w:szCs w:val="22"/>
          <w:lang w:eastAsia="en-GB"/>
          <w14:ligatures w14:val="none"/>
        </w:rPr>
        <w:t>high-carry</w:t>
      </w:r>
      <w:proofErr w:type="gramEnd"/>
      <w:r w:rsidRPr="0032251D">
        <w:rPr>
          <w:rFonts w:ascii="Aptos" w:eastAsia="Times New Roman" w:hAnsi="Aptos" w:cs="Times New Roman"/>
          <w:kern w:val="0"/>
          <w:sz w:val="22"/>
          <w:szCs w:val="22"/>
          <w:lang w:eastAsia="en-GB"/>
          <w14:ligatures w14:val="none"/>
        </w:rPr>
        <w:t>. CIP basis is significant post-2008, especially for non-USD majors. EUR/USD and USD/JPY are the global liquidity benchmarks.</w:t>
      </w:r>
    </w:p>
    <w:p w14:paraId="1FAA80C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EM currencies.</w:t>
      </w:r>
      <w:r w:rsidRPr="0032251D">
        <w:rPr>
          <w:rFonts w:ascii="Aptos" w:eastAsia="Times New Roman" w:hAnsi="Aptos" w:cs="Times New Roman"/>
          <w:kern w:val="0"/>
          <w:sz w:val="22"/>
          <w:szCs w:val="22"/>
          <w:lang w:eastAsia="en-GB"/>
          <w14:ligatures w14:val="none"/>
        </w:rPr>
        <w:t xml:space="preserve"> Mixed regimes — free float (MXN, ZAR), managed float (BRL, INR, KRW), heavy management (CNY), multiple parallel rates (in stress: ARS, NGN). Generally:</w:t>
      </w:r>
    </w:p>
    <w:p w14:paraId="6B1A9021" w14:textId="77777777" w:rsidR="0032251D" w:rsidRPr="0032251D" w:rsidRDefault="0032251D">
      <w:pPr>
        <w:numPr>
          <w:ilvl w:val="0"/>
          <w:numId w:val="2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Less liquid markets, wider spreads</w:t>
      </w:r>
    </w:p>
    <w:p w14:paraId="75183347" w14:textId="77777777" w:rsidR="0032251D" w:rsidRPr="0032251D" w:rsidRDefault="0032251D">
      <w:pPr>
        <w:numPr>
          <w:ilvl w:val="0"/>
          <w:numId w:val="2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Higher and more variable realised volatility (15-25% typical, can spike above 40%)</w:t>
      </w:r>
    </w:p>
    <w:p w14:paraId="3C741D36" w14:textId="77777777" w:rsidR="0032251D" w:rsidRPr="0032251D" w:rsidRDefault="0032251D">
      <w:pPr>
        <w:numPr>
          <w:ilvl w:val="0"/>
          <w:numId w:val="2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Often subject to capital controls or CFM</w:t>
      </w:r>
    </w:p>
    <w:p w14:paraId="4D91622E" w14:textId="77777777" w:rsidR="0032251D" w:rsidRPr="0032251D" w:rsidRDefault="0032251D">
      <w:pPr>
        <w:numPr>
          <w:ilvl w:val="0"/>
          <w:numId w:val="2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Classic high-carry currencies (BRL, MXN, ZAR, INR, TRY, IDR)</w:t>
      </w:r>
    </w:p>
    <w:p w14:paraId="5D705613" w14:textId="77777777" w:rsidR="0032251D" w:rsidRPr="0032251D" w:rsidRDefault="0032251D">
      <w:pPr>
        <w:numPr>
          <w:ilvl w:val="0"/>
          <w:numId w:val="2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More sensitive to global financial cycle (Rey 2013 — the dilemma)</w:t>
      </w:r>
    </w:p>
    <w:p w14:paraId="39A30F2A" w14:textId="77777777" w:rsidR="0032251D" w:rsidRPr="0032251D" w:rsidRDefault="0032251D">
      <w:pPr>
        <w:numPr>
          <w:ilvl w:val="0"/>
          <w:numId w:val="2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More sensitive to commodity cycle for commodity exporters</w:t>
      </w:r>
    </w:p>
    <w:p w14:paraId="3F898630" w14:textId="77777777" w:rsidR="0032251D" w:rsidRPr="0032251D" w:rsidRDefault="0032251D">
      <w:pPr>
        <w:numPr>
          <w:ilvl w:val="0"/>
          <w:numId w:val="2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Local NDF markets exist for some currencies (KRW, INR, TWD, IDR — BRL now has onshore convertible market)</w:t>
      </w:r>
    </w:p>
    <w:p w14:paraId="19EDC7A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Specific EM currencies.</w:t>
      </w:r>
    </w:p>
    <w:p w14:paraId="521191A2" w14:textId="77777777" w:rsidR="0032251D" w:rsidRPr="0032251D" w:rsidRDefault="0032251D">
      <w:pPr>
        <w:numPr>
          <w:ilvl w:val="0"/>
          <w:numId w:val="2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USD/CNY</w:t>
      </w:r>
      <w:r w:rsidRPr="0032251D">
        <w:rPr>
          <w:rFonts w:ascii="Aptos" w:eastAsia="Times New Roman" w:hAnsi="Aptos" w:cs="Times New Roman"/>
          <w:kern w:val="0"/>
          <w:sz w:val="22"/>
          <w:szCs w:val="22"/>
          <w:lang w:eastAsia="en-GB"/>
          <w14:ligatures w14:val="none"/>
        </w:rPr>
        <w:t xml:space="preserve">: heavily managed via daily fix, two-way market with controlled spread, </w:t>
      </w:r>
      <w:proofErr w:type="gramStart"/>
      <w:r w:rsidRPr="0032251D">
        <w:rPr>
          <w:rFonts w:ascii="Aptos" w:eastAsia="Times New Roman" w:hAnsi="Aptos" w:cs="Times New Roman"/>
          <w:kern w:val="0"/>
          <w:sz w:val="22"/>
          <w:szCs w:val="22"/>
          <w:lang w:eastAsia="en-GB"/>
          <w14:ligatures w14:val="none"/>
        </w:rPr>
        <w:t>on-shore</w:t>
      </w:r>
      <w:proofErr w:type="gramEnd"/>
      <w:r w:rsidRPr="0032251D">
        <w:rPr>
          <w:rFonts w:ascii="Aptos" w:eastAsia="Times New Roman" w:hAnsi="Aptos" w:cs="Times New Roman"/>
          <w:kern w:val="0"/>
          <w:sz w:val="22"/>
          <w:szCs w:val="22"/>
          <w:lang w:eastAsia="en-GB"/>
          <w14:ligatures w14:val="none"/>
        </w:rPr>
        <w:t xml:space="preserve"> (CNY) and </w:t>
      </w:r>
      <w:proofErr w:type="gramStart"/>
      <w:r w:rsidRPr="0032251D">
        <w:rPr>
          <w:rFonts w:ascii="Aptos" w:eastAsia="Times New Roman" w:hAnsi="Aptos" w:cs="Times New Roman"/>
          <w:kern w:val="0"/>
          <w:sz w:val="22"/>
          <w:szCs w:val="22"/>
          <w:lang w:eastAsia="en-GB"/>
          <w14:ligatures w14:val="none"/>
        </w:rPr>
        <w:t>off-shore</w:t>
      </w:r>
      <w:proofErr w:type="gramEnd"/>
      <w:r w:rsidRPr="0032251D">
        <w:rPr>
          <w:rFonts w:ascii="Aptos" w:eastAsia="Times New Roman" w:hAnsi="Aptos" w:cs="Times New Roman"/>
          <w:kern w:val="0"/>
          <w:sz w:val="22"/>
          <w:szCs w:val="22"/>
          <w:lang w:eastAsia="en-GB"/>
          <w14:ligatures w14:val="none"/>
        </w:rPr>
        <w:t xml:space="preserve"> (CNH) variants</w:t>
      </w:r>
    </w:p>
    <w:p w14:paraId="070CDBA2" w14:textId="77777777" w:rsidR="0032251D" w:rsidRPr="0032251D" w:rsidRDefault="0032251D">
      <w:pPr>
        <w:numPr>
          <w:ilvl w:val="0"/>
          <w:numId w:val="2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USD/BRL</w:t>
      </w:r>
      <w:r w:rsidRPr="0032251D">
        <w:rPr>
          <w:rFonts w:ascii="Aptos" w:eastAsia="Times New Roman" w:hAnsi="Aptos" w:cs="Times New Roman"/>
          <w:kern w:val="0"/>
          <w:sz w:val="22"/>
          <w:szCs w:val="22"/>
          <w:lang w:eastAsia="en-GB"/>
          <w14:ligatures w14:val="none"/>
        </w:rPr>
        <w:t>: managed float with active CB intervention, large forward book, daily intervention auctions</w:t>
      </w:r>
    </w:p>
    <w:p w14:paraId="135278EC" w14:textId="77777777" w:rsidR="0032251D" w:rsidRPr="0032251D" w:rsidRDefault="0032251D">
      <w:pPr>
        <w:numPr>
          <w:ilvl w:val="0"/>
          <w:numId w:val="2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USD/MXN</w:t>
      </w:r>
      <w:r w:rsidRPr="0032251D">
        <w:rPr>
          <w:rFonts w:ascii="Aptos" w:eastAsia="Times New Roman" w:hAnsi="Aptos" w:cs="Times New Roman"/>
          <w:kern w:val="0"/>
          <w:sz w:val="22"/>
          <w:szCs w:val="22"/>
          <w:lang w:eastAsia="en-GB"/>
          <w14:ligatures w14:val="none"/>
        </w:rPr>
        <w:t>: deeply liquid, close to free float, heavily traded as USD proxy in EM space</w:t>
      </w:r>
    </w:p>
    <w:p w14:paraId="5DF5A982" w14:textId="77777777" w:rsidR="0032251D" w:rsidRPr="0032251D" w:rsidRDefault="0032251D">
      <w:pPr>
        <w:numPr>
          <w:ilvl w:val="0"/>
          <w:numId w:val="2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USD/INR</w:t>
      </w:r>
      <w:r w:rsidRPr="0032251D">
        <w:rPr>
          <w:rFonts w:ascii="Aptos" w:eastAsia="Times New Roman" w:hAnsi="Aptos" w:cs="Times New Roman"/>
          <w:kern w:val="0"/>
          <w:sz w:val="22"/>
          <w:szCs w:val="22"/>
          <w:lang w:eastAsia="en-GB"/>
          <w14:ligatures w14:val="none"/>
        </w:rPr>
        <w:t>: managed float, RBI actively intervenes, NDF and onshore markets coexist</w:t>
      </w:r>
    </w:p>
    <w:p w14:paraId="3474CDC6" w14:textId="77777777" w:rsidR="0032251D" w:rsidRPr="0032251D" w:rsidRDefault="0032251D">
      <w:pPr>
        <w:numPr>
          <w:ilvl w:val="0"/>
          <w:numId w:val="2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USD/TRY</w:t>
      </w:r>
      <w:r w:rsidRPr="0032251D">
        <w:rPr>
          <w:rFonts w:ascii="Aptos" w:eastAsia="Times New Roman" w:hAnsi="Aptos" w:cs="Times New Roman"/>
          <w:kern w:val="0"/>
          <w:sz w:val="22"/>
          <w:szCs w:val="22"/>
          <w:lang w:eastAsia="en-GB"/>
          <w14:ligatures w14:val="none"/>
        </w:rPr>
        <w:t>: nominally free float but episodes of severe stress and intervention</w:t>
      </w:r>
    </w:p>
    <w:p w14:paraId="0006EDD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SA specifically.</w:t>
      </w:r>
      <w:r w:rsidRPr="0032251D">
        <w:rPr>
          <w:rFonts w:ascii="Aptos" w:eastAsia="Times New Roman" w:hAnsi="Aptos" w:cs="Times New Roman"/>
          <w:kern w:val="0"/>
          <w:sz w:val="22"/>
          <w:szCs w:val="22"/>
          <w:lang w:eastAsia="en-GB"/>
          <w14:ligatures w14:val="none"/>
        </w:rPr>
        <w:t xml:space="preserve"> ZAR is among the most-traded EM currencies (~$50bn/day in spot), often classified as G10+ for carry positioning. High beta to global risk-on/risk-off, high commodity exposure (mining), sensitive to global financial cycle. SARB does </w:t>
      </w:r>
      <w:r w:rsidRPr="0032251D">
        <w:rPr>
          <w:rFonts w:ascii="Aptos" w:eastAsia="Times New Roman" w:hAnsi="Aptos" w:cs="Times New Roman"/>
          <w:i/>
          <w:iCs/>
          <w:kern w:val="0"/>
          <w:sz w:val="22"/>
          <w:szCs w:val="22"/>
          <w:lang w:eastAsia="en-GB"/>
          <w14:ligatures w14:val="none"/>
        </w:rPr>
        <w:t>not</w:t>
      </w:r>
      <w:r w:rsidRPr="0032251D">
        <w:rPr>
          <w:rFonts w:ascii="Aptos" w:eastAsia="Times New Roman" w:hAnsi="Aptos" w:cs="Times New Roman"/>
          <w:kern w:val="0"/>
          <w:sz w:val="22"/>
          <w:szCs w:val="22"/>
          <w:lang w:eastAsia="en-GB"/>
          <w14:ligatures w14:val="none"/>
        </w:rPr>
        <w:t xml:space="preserve"> target FX (largely) — free-floating de jure and largely de facto. Realised volatility typically 15-20%, can spike to 30%+ in stress (2008, 2015 Nene moment, 2020 COVID). The 10y rand-dollar carry differential typically 3-5%. ZAR-USD is itself a global liquidity proxy — used by hedge funds as a tradable EM beta when they cannot access </w:t>
      </w:r>
      <w:proofErr w:type="gramStart"/>
      <w:r w:rsidRPr="0032251D">
        <w:rPr>
          <w:rFonts w:ascii="Aptos" w:eastAsia="Times New Roman" w:hAnsi="Aptos" w:cs="Times New Roman"/>
          <w:kern w:val="0"/>
          <w:sz w:val="22"/>
          <w:szCs w:val="22"/>
          <w:lang w:eastAsia="en-GB"/>
          <w14:ligatures w14:val="none"/>
        </w:rPr>
        <w:t>less</w:t>
      </w:r>
      <w:proofErr w:type="gramEnd"/>
      <w:r w:rsidRPr="0032251D">
        <w:rPr>
          <w:rFonts w:ascii="Aptos" w:eastAsia="Times New Roman" w:hAnsi="Aptos" w:cs="Times New Roman"/>
          <w:kern w:val="0"/>
          <w:sz w:val="22"/>
          <w:szCs w:val="22"/>
          <w:lang w:eastAsia="en-GB"/>
          <w14:ligatures w14:val="none"/>
        </w:rPr>
        <w:t xml:space="preserve"> liquid currencies.</w:t>
      </w:r>
    </w:p>
    <w:p w14:paraId="24DEFA78"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0B2C37ED">
          <v:rect id="_x0000_i1074" alt="" style="width:451.3pt;height:.05pt;mso-width-percent:0;mso-height-percent:0;mso-width-percent:0;mso-height-percent:0" o:hralign="center" o:hrstd="t" o:hr="t" fillcolor="#a0a0a0" stroked="f"/>
        </w:pict>
      </w:r>
    </w:p>
    <w:p w14:paraId="193B8B4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Measurement choices</w:t>
      </w:r>
    </w:p>
    <w:p w14:paraId="1C5A5D4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Spot fixing vs intraday.</w:t>
      </w:r>
      <w:r w:rsidRPr="0032251D">
        <w:rPr>
          <w:rFonts w:ascii="Aptos" w:eastAsia="Times New Roman" w:hAnsi="Aptos" w:cs="Times New Roman"/>
          <w:kern w:val="0"/>
          <w:sz w:val="22"/>
          <w:szCs w:val="22"/>
          <w:lang w:eastAsia="en-GB"/>
          <w14:ligatures w14:val="none"/>
        </w:rPr>
        <w:t xml:space="preserve"> The WMR 4pm London fix is the standard benchmark for FX positions and portfolio valuation. Intraday closes differ. For some questions (transaction costs, risk attribution) the fix matters; for others (price discovery) intraday measures are more informative.</w:t>
      </w:r>
    </w:p>
    <w:p w14:paraId="51B8979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REER weights and base.</w:t>
      </w:r>
      <w:r w:rsidRPr="0032251D">
        <w:rPr>
          <w:rFonts w:ascii="Aptos" w:eastAsia="Times New Roman" w:hAnsi="Aptos" w:cs="Times New Roman"/>
          <w:kern w:val="0"/>
          <w:sz w:val="22"/>
          <w:szCs w:val="22"/>
          <w:lang w:eastAsia="en-GB"/>
          <w14:ligatures w14:val="none"/>
        </w:rPr>
        <w:t xml:space="preserve"> BIS REER, JP Morgan REER, OECD REER, IMF INS REER all use different trade weights and base periods. Same currency can show meaningfully different REER values across providers. For SA, BIS REER is the standard academic reference.</w:t>
      </w:r>
    </w:p>
    <w:p w14:paraId="319CB4A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NDF vs onshore.</w:t>
      </w:r>
      <w:r w:rsidRPr="0032251D">
        <w:rPr>
          <w:rFonts w:ascii="Aptos" w:eastAsia="Times New Roman" w:hAnsi="Aptos" w:cs="Times New Roman"/>
          <w:kern w:val="0"/>
          <w:sz w:val="22"/>
          <w:szCs w:val="22"/>
          <w:lang w:eastAsia="en-GB"/>
          <w14:ligatures w14:val="none"/>
        </w:rPr>
        <w:t xml:space="preserve"> For currencies with separate offshore NDF markets (CNY/CNH, USD/INR, USD/KRW, USD/TWD), which is "the" exchange rate? Both, with different dynamics — onshore reflects domestic policy, offshore reflects foreign positioning. The basis itself carries information.</w:t>
      </w:r>
    </w:p>
    <w:p w14:paraId="63CA5B7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CIP basis measurement.</w:t>
      </w:r>
      <w:r w:rsidRPr="0032251D">
        <w:rPr>
          <w:rFonts w:ascii="Aptos" w:eastAsia="Times New Roman" w:hAnsi="Aptos" w:cs="Times New Roman"/>
          <w:kern w:val="0"/>
          <w:sz w:val="22"/>
          <w:szCs w:val="22"/>
          <w:lang w:eastAsia="en-GB"/>
          <w14:ligatures w14:val="none"/>
        </w:rPr>
        <w:t xml:space="preserve"> Requires deep OIS data; differs across maturities; affected by collateral pricing. Du-Tepper-</w:t>
      </w:r>
      <w:proofErr w:type="spellStart"/>
      <w:r w:rsidRPr="0032251D">
        <w:rPr>
          <w:rFonts w:ascii="Aptos" w:eastAsia="Times New Roman" w:hAnsi="Aptos" w:cs="Times New Roman"/>
          <w:kern w:val="0"/>
          <w:sz w:val="22"/>
          <w:szCs w:val="22"/>
          <w:lang w:eastAsia="en-GB"/>
          <w14:ligatures w14:val="none"/>
        </w:rPr>
        <w:t>Verdelhan</w:t>
      </w:r>
      <w:proofErr w:type="spellEnd"/>
      <w:r w:rsidRPr="0032251D">
        <w:rPr>
          <w:rFonts w:ascii="Aptos" w:eastAsia="Times New Roman" w:hAnsi="Aptos" w:cs="Times New Roman"/>
          <w:kern w:val="0"/>
          <w:sz w:val="22"/>
          <w:szCs w:val="22"/>
          <w:lang w:eastAsia="en-GB"/>
          <w14:ligatures w14:val="none"/>
        </w:rPr>
        <w:t xml:space="preserve"> is the canonical methodology. For EM currencies the basis is often unmeasurable cleanly due to onshore-offshore segmentation.</w:t>
      </w:r>
    </w:p>
    <w:p w14:paraId="6524531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Volatility measurement.</w:t>
      </w:r>
      <w:r w:rsidRPr="0032251D">
        <w:rPr>
          <w:rFonts w:ascii="Aptos" w:eastAsia="Times New Roman" w:hAnsi="Aptos" w:cs="Times New Roman"/>
          <w:kern w:val="0"/>
          <w:sz w:val="22"/>
          <w:szCs w:val="22"/>
          <w:lang w:eastAsia="en-GB"/>
          <w14:ligatures w14:val="none"/>
        </w:rPr>
        <w:t xml:space="preserve"> Realised vs implied; ATM vs skew vs term structure. Risk-reversal skew (call minus put implied vol) is particularly informative — measures positioning asymmetry. Butterfly captures smile curvature.</w:t>
      </w:r>
    </w:p>
    <w:p w14:paraId="3D94E8F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Carry measurement.</w:t>
      </w:r>
      <w:r w:rsidRPr="0032251D">
        <w:rPr>
          <w:rFonts w:ascii="Aptos" w:eastAsia="Times New Roman" w:hAnsi="Aptos" w:cs="Times New Roman"/>
          <w:kern w:val="0"/>
          <w:sz w:val="22"/>
          <w:szCs w:val="22"/>
          <w:lang w:eastAsia="en-GB"/>
          <w14:ligatures w14:val="none"/>
        </w:rPr>
        <w:t xml:space="preserve"> 1m, 3m, 12m carry differ. LIBOR-based vs OIS-based carry differ post-2008. Sterling-equivalent vs euro-equivalent carry tells different stories for the same currency pair.</w:t>
      </w:r>
    </w:p>
    <w:p w14:paraId="14BACB8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Effective rate construction.</w:t>
      </w:r>
      <w:r w:rsidRPr="0032251D">
        <w:rPr>
          <w:rFonts w:ascii="Aptos" w:eastAsia="Times New Roman" w:hAnsi="Aptos" w:cs="Times New Roman"/>
          <w:kern w:val="0"/>
          <w:sz w:val="22"/>
          <w:szCs w:val="22"/>
          <w:lang w:eastAsia="en-GB"/>
          <w14:ligatures w14:val="none"/>
        </w:rPr>
        <w:t xml:space="preserve"> Bilateral USD rate vs trade-weighted REER vs financial-weighted NEER. For a commodity exporter like SA, trade-weighted FX is structurally different from USD-bilateral FX.</w:t>
      </w:r>
    </w:p>
    <w:p w14:paraId="5D1F2541"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4890B1F3">
          <v:rect id="_x0000_i1075" alt="" style="width:451.3pt;height:.05pt;mso-width-percent:0;mso-height-percent:0;mso-width-percent:0;mso-height-percent:0" o:hralign="center" o:hrstd="t" o:hr="t" fillcolor="#a0a0a0" stroked="f"/>
        </w:pict>
      </w:r>
    </w:p>
    <w:p w14:paraId="0EE50A5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Where dissonance lives</w:t>
      </w:r>
    </w:p>
    <w:p w14:paraId="03C9F895"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Within L4b:</w:t>
      </w:r>
    </w:p>
    <w:p w14:paraId="76522B3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Intra-node.</w:t>
      </w:r>
      <w:r w:rsidRPr="0032251D">
        <w:rPr>
          <w:rFonts w:ascii="Aptos" w:eastAsia="Times New Roman" w:hAnsi="Aptos" w:cs="Times New Roman"/>
          <w:kern w:val="0"/>
          <w:sz w:val="22"/>
          <w:szCs w:val="22"/>
          <w:lang w:eastAsia="en-GB"/>
          <w14:ligatures w14:val="none"/>
        </w:rPr>
        <w:t xml:space="preserve"> Spot, forwards, options, and CIP basis should be jointly consistent under no-arbitrage. Dissonance fires when:</w:t>
      </w:r>
    </w:p>
    <w:p w14:paraId="4950DAEF" w14:textId="77777777" w:rsidR="0032251D" w:rsidRPr="0032251D" w:rsidRDefault="0032251D">
      <w:pPr>
        <w:numPr>
          <w:ilvl w:val="0"/>
          <w:numId w:val="3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Spot and forwards imply different carry-adjusted views (forward bias)</w:t>
      </w:r>
    </w:p>
    <w:p w14:paraId="3DEBE9B4" w14:textId="77777777" w:rsidR="0032251D" w:rsidRPr="0032251D" w:rsidRDefault="0032251D">
      <w:pPr>
        <w:numPr>
          <w:ilvl w:val="0"/>
          <w:numId w:val="3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CIP basis widens beyond fundamentals — dealer balance sheet constraint, structural arbitrage breaking</w:t>
      </w:r>
    </w:p>
    <w:p w14:paraId="1E7160EE" w14:textId="77777777" w:rsidR="0032251D" w:rsidRPr="0032251D" w:rsidRDefault="0032251D">
      <w:pPr>
        <w:numPr>
          <w:ilvl w:val="0"/>
          <w:numId w:val="3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NDF vs onshore basis widens — capital controls binding</w:t>
      </w:r>
    </w:p>
    <w:p w14:paraId="7EA04953" w14:textId="77777777" w:rsidR="0032251D" w:rsidRPr="0032251D" w:rsidRDefault="0032251D">
      <w:pPr>
        <w:numPr>
          <w:ilvl w:val="0"/>
          <w:numId w:val="3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NEER and REER tell different stories — relative price differentials driving a gap that isn't reflected in bilateral spot</w:t>
      </w:r>
    </w:p>
    <w:p w14:paraId="6629DE33" w14:textId="77777777" w:rsidR="0032251D" w:rsidRPr="0032251D" w:rsidRDefault="0032251D">
      <w:pPr>
        <w:numPr>
          <w:ilvl w:val="0"/>
          <w:numId w:val="3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Implied vol disconnects from realised vol — positioning premium or fear premium dominating</w:t>
      </w:r>
    </w:p>
    <w:p w14:paraId="6F3E3DB1" w14:textId="77777777" w:rsidR="0032251D" w:rsidRPr="0032251D" w:rsidRDefault="0032251D">
      <w:pPr>
        <w:numPr>
          <w:ilvl w:val="0"/>
          <w:numId w:val="3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Risk-reversal skew extreme without corresponding spot move — directional positioning building</w:t>
      </w:r>
    </w:p>
    <w:p w14:paraId="41D1901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Incoming relationships.</w:t>
      </w:r>
      <w:r w:rsidRPr="0032251D">
        <w:rPr>
          <w:rFonts w:ascii="Aptos" w:eastAsia="Times New Roman" w:hAnsi="Aptos" w:cs="Times New Roman"/>
          <w:kern w:val="0"/>
          <w:sz w:val="22"/>
          <w:szCs w:val="22"/>
          <w:lang w:eastAsia="en-GB"/>
          <w14:ligatures w14:val="none"/>
        </w:rPr>
        <w:t xml:space="preserve"> FX integrates effects from upstream nodes:</w:t>
      </w:r>
    </w:p>
    <w:p w14:paraId="1F924FBA" w14:textId="77777777" w:rsidR="0032251D" w:rsidRPr="0032251D" w:rsidRDefault="0032251D">
      <w:pPr>
        <w:numPr>
          <w:ilvl w:val="0"/>
          <w:numId w:val="3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L1 → L4b: FX moves significantly without the rule responding (or vice versa) — credibility leak</w:t>
      </w:r>
    </w:p>
    <w:p w14:paraId="4B0945F9" w14:textId="77777777" w:rsidR="0032251D" w:rsidRPr="0032251D" w:rsidRDefault="0032251D">
      <w:pPr>
        <w:numPr>
          <w:ilvl w:val="0"/>
          <w:numId w:val="3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L3a → L4b: FX moves perversely against rate differential — credibility-loss signature</w:t>
      </w:r>
    </w:p>
    <w:p w14:paraId="3DCE2C29" w14:textId="77777777" w:rsidR="0032251D" w:rsidRPr="0032251D" w:rsidRDefault="0032251D">
      <w:pPr>
        <w:numPr>
          <w:ilvl w:val="0"/>
          <w:numId w:val="3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L3b → L4b: QE without FX weakening — international demand absorbing the portfolio rebalance</w:t>
      </w:r>
    </w:p>
    <w:p w14:paraId="2980FE68" w14:textId="77777777" w:rsidR="0032251D" w:rsidRPr="0032251D" w:rsidRDefault="0032251D">
      <w:pPr>
        <w:numPr>
          <w:ilvl w:val="0"/>
          <w:numId w:val="3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L3c → L4b: dovish guidance fails to weaken currency — carry-trade believers</w:t>
      </w:r>
    </w:p>
    <w:p w14:paraId="54ACA9A1" w14:textId="77777777" w:rsidR="0032251D" w:rsidRPr="0032251D" w:rsidRDefault="0032251D">
      <w:pPr>
        <w:numPr>
          <w:ilvl w:val="0"/>
          <w:numId w:val="3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L3d → L4b: intervention failing to move FX — overwhelming flows, or signalling channel dominant</w:t>
      </w:r>
    </w:p>
    <w:p w14:paraId="7EF47B1F" w14:textId="77777777" w:rsidR="0032251D" w:rsidRPr="0032251D" w:rsidRDefault="0032251D">
      <w:pPr>
        <w:numPr>
          <w:ilvl w:val="0"/>
          <w:numId w:val="3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lastRenderedPageBreak/>
        <w:t>L3e → L4b: CFM imposed but currency keeps moving — restrictions ineffective</w:t>
      </w:r>
    </w:p>
    <w:p w14:paraId="04245B36" w14:textId="77777777" w:rsidR="0032251D" w:rsidRPr="0032251D" w:rsidRDefault="0032251D">
      <w:pPr>
        <w:numPr>
          <w:ilvl w:val="0"/>
          <w:numId w:val="3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L3f → L4b: dollar funding stress persists despite swap lines — facility cap binding or take-up constrained</w:t>
      </w:r>
    </w:p>
    <w:p w14:paraId="01CBDF5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Peer relationships within L4.</w:t>
      </w:r>
    </w:p>
    <w:p w14:paraId="0543D357" w14:textId="77777777" w:rsidR="0032251D" w:rsidRPr="0032251D" w:rsidRDefault="0032251D">
      <w:pPr>
        <w:numPr>
          <w:ilvl w:val="0"/>
          <w:numId w:val="3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L4a ↔ L4b: rate differentials drive FX; curve and FX disagree on policy outlook</w:t>
      </w:r>
    </w:p>
    <w:p w14:paraId="160F7612" w14:textId="77777777" w:rsidR="0032251D" w:rsidRPr="0032251D" w:rsidRDefault="0032251D">
      <w:pPr>
        <w:numPr>
          <w:ilvl w:val="0"/>
          <w:numId w:val="3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L4b ↔ L4c: FX shocks transmit to inflation via pass-through; FX move without BEI response = pass-through anchored (a good thing for credibility) or BEI moves without FX (the rule absorbing through other channels)</w:t>
      </w:r>
    </w:p>
    <w:p w14:paraId="6A314342" w14:textId="77777777" w:rsidR="0032251D" w:rsidRPr="0032251D" w:rsidRDefault="0032251D">
      <w:pPr>
        <w:numPr>
          <w:ilvl w:val="0"/>
          <w:numId w:val="3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L4b ↔ L4d: FX vol should mirror realised FX moves; vol moves without spot moves = positioning building; spot moves without vol = controlled adjustment</w:t>
      </w:r>
    </w:p>
    <w:p w14:paraId="7EEE326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Outgoing relationships.</w:t>
      </w:r>
      <w:r w:rsidRPr="0032251D">
        <w:rPr>
          <w:rFonts w:ascii="Aptos" w:eastAsia="Times New Roman" w:hAnsi="Aptos" w:cs="Times New Roman"/>
          <w:kern w:val="0"/>
          <w:sz w:val="22"/>
          <w:szCs w:val="22"/>
          <w:lang w:eastAsia="en-GB"/>
          <w14:ligatures w14:val="none"/>
        </w:rPr>
        <w:t xml:space="preserve"> FX feeds nearly every downstream node:</w:t>
      </w:r>
    </w:p>
    <w:p w14:paraId="13118C77" w14:textId="77777777" w:rsidR="0032251D" w:rsidRPr="0032251D" w:rsidRDefault="0032251D">
      <w:pPr>
        <w:numPr>
          <w:ilvl w:val="0"/>
          <w:numId w:val="3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L4b → L5a-e: FX exposure across the intermediary layer (bank FX positions, NBFI carry, dealer market-making, corporate mismatch, sovereign FX debt)</w:t>
      </w:r>
    </w:p>
    <w:p w14:paraId="2346774A" w14:textId="77777777" w:rsidR="0032251D" w:rsidRPr="0032251D" w:rsidRDefault="0032251D">
      <w:pPr>
        <w:numPr>
          <w:ilvl w:val="0"/>
          <w:numId w:val="3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L4b → L6: FX shapes inflation pass-through expectations</w:t>
      </w:r>
    </w:p>
    <w:p w14:paraId="615B255A" w14:textId="77777777" w:rsidR="0032251D" w:rsidRPr="0032251D" w:rsidRDefault="0032251D">
      <w:pPr>
        <w:numPr>
          <w:ilvl w:val="0"/>
          <w:numId w:val="3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L4b → L7: FX is in FCI for open economies</w:t>
      </w:r>
    </w:p>
    <w:p w14:paraId="00B4D4E0" w14:textId="77777777" w:rsidR="0032251D" w:rsidRPr="0032251D" w:rsidRDefault="0032251D">
      <w:pPr>
        <w:numPr>
          <w:ilvl w:val="0"/>
          <w:numId w:val="3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L4b → L8: FX affects relative cross-currency valuations</w:t>
      </w:r>
    </w:p>
    <w:p w14:paraId="34574D6C" w14:textId="77777777" w:rsidR="0032251D" w:rsidRPr="0032251D" w:rsidRDefault="0032251D">
      <w:pPr>
        <w:numPr>
          <w:ilvl w:val="0"/>
          <w:numId w:val="3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L4b → L9: FX is itself an asset price</w:t>
      </w:r>
    </w:p>
    <w:p w14:paraId="1441FCFC" w14:textId="77777777" w:rsidR="0032251D" w:rsidRPr="0032251D" w:rsidRDefault="0032251D">
      <w:pPr>
        <w:numPr>
          <w:ilvl w:val="0"/>
          <w:numId w:val="3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L4b → L10a-c: FX affects trade and inflation (real economy), stresses FX-mismatched balance sheets (financial stability), and is the relative cross-country price (global spillovers)</w:t>
      </w:r>
    </w:p>
    <w:p w14:paraId="4292F8D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The L4b node is the </w:t>
      </w:r>
      <w:r w:rsidRPr="0032251D">
        <w:rPr>
          <w:rFonts w:ascii="Aptos" w:eastAsia="Times New Roman" w:hAnsi="Aptos" w:cs="Times New Roman"/>
          <w:i/>
          <w:iCs/>
          <w:kern w:val="0"/>
          <w:sz w:val="22"/>
          <w:szCs w:val="22"/>
          <w:lang w:eastAsia="en-GB"/>
          <w14:ligatures w14:val="none"/>
        </w:rPr>
        <w:t>relative price node</w:t>
      </w:r>
      <w:r w:rsidRPr="0032251D">
        <w:rPr>
          <w:rFonts w:ascii="Aptos" w:eastAsia="Times New Roman" w:hAnsi="Aptos" w:cs="Times New Roman"/>
          <w:kern w:val="0"/>
          <w:sz w:val="22"/>
          <w:szCs w:val="22"/>
          <w:lang w:eastAsia="en-GB"/>
          <w14:ligatures w14:val="none"/>
        </w:rPr>
        <w:t xml:space="preserve">. Because FX has no terminal value, it is more flow-driven and sentiment-sensitive than other markets — but it is also the cleanest single read on credibility differentials across countries. For EM specifically, FX is the integrating signal: when the rule, the loss function, the constraint set, and the policy stance are all under stress, FX is where the integrated signal appears first. Dissonance at L4b is therefore often the </w:t>
      </w:r>
      <w:r w:rsidRPr="0032251D">
        <w:rPr>
          <w:rFonts w:ascii="Aptos" w:eastAsia="Times New Roman" w:hAnsi="Aptos" w:cs="Times New Roman"/>
          <w:i/>
          <w:iCs/>
          <w:kern w:val="0"/>
          <w:sz w:val="22"/>
          <w:szCs w:val="22"/>
          <w:lang w:eastAsia="en-GB"/>
          <w14:ligatures w14:val="none"/>
        </w:rPr>
        <w:t>visible</w:t>
      </w:r>
      <w:r w:rsidRPr="0032251D">
        <w:rPr>
          <w:rFonts w:ascii="Aptos" w:eastAsia="Times New Roman" w:hAnsi="Aptos" w:cs="Times New Roman"/>
          <w:kern w:val="0"/>
          <w:sz w:val="22"/>
          <w:szCs w:val="22"/>
          <w:lang w:eastAsia="en-GB"/>
          <w14:ligatures w14:val="none"/>
        </w:rPr>
        <w:t xml:space="preserve"> output of dissonance elsewhere in the framework — but it is also itself an originator of dissonance for downstream nodes, because FX moves transmit to balance sheets, inflation, and credit conditions independently of where the FX move came from. In the panel, the depth of L4b development varies hugely — DM FX is a deep liquid market with rich measurement; EM FX is more fragmented, less measurable, and more politically managed. SA's ZAR sits in the deepest tier of EM FX — close to G10-quality measurement, with EM-quality volatility and political sensitivity.</w:t>
      </w:r>
    </w:p>
    <w:p w14:paraId="5FEEBA3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Level 4c — Inflation-Linked</w:t>
      </w:r>
    </w:p>
    <w:p w14:paraId="646B7DF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Definition.</w:t>
      </w:r>
      <w:r w:rsidRPr="0032251D">
        <w:rPr>
          <w:rFonts w:ascii="Aptos" w:eastAsia="Times New Roman" w:hAnsi="Aptos" w:cs="Times New Roman"/>
          <w:kern w:val="0"/>
          <w:sz w:val="22"/>
          <w:szCs w:val="22"/>
          <w:lang w:eastAsia="en-GB"/>
          <w14:ligatures w14:val="none"/>
        </w:rPr>
        <w:t xml:space="preserve"> Inflation-linked is the market for instruments whose payoffs are indexed to a price level — typically headline CPI. The dominant instrument is the inflation-linked bond, which pays a real coupon and principal indexed to CPI. The market generates three observable structures: </w:t>
      </w:r>
      <w:r w:rsidRPr="0032251D">
        <w:rPr>
          <w:rFonts w:ascii="Aptos" w:eastAsia="Times New Roman" w:hAnsi="Aptos" w:cs="Times New Roman"/>
          <w:i/>
          <w:iCs/>
          <w:kern w:val="0"/>
          <w:sz w:val="22"/>
          <w:szCs w:val="22"/>
          <w:lang w:eastAsia="en-GB"/>
          <w14:ligatures w14:val="none"/>
        </w:rPr>
        <w:t>real yields</w:t>
      </w:r>
      <w:r w:rsidRPr="0032251D">
        <w:rPr>
          <w:rFonts w:ascii="Aptos" w:eastAsia="Times New Roman" w:hAnsi="Aptos" w:cs="Times New Roman"/>
          <w:kern w:val="0"/>
          <w:sz w:val="22"/>
          <w:szCs w:val="22"/>
          <w:lang w:eastAsia="en-GB"/>
          <w14:ligatures w14:val="none"/>
        </w:rPr>
        <w:t xml:space="preserve"> (from inflation-linked bond prices), </w:t>
      </w:r>
      <w:r w:rsidRPr="0032251D">
        <w:rPr>
          <w:rFonts w:ascii="Aptos" w:eastAsia="Times New Roman" w:hAnsi="Aptos" w:cs="Times New Roman"/>
          <w:i/>
          <w:iCs/>
          <w:kern w:val="0"/>
          <w:sz w:val="22"/>
          <w:szCs w:val="22"/>
          <w:lang w:eastAsia="en-GB"/>
          <w14:ligatures w14:val="none"/>
        </w:rPr>
        <w:t>break-even inflation rates</w:t>
      </w:r>
      <w:r w:rsidRPr="0032251D">
        <w:rPr>
          <w:rFonts w:ascii="Aptos" w:eastAsia="Times New Roman" w:hAnsi="Aptos" w:cs="Times New Roman"/>
          <w:kern w:val="0"/>
          <w:sz w:val="22"/>
          <w:szCs w:val="22"/>
          <w:lang w:eastAsia="en-GB"/>
          <w14:ligatures w14:val="none"/>
        </w:rPr>
        <w:t xml:space="preserve"> (BEI = nominal yield − real yield) at each maturity, and </w:t>
      </w:r>
      <w:r w:rsidRPr="0032251D">
        <w:rPr>
          <w:rFonts w:ascii="Aptos" w:eastAsia="Times New Roman" w:hAnsi="Aptos" w:cs="Times New Roman"/>
          <w:i/>
          <w:iCs/>
          <w:kern w:val="0"/>
          <w:sz w:val="22"/>
          <w:szCs w:val="22"/>
          <w:lang w:eastAsia="en-GB"/>
          <w14:ligatures w14:val="none"/>
        </w:rPr>
        <w:t>inflation swap rates</w:t>
      </w:r>
      <w:r w:rsidRPr="0032251D">
        <w:rPr>
          <w:rFonts w:ascii="Aptos" w:eastAsia="Times New Roman" w:hAnsi="Aptos" w:cs="Times New Roman"/>
          <w:kern w:val="0"/>
          <w:sz w:val="22"/>
          <w:szCs w:val="22"/>
          <w:lang w:eastAsia="en-GB"/>
          <w14:ligatures w14:val="none"/>
        </w:rPr>
        <w:t xml:space="preserve"> (zero-coupon and year-on-year). Together these provide the most direct market-implied measures of inflation expectations and inflation risk premia. Key instruments by country: TIPS in the US, Linkers in the UK, </w:t>
      </w:r>
      <w:proofErr w:type="spellStart"/>
      <w:r w:rsidRPr="0032251D">
        <w:rPr>
          <w:rFonts w:ascii="Aptos" w:eastAsia="Times New Roman" w:hAnsi="Aptos" w:cs="Times New Roman"/>
          <w:kern w:val="0"/>
          <w:sz w:val="22"/>
          <w:szCs w:val="22"/>
          <w:lang w:eastAsia="en-GB"/>
          <w14:ligatures w14:val="none"/>
        </w:rPr>
        <w:t>OATei</w:t>
      </w:r>
      <w:proofErr w:type="spellEnd"/>
      <w:r w:rsidRPr="0032251D">
        <w:rPr>
          <w:rFonts w:ascii="Aptos" w:eastAsia="Times New Roman" w:hAnsi="Aptos" w:cs="Times New Roman"/>
          <w:kern w:val="0"/>
          <w:sz w:val="22"/>
          <w:szCs w:val="22"/>
          <w:lang w:eastAsia="en-GB"/>
          <w14:ligatures w14:val="none"/>
        </w:rPr>
        <w:t xml:space="preserve"> in France, </w:t>
      </w:r>
      <w:proofErr w:type="spellStart"/>
      <w:r w:rsidRPr="0032251D">
        <w:rPr>
          <w:rFonts w:ascii="Aptos" w:eastAsia="Times New Roman" w:hAnsi="Aptos" w:cs="Times New Roman"/>
          <w:kern w:val="0"/>
          <w:sz w:val="22"/>
          <w:szCs w:val="22"/>
          <w:lang w:eastAsia="en-GB"/>
          <w14:ligatures w14:val="none"/>
        </w:rPr>
        <w:t>BTPei</w:t>
      </w:r>
      <w:proofErr w:type="spellEnd"/>
      <w:r w:rsidRPr="0032251D">
        <w:rPr>
          <w:rFonts w:ascii="Aptos" w:eastAsia="Times New Roman" w:hAnsi="Aptos" w:cs="Times New Roman"/>
          <w:kern w:val="0"/>
          <w:sz w:val="22"/>
          <w:szCs w:val="22"/>
          <w:lang w:eastAsia="en-GB"/>
          <w14:ligatures w14:val="none"/>
        </w:rPr>
        <w:t xml:space="preserve"> in Italy, </w:t>
      </w:r>
      <w:proofErr w:type="spellStart"/>
      <w:r w:rsidRPr="0032251D">
        <w:rPr>
          <w:rFonts w:ascii="Aptos" w:eastAsia="Times New Roman" w:hAnsi="Aptos" w:cs="Times New Roman"/>
          <w:kern w:val="0"/>
          <w:sz w:val="22"/>
          <w:szCs w:val="22"/>
          <w:lang w:eastAsia="en-GB"/>
          <w14:ligatures w14:val="none"/>
        </w:rPr>
        <w:t>JGBi</w:t>
      </w:r>
      <w:proofErr w:type="spellEnd"/>
      <w:r w:rsidRPr="0032251D">
        <w:rPr>
          <w:rFonts w:ascii="Aptos" w:eastAsia="Times New Roman" w:hAnsi="Aptos" w:cs="Times New Roman"/>
          <w:kern w:val="0"/>
          <w:sz w:val="22"/>
          <w:szCs w:val="22"/>
          <w:lang w:eastAsia="en-GB"/>
          <w14:ligatures w14:val="none"/>
        </w:rPr>
        <w:t xml:space="preserve"> in Japan, I-bonds in South Africa (I2025, I2029, I2033, I2038, I2046, I2050), and NTN-Bs in Brazil. The inflation-linked node is unique in the framework: it is the only node that provides a continuous, high-frequency, market-priced read on inflation expectations — and therefore the cleanest market read on central bank credibility.</w:t>
      </w:r>
    </w:p>
    <w:p w14:paraId="0ACB60D8"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lastRenderedPageBreak/>
        <w:pict w14:anchorId="662C5DD9">
          <v:rect id="_x0000_i1076" alt="" style="width:451.3pt;height:.05pt;mso-width-percent:0;mso-height-percent:0;mso-width-percent:0;mso-height-percent:0" o:hralign="center" o:hrstd="t" o:hr="t" fillcolor="#a0a0a0" stroked="f"/>
        </w:pict>
      </w:r>
    </w:p>
    <w:p w14:paraId="374EED3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Theory</w:t>
      </w:r>
    </w:p>
    <w:p w14:paraId="69EF8AB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Several theoretical foundations underpin the inflation-linked market.</w:t>
      </w:r>
    </w:p>
    <w:p w14:paraId="25AA1EC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The Fisher equation.</w:t>
      </w:r>
      <w:r w:rsidRPr="0032251D">
        <w:rPr>
          <w:rFonts w:ascii="Aptos" w:eastAsia="Times New Roman" w:hAnsi="Aptos" w:cs="Times New Roman"/>
          <w:kern w:val="0"/>
          <w:sz w:val="22"/>
          <w:szCs w:val="22"/>
          <w:lang w:eastAsia="en-GB"/>
          <w14:ligatures w14:val="none"/>
        </w:rPr>
        <w:t xml:space="preserve"> The foundational decomposition: nominal yield = real yield + expected inflation + inflation risk premium. The Fisher relation says nominal interest rates compensate for real return, expected inflation, </w:t>
      </w:r>
      <w:r w:rsidRPr="0032251D">
        <w:rPr>
          <w:rFonts w:ascii="Aptos" w:eastAsia="Times New Roman" w:hAnsi="Aptos" w:cs="Times New Roman"/>
          <w:i/>
          <w:iCs/>
          <w:kern w:val="0"/>
          <w:sz w:val="22"/>
          <w:szCs w:val="22"/>
          <w:lang w:eastAsia="en-GB"/>
          <w14:ligatures w14:val="none"/>
        </w:rPr>
        <w:t>and</w:t>
      </w:r>
      <w:r w:rsidRPr="0032251D">
        <w:rPr>
          <w:rFonts w:ascii="Aptos" w:eastAsia="Times New Roman" w:hAnsi="Aptos" w:cs="Times New Roman"/>
          <w:kern w:val="0"/>
          <w:sz w:val="22"/>
          <w:szCs w:val="22"/>
          <w:lang w:eastAsia="en-GB"/>
          <w14:ligatures w14:val="none"/>
        </w:rPr>
        <w:t xml:space="preserve"> uncertainty about inflation. The inflation risk premium term is the compensation investors demand for bearing exposure to inflation surprises — positive on average because inflation surprises typically erode real </w:t>
      </w:r>
      <w:proofErr w:type="gramStart"/>
      <w:r w:rsidRPr="0032251D">
        <w:rPr>
          <w:rFonts w:ascii="Aptos" w:eastAsia="Times New Roman" w:hAnsi="Aptos" w:cs="Times New Roman"/>
          <w:kern w:val="0"/>
          <w:sz w:val="22"/>
          <w:szCs w:val="22"/>
          <w:lang w:eastAsia="en-GB"/>
          <w14:ligatures w14:val="none"/>
        </w:rPr>
        <w:t>returns, but</w:t>
      </w:r>
      <w:proofErr w:type="gramEnd"/>
      <w:r w:rsidRPr="0032251D">
        <w:rPr>
          <w:rFonts w:ascii="Aptos" w:eastAsia="Times New Roman" w:hAnsi="Aptos" w:cs="Times New Roman"/>
          <w:kern w:val="0"/>
          <w:sz w:val="22"/>
          <w:szCs w:val="22"/>
          <w:lang w:eastAsia="en-GB"/>
          <w14:ligatures w14:val="none"/>
        </w:rPr>
        <w:t xml:space="preserve"> can turn negative when inflation co-moves negatively with consumption (recession-deflation correlation).</w:t>
      </w:r>
    </w:p>
    <w:p w14:paraId="0A6B488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Inflation hedging.</w:t>
      </w:r>
      <w:r w:rsidRPr="0032251D">
        <w:rPr>
          <w:rFonts w:ascii="Aptos" w:eastAsia="Times New Roman" w:hAnsi="Aptos" w:cs="Times New Roman"/>
          <w:kern w:val="0"/>
          <w:sz w:val="22"/>
          <w:szCs w:val="22"/>
          <w:lang w:eastAsia="en-GB"/>
          <w14:ligatures w14:val="none"/>
        </w:rPr>
        <w:t xml:space="preserve"> Long-dated nominal cash flows are exposed to inflation. Inflation-linked instruments hedge this exposure. Pensions, insurance liabilities, sovereign wealth funds with intergenerational mandates, and inflation-targeting investors are the natural buyers. The market exists because there is real demand for the inflation hedge.</w:t>
      </w:r>
    </w:p>
    <w:p w14:paraId="50CB3305"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Anchoring vs drift.</w:t>
      </w:r>
      <w:r w:rsidRPr="0032251D">
        <w:rPr>
          <w:rFonts w:ascii="Aptos" w:eastAsia="Times New Roman" w:hAnsi="Aptos" w:cs="Times New Roman"/>
          <w:kern w:val="0"/>
          <w:sz w:val="22"/>
          <w:szCs w:val="22"/>
          <w:lang w:eastAsia="en-GB"/>
          <w14:ligatures w14:val="none"/>
        </w:rPr>
        <w:t xml:space="preserve"> The central theoretical concern of monetary policy: do long-run inflation expectations stay anchored at the target, or do they drift in response to shocks? Well-anchored expectations show stable long-end BEIs around target; un-anchored expectations show trending or shock-sensitive BEIs. The single most important credibility diagnostic in the framework lives here.</w:t>
      </w:r>
    </w:p>
    <w:p w14:paraId="1E7132F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The 5y5y forward.</w:t>
      </w:r>
      <w:r w:rsidRPr="0032251D">
        <w:rPr>
          <w:rFonts w:ascii="Aptos" w:eastAsia="Times New Roman" w:hAnsi="Aptos" w:cs="Times New Roman"/>
          <w:kern w:val="0"/>
          <w:sz w:val="22"/>
          <w:szCs w:val="22"/>
          <w:lang w:eastAsia="en-GB"/>
          <w14:ligatures w14:val="none"/>
        </w:rPr>
        <w:t xml:space="preserve"> The 5-year inflation expectation 5 years forward is the standard market-implied long-run inflation expectation. Federal Reserve, ECB, and other DM central banks reference 5y5y BEIs explicitly in speeches as credibility signals. The forward construction removes near-term inflation shocks and isolates the long-run anchor.</w:t>
      </w:r>
    </w:p>
    <w:p w14:paraId="77BBFF25"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Inflation risk premium time variation.</w:t>
      </w:r>
      <w:r w:rsidRPr="0032251D">
        <w:rPr>
          <w:rFonts w:ascii="Aptos" w:eastAsia="Times New Roman" w:hAnsi="Aptos" w:cs="Times New Roman"/>
          <w:kern w:val="0"/>
          <w:sz w:val="22"/>
          <w:szCs w:val="22"/>
          <w:lang w:eastAsia="en-GB"/>
          <w14:ligatures w14:val="none"/>
        </w:rPr>
        <w:t xml:space="preserve"> The premium is not constant. It varies with inflation regime (high-inflation regimes = positive premium; deflationary regimes = potentially negative premium), with inflation uncertainty (high uncertainty = high premium), and with the correlation between inflation and consumption growth. Modern estimation (D'Amico-Kim-Wei 2018; Abrahams-Adrian-Crump-Moench-Yang 2016) treats it as time-varying.</w:t>
      </w:r>
    </w:p>
    <w:p w14:paraId="0238261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Liquidity premium contamination.</w:t>
      </w:r>
      <w:r w:rsidRPr="0032251D">
        <w:rPr>
          <w:rFonts w:ascii="Aptos" w:eastAsia="Times New Roman" w:hAnsi="Aptos" w:cs="Times New Roman"/>
          <w:kern w:val="0"/>
          <w:sz w:val="22"/>
          <w:szCs w:val="22"/>
          <w:lang w:eastAsia="en-GB"/>
          <w14:ligatures w14:val="none"/>
        </w:rPr>
        <w:t xml:space="preserve"> Inflation-linked bonds are typically less liquid than nominals, so they trade with a positive liquidity premium. </w:t>
      </w:r>
      <w:proofErr w:type="gramStart"/>
      <w:r w:rsidRPr="0032251D">
        <w:rPr>
          <w:rFonts w:ascii="Aptos" w:eastAsia="Times New Roman" w:hAnsi="Aptos" w:cs="Times New Roman"/>
          <w:kern w:val="0"/>
          <w:sz w:val="22"/>
          <w:szCs w:val="22"/>
          <w:lang w:eastAsia="en-GB"/>
          <w14:ligatures w14:val="none"/>
        </w:rPr>
        <w:t xml:space="preserve">This </w:t>
      </w:r>
      <w:r w:rsidRPr="0032251D">
        <w:rPr>
          <w:rFonts w:ascii="Aptos" w:eastAsia="Times New Roman" w:hAnsi="Aptos" w:cs="Times New Roman"/>
          <w:i/>
          <w:iCs/>
          <w:kern w:val="0"/>
          <w:sz w:val="22"/>
          <w:szCs w:val="22"/>
          <w:lang w:eastAsia="en-GB"/>
          <w14:ligatures w14:val="none"/>
        </w:rPr>
        <w:t>raises</w:t>
      </w:r>
      <w:proofErr w:type="gramEnd"/>
      <w:r w:rsidRPr="0032251D">
        <w:rPr>
          <w:rFonts w:ascii="Aptos" w:eastAsia="Times New Roman" w:hAnsi="Aptos" w:cs="Times New Roman"/>
          <w:kern w:val="0"/>
          <w:sz w:val="22"/>
          <w:szCs w:val="22"/>
          <w:lang w:eastAsia="en-GB"/>
          <w14:ligatures w14:val="none"/>
        </w:rPr>
        <w:t xml:space="preserve"> observed real yields and therefore </w:t>
      </w:r>
      <w:r w:rsidRPr="0032251D">
        <w:rPr>
          <w:rFonts w:ascii="Aptos" w:eastAsia="Times New Roman" w:hAnsi="Aptos" w:cs="Times New Roman"/>
          <w:i/>
          <w:iCs/>
          <w:kern w:val="0"/>
          <w:sz w:val="22"/>
          <w:szCs w:val="22"/>
          <w:lang w:eastAsia="en-GB"/>
          <w14:ligatures w14:val="none"/>
        </w:rPr>
        <w:t>lowers</w:t>
      </w:r>
      <w:r w:rsidRPr="0032251D">
        <w:rPr>
          <w:rFonts w:ascii="Aptos" w:eastAsia="Times New Roman" w:hAnsi="Aptos" w:cs="Times New Roman"/>
          <w:kern w:val="0"/>
          <w:sz w:val="22"/>
          <w:szCs w:val="22"/>
          <w:lang w:eastAsia="en-GB"/>
          <w14:ligatures w14:val="none"/>
        </w:rPr>
        <w:t xml:space="preserve"> observed BEIs relative to pure inflation expectations. The contamination is not constant — it varies by maturity, regime, and demand conditions.</w:t>
      </w:r>
    </w:p>
    <w:p w14:paraId="3F1A906F"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073D801A">
          <v:rect id="_x0000_i1077" alt="" style="width:451.3pt;height:.05pt;mso-width-percent:0;mso-height-percent:0;mso-width-percent:0;mso-height-percent:0" o:hralign="center" o:hrstd="t" o:hr="t" fillcolor="#a0a0a0" stroked="f"/>
        </w:pict>
      </w:r>
    </w:p>
    <w:p w14:paraId="7923B5C2"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Canonical decomposition and components</w:t>
      </w:r>
    </w:p>
    <w:p w14:paraId="6A00D69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fully expanded Fisher decomposition:</w:t>
      </w:r>
    </w:p>
    <w:p w14:paraId="3D35A6D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Nominal yield = Real yield + Expected inflation + Inflation risk premium − Liquidity premium</w:t>
      </w:r>
    </w:p>
    <w:p w14:paraId="4E4E583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Therefore:</w:t>
      </w:r>
    </w:p>
    <w:p w14:paraId="2E9B85E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lastRenderedPageBreak/>
        <w:t>BEI = Nominal yield − Real yield = Expected inflation + Inflation risk premium − Liquidity premium</w:t>
      </w:r>
    </w:p>
    <w:p w14:paraId="1F6CF125"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BEIs are </w:t>
      </w:r>
      <w:r w:rsidRPr="0032251D">
        <w:rPr>
          <w:rFonts w:ascii="Aptos" w:eastAsia="Times New Roman" w:hAnsi="Aptos" w:cs="Times New Roman"/>
          <w:i/>
          <w:iCs/>
          <w:kern w:val="0"/>
          <w:sz w:val="22"/>
          <w:szCs w:val="22"/>
          <w:lang w:eastAsia="en-GB"/>
          <w14:ligatures w14:val="none"/>
        </w:rPr>
        <w:t>not</w:t>
      </w:r>
      <w:r w:rsidRPr="0032251D">
        <w:rPr>
          <w:rFonts w:ascii="Aptos" w:eastAsia="Times New Roman" w:hAnsi="Aptos" w:cs="Times New Roman"/>
          <w:kern w:val="0"/>
          <w:sz w:val="22"/>
          <w:szCs w:val="22"/>
          <w:lang w:eastAsia="en-GB"/>
          <w14:ligatures w14:val="none"/>
        </w:rPr>
        <w:t xml:space="preserve"> pure inflation expectations. The "inflation expectations" interpretation requires stripping risk and liquidity premia — which requires a model.</w:t>
      </w:r>
    </w:p>
    <w:p w14:paraId="316BE67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Market structures.</w:t>
      </w:r>
    </w:p>
    <w:p w14:paraId="13745A44" w14:textId="77777777" w:rsidR="0032251D" w:rsidRPr="0032251D" w:rsidRDefault="0032251D">
      <w:pPr>
        <w:numPr>
          <w:ilvl w:val="0"/>
          <w:numId w:val="3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Real yield curve</w:t>
      </w:r>
      <w:r w:rsidRPr="0032251D">
        <w:rPr>
          <w:rFonts w:ascii="Aptos" w:eastAsia="Times New Roman" w:hAnsi="Aptos" w:cs="Times New Roman"/>
          <w:kern w:val="0"/>
          <w:sz w:val="22"/>
          <w:szCs w:val="22"/>
          <w:lang w:eastAsia="en-GB"/>
          <w14:ligatures w14:val="none"/>
        </w:rPr>
        <w:t>: term structure of inflation-linked bond yields. Provides real rates at standard maturities.</w:t>
      </w:r>
    </w:p>
    <w:p w14:paraId="71B794AD" w14:textId="77777777" w:rsidR="0032251D" w:rsidRPr="0032251D" w:rsidRDefault="0032251D">
      <w:pPr>
        <w:numPr>
          <w:ilvl w:val="0"/>
          <w:numId w:val="3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BEI curve</w:t>
      </w:r>
      <w:r w:rsidRPr="0032251D">
        <w:rPr>
          <w:rFonts w:ascii="Aptos" w:eastAsia="Times New Roman" w:hAnsi="Aptos" w:cs="Times New Roman"/>
          <w:kern w:val="0"/>
          <w:sz w:val="22"/>
          <w:szCs w:val="22"/>
          <w:lang w:eastAsia="en-GB"/>
          <w14:ligatures w14:val="none"/>
        </w:rPr>
        <w:t>: nominal minus real yield at each maturity. Provides market-implied inflation expectations at each horizon.</w:t>
      </w:r>
    </w:p>
    <w:p w14:paraId="2ACFB6F9" w14:textId="77777777" w:rsidR="0032251D" w:rsidRPr="0032251D" w:rsidRDefault="0032251D">
      <w:pPr>
        <w:numPr>
          <w:ilvl w:val="0"/>
          <w:numId w:val="3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Forward BEIs</w:t>
      </w:r>
      <w:r w:rsidRPr="0032251D">
        <w:rPr>
          <w:rFonts w:ascii="Aptos" w:eastAsia="Times New Roman" w:hAnsi="Aptos" w:cs="Times New Roman"/>
          <w:kern w:val="0"/>
          <w:sz w:val="22"/>
          <w:szCs w:val="22"/>
          <w:lang w:eastAsia="en-GB"/>
          <w14:ligatures w14:val="none"/>
        </w:rPr>
        <w:t>: 5y5y forward is the canonical long-run anchor; 2y2y captures medium-term expectations.</w:t>
      </w:r>
    </w:p>
    <w:p w14:paraId="7DAB272D" w14:textId="77777777" w:rsidR="0032251D" w:rsidRPr="0032251D" w:rsidRDefault="0032251D">
      <w:pPr>
        <w:numPr>
          <w:ilvl w:val="0"/>
          <w:numId w:val="3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Zero-coupon inflation swaps (ZCIS)</w:t>
      </w:r>
      <w:r w:rsidRPr="0032251D">
        <w:rPr>
          <w:rFonts w:ascii="Aptos" w:eastAsia="Times New Roman" w:hAnsi="Aptos" w:cs="Times New Roman"/>
          <w:kern w:val="0"/>
          <w:sz w:val="22"/>
          <w:szCs w:val="22"/>
          <w:lang w:eastAsia="en-GB"/>
          <w14:ligatures w14:val="none"/>
        </w:rPr>
        <w:t>: cleaner BEI read because it removes most of the linker-specific liquidity premium. ZCIS-implied BEI typically trades 20-40bp above cash BEI; the difference is the liquidity premium estimate.</w:t>
      </w:r>
    </w:p>
    <w:p w14:paraId="2A0AD672" w14:textId="77777777" w:rsidR="0032251D" w:rsidRPr="0032251D" w:rsidRDefault="0032251D">
      <w:pPr>
        <w:numPr>
          <w:ilvl w:val="0"/>
          <w:numId w:val="3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Year-on-year inflation swaps</w:t>
      </w:r>
      <w:r w:rsidRPr="0032251D">
        <w:rPr>
          <w:rFonts w:ascii="Aptos" w:eastAsia="Times New Roman" w:hAnsi="Aptos" w:cs="Times New Roman"/>
          <w:kern w:val="0"/>
          <w:sz w:val="22"/>
          <w:szCs w:val="22"/>
          <w:lang w:eastAsia="en-GB"/>
          <w14:ligatures w14:val="none"/>
        </w:rPr>
        <w:t>: market-implied annual inflation prints, useful for near-term inflation forecasting.</w:t>
      </w:r>
    </w:p>
    <w:p w14:paraId="7CD198D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Decomposition models.</w:t>
      </w:r>
    </w:p>
    <w:p w14:paraId="0FE28B77" w14:textId="77777777" w:rsidR="0032251D" w:rsidRPr="0032251D" w:rsidRDefault="0032251D">
      <w:pPr>
        <w:numPr>
          <w:ilvl w:val="0"/>
          <w:numId w:val="3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D'Amico-Kim-Wei (2018)</w:t>
      </w:r>
      <w:r w:rsidRPr="0032251D">
        <w:rPr>
          <w:rFonts w:ascii="Aptos" w:eastAsia="Times New Roman" w:hAnsi="Aptos" w:cs="Times New Roman"/>
          <w:kern w:val="0"/>
          <w:sz w:val="22"/>
          <w:szCs w:val="22"/>
          <w:lang w:eastAsia="en-GB"/>
          <w14:ligatures w14:val="none"/>
        </w:rPr>
        <w:t>: affine term structure model with inflation, decomposes nominal yields into expected real rates, expected inflation, and risk premia. The workhorse.</w:t>
      </w:r>
    </w:p>
    <w:p w14:paraId="010D0FA7" w14:textId="77777777" w:rsidR="0032251D" w:rsidRPr="0032251D" w:rsidRDefault="0032251D">
      <w:pPr>
        <w:numPr>
          <w:ilvl w:val="0"/>
          <w:numId w:val="3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Abrahams-Adrian-Crump-Moench-Yang (2016)</w:t>
      </w:r>
      <w:r w:rsidRPr="0032251D">
        <w:rPr>
          <w:rFonts w:ascii="Aptos" w:eastAsia="Times New Roman" w:hAnsi="Aptos" w:cs="Times New Roman"/>
          <w:kern w:val="0"/>
          <w:sz w:val="22"/>
          <w:szCs w:val="22"/>
          <w:lang w:eastAsia="en-GB"/>
          <w14:ligatures w14:val="none"/>
        </w:rPr>
        <w:t>: extends ACM to include inflation, with TIPS and nominal Treasuries jointly modelled.</w:t>
      </w:r>
    </w:p>
    <w:p w14:paraId="6D1E2EB7" w14:textId="77777777" w:rsidR="0032251D" w:rsidRPr="0032251D" w:rsidRDefault="0032251D">
      <w:pPr>
        <w:numPr>
          <w:ilvl w:val="0"/>
          <w:numId w:val="3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Survey-based decomposition</w:t>
      </w:r>
      <w:r w:rsidRPr="0032251D">
        <w:rPr>
          <w:rFonts w:ascii="Aptos" w:eastAsia="Times New Roman" w:hAnsi="Aptos" w:cs="Times New Roman"/>
          <w:kern w:val="0"/>
          <w:sz w:val="22"/>
          <w:szCs w:val="22"/>
          <w:lang w:eastAsia="en-GB"/>
          <w14:ligatures w14:val="none"/>
        </w:rPr>
        <w:t>: use professional forecasters' inflation expectations as the expectation estimate; back out risk premium as residual.</w:t>
      </w:r>
    </w:p>
    <w:p w14:paraId="39F3136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same BEI can decompose very differently across models — a 250bp BEI might be 220bp expected inflation + 40bp risk premium − 10bp liquidity in one model, or 200bp expected inflation + 70bp risk premium − 20bp liquidity in another. This model dependence is the central empirical limitation.</w:t>
      </w:r>
    </w:p>
    <w:p w14:paraId="3D3C0B18"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2B466388">
          <v:rect id="_x0000_i1078" alt="" style="width:451.3pt;height:.05pt;mso-width-percent:0;mso-height-percent:0;mso-width-percent:0;mso-height-percent:0" o:hralign="center" o:hrstd="t" o:hr="t" fillcolor="#a0a0a0" stroked="f"/>
        </w:pict>
      </w:r>
    </w:p>
    <w:p w14:paraId="438265C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Why this matters for asset prices</w:t>
      </w:r>
    </w:p>
    <w:p w14:paraId="7C8800E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Inflation-linked is consequential through seven channels.</w:t>
      </w:r>
    </w:p>
    <w:p w14:paraId="08985852"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Cleanest credibility read.</w:t>
      </w:r>
      <w:r w:rsidRPr="0032251D">
        <w:rPr>
          <w:rFonts w:ascii="Aptos" w:eastAsia="Times New Roman" w:hAnsi="Aptos" w:cs="Times New Roman"/>
          <w:kern w:val="0"/>
          <w:sz w:val="22"/>
          <w:szCs w:val="22"/>
          <w:lang w:eastAsia="en-GB"/>
          <w14:ligatures w14:val="none"/>
        </w:rPr>
        <w:t xml:space="preserve"> Long-end BEIs — and especially the 5y5y forward — are the market's read on central bank credibility. Anchored BEIs near the inflation target = credibility intact. Drifting BEIs = credibility leaking. This is more informative than survey measures (which lag) or spot CPI prints (which are noisy and backward-looking).</w:t>
      </w:r>
    </w:p>
    <w:p w14:paraId="5780FB8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Real yield as discount rate.</w:t>
      </w:r>
      <w:r w:rsidRPr="0032251D">
        <w:rPr>
          <w:rFonts w:ascii="Aptos" w:eastAsia="Times New Roman" w:hAnsi="Aptos" w:cs="Times New Roman"/>
          <w:kern w:val="0"/>
          <w:sz w:val="22"/>
          <w:szCs w:val="22"/>
          <w:lang w:eastAsia="en-GB"/>
          <w14:ligatures w14:val="none"/>
        </w:rPr>
        <w:t xml:space="preserve"> Real assets — equities, real estate, infrastructure, real-asset infrastructure funds — should be discounted at real rates. Real yields from inflation-linked are the right discount rate input. The 2022 selloff in long-duration equities was largely driven by the real yield repricing, not by the nominal yield rise per se.</w:t>
      </w:r>
    </w:p>
    <w:p w14:paraId="0A3F788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Inflation hedging for liabilities.</w:t>
      </w:r>
      <w:r w:rsidRPr="0032251D">
        <w:rPr>
          <w:rFonts w:ascii="Aptos" w:eastAsia="Times New Roman" w:hAnsi="Aptos" w:cs="Times New Roman"/>
          <w:kern w:val="0"/>
          <w:sz w:val="22"/>
          <w:szCs w:val="22"/>
          <w:lang w:eastAsia="en-GB"/>
          <w14:ligatures w14:val="none"/>
        </w:rPr>
        <w:t xml:space="preserve"> Portfolios with inflation-sensitive liabilities (defined-benefit pensions, sovereign wealth funds, insurance reserves) need inflation hedging through linkers. This generates persistent demand and supports linker market depth even outside acute inflation episodes.</w:t>
      </w:r>
    </w:p>
    <w:p w14:paraId="3FFF1215"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Inflation expectation tracking.</w:t>
      </w:r>
      <w:r w:rsidRPr="0032251D">
        <w:rPr>
          <w:rFonts w:ascii="Aptos" w:eastAsia="Times New Roman" w:hAnsi="Aptos" w:cs="Times New Roman"/>
          <w:kern w:val="0"/>
          <w:sz w:val="22"/>
          <w:szCs w:val="22"/>
          <w:lang w:eastAsia="en-GB"/>
          <w14:ligatures w14:val="none"/>
        </w:rPr>
        <w:t xml:space="preserve"> BEIs provide high-frequency reads on inflation expectations — faster than surveys, more market-informed than central bank forecasts. For investment managers, BEI moves are an information source separate from CPI prints.</w:t>
      </w:r>
    </w:p>
    <w:p w14:paraId="376576F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Term premium decomposition.</w:t>
      </w:r>
      <w:r w:rsidRPr="0032251D">
        <w:rPr>
          <w:rFonts w:ascii="Aptos" w:eastAsia="Times New Roman" w:hAnsi="Aptos" w:cs="Times New Roman"/>
          <w:kern w:val="0"/>
          <w:sz w:val="22"/>
          <w:szCs w:val="22"/>
          <w:lang w:eastAsia="en-GB"/>
          <w14:ligatures w14:val="none"/>
        </w:rPr>
        <w:t xml:space="preserve"> Separating real and nominal term premia identifies the source of nominal yield moves. If nominal yields rise driven by real yields, the move is largely a real-rate repricing (potentially growth-driven). If driven by BEIs, it is inflation-expectations-driven. Same nominal move, very different portfolio implications.</w:t>
      </w:r>
    </w:p>
    <w:p w14:paraId="4A919235"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Asset allocation tilts.</w:t>
      </w:r>
      <w:r w:rsidRPr="0032251D">
        <w:rPr>
          <w:rFonts w:ascii="Aptos" w:eastAsia="Times New Roman" w:hAnsi="Aptos" w:cs="Times New Roman"/>
          <w:kern w:val="0"/>
          <w:sz w:val="22"/>
          <w:szCs w:val="22"/>
          <w:lang w:eastAsia="en-GB"/>
          <w14:ligatures w14:val="none"/>
        </w:rPr>
        <w:t xml:space="preserve"> Rising real yields hurt long-duration equities specifically (their cash flows discount more aggressively). Sector and style rotation responds. The 2022 growth-stock selloff was a clean case of real-yield-driven repricing.</w:t>
      </w:r>
    </w:p>
    <w:p w14:paraId="4DA2E91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Cross-country credibility comparison.</w:t>
      </w:r>
      <w:r w:rsidRPr="0032251D">
        <w:rPr>
          <w:rFonts w:ascii="Aptos" w:eastAsia="Times New Roman" w:hAnsi="Aptos" w:cs="Times New Roman"/>
          <w:kern w:val="0"/>
          <w:sz w:val="22"/>
          <w:szCs w:val="22"/>
          <w:lang w:eastAsia="en-GB"/>
          <w14:ligatures w14:val="none"/>
        </w:rPr>
        <w:t xml:space="preserve"> BEI differentials across countries reflect differential inflation credibility. A 100bp long-BEI gap between SA and the US is not just an inflation gap — it embeds different credibility premia, different liquidity premia, and different risk premia. For FX and rates trades, decomposing the gap is essential.</w:t>
      </w:r>
    </w:p>
    <w:p w14:paraId="7DD548D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For investment managers three practitioner points dominate. First, long-end BEIs are the credibility signal — more informative than spot CPI prints or rate decisions. Second, the 5y5y forward is the gold-standard measure of long-run inflation expectations; central banks themselves use it. Third, when nominal yields move, asking </w:t>
      </w:r>
      <w:r w:rsidRPr="0032251D">
        <w:rPr>
          <w:rFonts w:ascii="Aptos" w:eastAsia="Times New Roman" w:hAnsi="Aptos" w:cs="Times New Roman"/>
          <w:i/>
          <w:iCs/>
          <w:kern w:val="0"/>
          <w:sz w:val="22"/>
          <w:szCs w:val="22"/>
          <w:lang w:eastAsia="en-GB"/>
          <w14:ligatures w14:val="none"/>
        </w:rPr>
        <w:t>which component moved</w:t>
      </w:r>
      <w:r w:rsidRPr="0032251D">
        <w:rPr>
          <w:rFonts w:ascii="Aptos" w:eastAsia="Times New Roman" w:hAnsi="Aptos" w:cs="Times New Roman"/>
          <w:kern w:val="0"/>
          <w:sz w:val="22"/>
          <w:szCs w:val="22"/>
          <w:lang w:eastAsia="en-GB"/>
          <w14:ligatures w14:val="none"/>
        </w:rPr>
        <w:t xml:space="preserve"> is the right first question — real or BEI — because the asset-class implications are very different.</w:t>
      </w:r>
    </w:p>
    <w:p w14:paraId="7A590585"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4188F570">
          <v:rect id="_x0000_i1079" alt="" style="width:451.3pt;height:.05pt;mso-width-percent:0;mso-height-percent:0;mso-width-percent:0;mso-height-percent:0" o:hralign="center" o:hrstd="t" o:hr="t" fillcolor="#a0a0a0" stroked="f"/>
        </w:pict>
      </w:r>
    </w:p>
    <w:p w14:paraId="4435CB35"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Regime and EM variation</w:t>
      </w:r>
    </w:p>
    <w:p w14:paraId="5EC18EE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Inflation-linked market depth varies enormously across the panel.</w:t>
      </w:r>
    </w:p>
    <w:p w14:paraId="4293841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DM linker markets.</w:t>
      </w:r>
      <w:r w:rsidRPr="0032251D">
        <w:rPr>
          <w:rFonts w:ascii="Aptos" w:eastAsia="Times New Roman" w:hAnsi="Aptos" w:cs="Times New Roman"/>
          <w:kern w:val="0"/>
          <w:sz w:val="22"/>
          <w:szCs w:val="22"/>
          <w:lang w:eastAsia="en-GB"/>
          <w14:ligatures w14:val="none"/>
        </w:rPr>
        <w:t xml:space="preserve"> Well-developed but with regional differences.</w:t>
      </w:r>
    </w:p>
    <w:p w14:paraId="30402AB9" w14:textId="77777777" w:rsidR="0032251D" w:rsidRPr="0032251D" w:rsidRDefault="0032251D">
      <w:pPr>
        <w:numPr>
          <w:ilvl w:val="0"/>
          <w:numId w:val="3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US TIPS</w:t>
      </w:r>
      <w:r w:rsidRPr="0032251D">
        <w:rPr>
          <w:rFonts w:ascii="Aptos" w:eastAsia="Times New Roman" w:hAnsi="Aptos" w:cs="Times New Roman"/>
          <w:kern w:val="0"/>
          <w:sz w:val="22"/>
          <w:szCs w:val="22"/>
          <w:lang w:eastAsia="en-GB"/>
          <w14:ligatures w14:val="none"/>
        </w:rPr>
        <w:t>: ~$1.7tn outstanding, indexed to headline CPI, deep secondary market, full curve from 5y to 30y. The global benchmark for linker investing.</w:t>
      </w:r>
    </w:p>
    <w:p w14:paraId="28B3BB0C" w14:textId="77777777" w:rsidR="0032251D" w:rsidRPr="0032251D" w:rsidRDefault="0032251D">
      <w:pPr>
        <w:numPr>
          <w:ilvl w:val="0"/>
          <w:numId w:val="3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UK Linkers</w:t>
      </w:r>
      <w:r w:rsidRPr="0032251D">
        <w:rPr>
          <w:rFonts w:ascii="Aptos" w:eastAsia="Times New Roman" w:hAnsi="Aptos" w:cs="Times New Roman"/>
          <w:kern w:val="0"/>
          <w:sz w:val="22"/>
          <w:szCs w:val="22"/>
          <w:lang w:eastAsia="en-GB"/>
          <w14:ligatures w14:val="none"/>
        </w:rPr>
        <w:t>: oldest market (since 1981), large pension demand drives long-end pricing, traditionally RPI-indexed (transitioning to CPIH in 2030).</w:t>
      </w:r>
    </w:p>
    <w:p w14:paraId="121B8BE9" w14:textId="77777777" w:rsidR="0032251D" w:rsidRPr="0032251D" w:rsidRDefault="0032251D">
      <w:pPr>
        <w:numPr>
          <w:ilvl w:val="0"/>
          <w:numId w:val="3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Eurozone</w:t>
      </w:r>
      <w:r w:rsidRPr="0032251D">
        <w:rPr>
          <w:rFonts w:ascii="Aptos" w:eastAsia="Times New Roman" w:hAnsi="Aptos" w:cs="Times New Roman"/>
          <w:kern w:val="0"/>
          <w:sz w:val="22"/>
          <w:szCs w:val="22"/>
          <w:lang w:eastAsia="en-GB"/>
          <w14:ligatures w14:val="none"/>
        </w:rPr>
        <w:t xml:space="preserve">: </w:t>
      </w:r>
      <w:proofErr w:type="spellStart"/>
      <w:r w:rsidRPr="0032251D">
        <w:rPr>
          <w:rFonts w:ascii="Aptos" w:eastAsia="Times New Roman" w:hAnsi="Aptos" w:cs="Times New Roman"/>
          <w:kern w:val="0"/>
          <w:sz w:val="22"/>
          <w:szCs w:val="22"/>
          <w:lang w:eastAsia="en-GB"/>
          <w14:ligatures w14:val="none"/>
        </w:rPr>
        <w:t>OATei</w:t>
      </w:r>
      <w:proofErr w:type="spellEnd"/>
      <w:r w:rsidRPr="0032251D">
        <w:rPr>
          <w:rFonts w:ascii="Aptos" w:eastAsia="Times New Roman" w:hAnsi="Aptos" w:cs="Times New Roman"/>
          <w:kern w:val="0"/>
          <w:sz w:val="22"/>
          <w:szCs w:val="22"/>
          <w:lang w:eastAsia="en-GB"/>
          <w14:ligatures w14:val="none"/>
        </w:rPr>
        <w:t xml:space="preserve"> (France), </w:t>
      </w:r>
      <w:proofErr w:type="spellStart"/>
      <w:r w:rsidRPr="0032251D">
        <w:rPr>
          <w:rFonts w:ascii="Aptos" w:eastAsia="Times New Roman" w:hAnsi="Aptos" w:cs="Times New Roman"/>
          <w:kern w:val="0"/>
          <w:sz w:val="22"/>
          <w:szCs w:val="22"/>
          <w:lang w:eastAsia="en-GB"/>
          <w14:ligatures w14:val="none"/>
        </w:rPr>
        <w:t>BTPei</w:t>
      </w:r>
      <w:proofErr w:type="spellEnd"/>
      <w:r w:rsidRPr="0032251D">
        <w:rPr>
          <w:rFonts w:ascii="Aptos" w:eastAsia="Times New Roman" w:hAnsi="Aptos" w:cs="Times New Roman"/>
          <w:kern w:val="0"/>
          <w:sz w:val="22"/>
          <w:szCs w:val="22"/>
          <w:lang w:eastAsia="en-GB"/>
          <w14:ligatures w14:val="none"/>
        </w:rPr>
        <w:t xml:space="preserve"> (Italy), </w:t>
      </w:r>
      <w:proofErr w:type="spellStart"/>
      <w:r w:rsidRPr="0032251D">
        <w:rPr>
          <w:rFonts w:ascii="Aptos" w:eastAsia="Times New Roman" w:hAnsi="Aptos" w:cs="Times New Roman"/>
          <w:kern w:val="0"/>
          <w:sz w:val="22"/>
          <w:szCs w:val="22"/>
          <w:lang w:eastAsia="en-GB"/>
          <w14:ligatures w14:val="none"/>
        </w:rPr>
        <w:t>Bundei</w:t>
      </w:r>
      <w:proofErr w:type="spellEnd"/>
      <w:r w:rsidRPr="0032251D">
        <w:rPr>
          <w:rFonts w:ascii="Aptos" w:eastAsia="Times New Roman" w:hAnsi="Aptos" w:cs="Times New Roman"/>
          <w:kern w:val="0"/>
          <w:sz w:val="22"/>
          <w:szCs w:val="22"/>
          <w:lang w:eastAsia="en-GB"/>
          <w14:ligatures w14:val="none"/>
        </w:rPr>
        <w:t xml:space="preserve"> (Germany), some Spanish linkers. Multi-country, </w:t>
      </w:r>
      <w:proofErr w:type="gramStart"/>
      <w:r w:rsidRPr="0032251D">
        <w:rPr>
          <w:rFonts w:ascii="Aptos" w:eastAsia="Times New Roman" w:hAnsi="Aptos" w:cs="Times New Roman"/>
          <w:kern w:val="0"/>
          <w:sz w:val="22"/>
          <w:szCs w:val="22"/>
          <w:lang w:eastAsia="en-GB"/>
          <w14:ligatures w14:val="none"/>
        </w:rPr>
        <w:t>single-currency</w:t>
      </w:r>
      <w:proofErr w:type="gramEnd"/>
      <w:r w:rsidRPr="0032251D">
        <w:rPr>
          <w:rFonts w:ascii="Aptos" w:eastAsia="Times New Roman" w:hAnsi="Aptos" w:cs="Times New Roman"/>
          <w:kern w:val="0"/>
          <w:sz w:val="22"/>
          <w:szCs w:val="22"/>
          <w:lang w:eastAsia="en-GB"/>
          <w14:ligatures w14:val="none"/>
        </w:rPr>
        <w:t>.</w:t>
      </w:r>
    </w:p>
    <w:p w14:paraId="45D3273C" w14:textId="77777777" w:rsidR="0032251D" w:rsidRPr="0032251D" w:rsidRDefault="0032251D">
      <w:pPr>
        <w:numPr>
          <w:ilvl w:val="0"/>
          <w:numId w:val="3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Japan</w:t>
      </w:r>
      <w:r w:rsidRPr="0032251D">
        <w:rPr>
          <w:rFonts w:ascii="Aptos" w:eastAsia="Times New Roman" w:hAnsi="Aptos" w:cs="Times New Roman"/>
          <w:kern w:val="0"/>
          <w:sz w:val="22"/>
          <w:szCs w:val="22"/>
          <w:lang w:eastAsia="en-GB"/>
          <w14:ligatures w14:val="none"/>
        </w:rPr>
        <w:t xml:space="preserve">: </w:t>
      </w:r>
      <w:proofErr w:type="spellStart"/>
      <w:r w:rsidRPr="0032251D">
        <w:rPr>
          <w:rFonts w:ascii="Aptos" w:eastAsia="Times New Roman" w:hAnsi="Aptos" w:cs="Times New Roman"/>
          <w:kern w:val="0"/>
          <w:sz w:val="22"/>
          <w:szCs w:val="22"/>
          <w:lang w:eastAsia="en-GB"/>
          <w14:ligatures w14:val="none"/>
        </w:rPr>
        <w:t>JGBi</w:t>
      </w:r>
      <w:proofErr w:type="spellEnd"/>
      <w:r w:rsidRPr="0032251D">
        <w:rPr>
          <w:rFonts w:ascii="Aptos" w:eastAsia="Times New Roman" w:hAnsi="Aptos" w:cs="Times New Roman"/>
          <w:kern w:val="0"/>
          <w:sz w:val="22"/>
          <w:szCs w:val="22"/>
          <w:lang w:eastAsia="en-GB"/>
          <w14:ligatures w14:val="none"/>
        </w:rPr>
        <w:t xml:space="preserve"> smaller market, deflation history complicates indexation and pricing.</w:t>
      </w:r>
    </w:p>
    <w:p w14:paraId="50950E7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EM linker markets.</w:t>
      </w:r>
      <w:r w:rsidRPr="0032251D">
        <w:rPr>
          <w:rFonts w:ascii="Aptos" w:eastAsia="Times New Roman" w:hAnsi="Aptos" w:cs="Times New Roman"/>
          <w:kern w:val="0"/>
          <w:sz w:val="22"/>
          <w:szCs w:val="22"/>
          <w:lang w:eastAsia="en-GB"/>
          <w14:ligatures w14:val="none"/>
        </w:rPr>
        <w:t xml:space="preserve"> Wide variation in development.</w:t>
      </w:r>
    </w:p>
    <w:p w14:paraId="01592475" w14:textId="77777777" w:rsidR="0032251D" w:rsidRPr="0032251D" w:rsidRDefault="0032251D">
      <w:pPr>
        <w:numPr>
          <w:ilvl w:val="0"/>
          <w:numId w:val="3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Brazil NTN-B</w:t>
      </w:r>
      <w:r w:rsidRPr="0032251D">
        <w:rPr>
          <w:rFonts w:ascii="Aptos" w:eastAsia="Times New Roman" w:hAnsi="Aptos" w:cs="Times New Roman"/>
          <w:kern w:val="0"/>
          <w:sz w:val="22"/>
          <w:szCs w:val="22"/>
          <w:lang w:eastAsia="en-GB"/>
          <w14:ligatures w14:val="none"/>
        </w:rPr>
        <w:t>: very active, deep market, IPCA-indexed, central to EM linker investing. Brazilian institutional demand drives most flow.</w:t>
      </w:r>
    </w:p>
    <w:p w14:paraId="53D85094" w14:textId="77777777" w:rsidR="0032251D" w:rsidRPr="0032251D" w:rsidRDefault="0032251D">
      <w:pPr>
        <w:numPr>
          <w:ilvl w:val="0"/>
          <w:numId w:val="3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 xml:space="preserve">Mexico </w:t>
      </w:r>
      <w:proofErr w:type="spellStart"/>
      <w:r w:rsidRPr="0032251D">
        <w:rPr>
          <w:rFonts w:ascii="Aptos" w:eastAsia="Times New Roman" w:hAnsi="Aptos" w:cs="Times New Roman"/>
          <w:b/>
          <w:bCs/>
          <w:kern w:val="0"/>
          <w:sz w:val="22"/>
          <w:szCs w:val="22"/>
          <w:lang w:eastAsia="en-GB"/>
          <w14:ligatures w14:val="none"/>
        </w:rPr>
        <w:t>Udibonos</w:t>
      </w:r>
      <w:proofErr w:type="spellEnd"/>
      <w:r w:rsidRPr="0032251D">
        <w:rPr>
          <w:rFonts w:ascii="Aptos" w:eastAsia="Times New Roman" w:hAnsi="Aptos" w:cs="Times New Roman"/>
          <w:kern w:val="0"/>
          <w:sz w:val="22"/>
          <w:szCs w:val="22"/>
          <w:lang w:eastAsia="en-GB"/>
          <w14:ligatures w14:val="none"/>
        </w:rPr>
        <w:t>: UDI-indexed (a daily-accreting inflation unit), second-largest EM linker market after Brazil.</w:t>
      </w:r>
    </w:p>
    <w:p w14:paraId="2C9820D3" w14:textId="77777777" w:rsidR="0032251D" w:rsidRPr="0032251D" w:rsidRDefault="0032251D">
      <w:pPr>
        <w:numPr>
          <w:ilvl w:val="0"/>
          <w:numId w:val="3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lastRenderedPageBreak/>
        <w:t>Chile BCU</w:t>
      </w:r>
      <w:r w:rsidRPr="0032251D">
        <w:rPr>
          <w:rFonts w:ascii="Aptos" w:eastAsia="Times New Roman" w:hAnsi="Aptos" w:cs="Times New Roman"/>
          <w:kern w:val="0"/>
          <w:sz w:val="22"/>
          <w:szCs w:val="22"/>
          <w:lang w:eastAsia="en-GB"/>
          <w14:ligatures w14:val="none"/>
        </w:rPr>
        <w:t>: UF-indexed (Unidad de Fomento). Most of Chile's mortgage and fixed-income market is UF-denominated.</w:t>
      </w:r>
    </w:p>
    <w:p w14:paraId="63300289" w14:textId="77777777" w:rsidR="0032251D" w:rsidRPr="0032251D" w:rsidRDefault="0032251D">
      <w:pPr>
        <w:numPr>
          <w:ilvl w:val="0"/>
          <w:numId w:val="3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Colombia, Peru</w:t>
      </w:r>
      <w:r w:rsidRPr="0032251D">
        <w:rPr>
          <w:rFonts w:ascii="Aptos" w:eastAsia="Times New Roman" w:hAnsi="Aptos" w:cs="Times New Roman"/>
          <w:kern w:val="0"/>
          <w:sz w:val="22"/>
          <w:szCs w:val="22"/>
          <w:lang w:eastAsia="en-GB"/>
          <w14:ligatures w14:val="none"/>
        </w:rPr>
        <w:t>: smaller linker markets.</w:t>
      </w:r>
    </w:p>
    <w:p w14:paraId="43DE3156" w14:textId="77777777" w:rsidR="0032251D" w:rsidRPr="0032251D" w:rsidRDefault="0032251D">
      <w:pPr>
        <w:numPr>
          <w:ilvl w:val="0"/>
          <w:numId w:val="3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South Africa I-bonds</w:t>
      </w:r>
      <w:r w:rsidRPr="0032251D">
        <w:rPr>
          <w:rFonts w:ascii="Aptos" w:eastAsia="Times New Roman" w:hAnsi="Aptos" w:cs="Times New Roman"/>
          <w:kern w:val="0"/>
          <w:sz w:val="22"/>
          <w:szCs w:val="22"/>
          <w:lang w:eastAsia="en-GB"/>
          <w14:ligatures w14:val="none"/>
        </w:rPr>
        <w:t>: actively traded, multiple benchmark maturities; depth between Brazil and the smaller Latin American markets.</w:t>
      </w:r>
    </w:p>
    <w:p w14:paraId="3E179BD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EM specifics.</w:t>
      </w:r>
    </w:p>
    <w:p w14:paraId="2AC25AA7" w14:textId="77777777" w:rsidR="0032251D" w:rsidRPr="0032251D" w:rsidRDefault="0032251D">
      <w:pPr>
        <w:numPr>
          <w:ilvl w:val="0"/>
          <w:numId w:val="3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Indexation typically to headline CPI (vs core in some DM)</w:t>
      </w:r>
    </w:p>
    <w:p w14:paraId="7D1C8072" w14:textId="77777777" w:rsidR="0032251D" w:rsidRPr="0032251D" w:rsidRDefault="0032251D">
      <w:pPr>
        <w:numPr>
          <w:ilvl w:val="0"/>
          <w:numId w:val="3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Liquidity premia much larger than DM (50-100bp not unusual vs 20-40bp in TIPS)</w:t>
      </w:r>
    </w:p>
    <w:p w14:paraId="49789611" w14:textId="77777777" w:rsidR="0032251D" w:rsidRPr="0032251D" w:rsidRDefault="0032251D">
      <w:pPr>
        <w:numPr>
          <w:ilvl w:val="0"/>
          <w:numId w:val="3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Credibility risk premia much larger</w:t>
      </w:r>
    </w:p>
    <w:p w14:paraId="3221DF5F" w14:textId="77777777" w:rsidR="0032251D" w:rsidRPr="0032251D" w:rsidRDefault="0032251D">
      <w:pPr>
        <w:numPr>
          <w:ilvl w:val="0"/>
          <w:numId w:val="3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Long-end BEIs less anchored — drift more common</w:t>
      </w:r>
    </w:p>
    <w:p w14:paraId="58830724" w14:textId="77777777" w:rsidR="0032251D" w:rsidRPr="0032251D" w:rsidRDefault="0032251D">
      <w:pPr>
        <w:numPr>
          <w:ilvl w:val="0"/>
          <w:numId w:val="3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Foreign holder dynamics matter (BCB has historically managed foreign ownership of NTN-Bs)</w:t>
      </w:r>
    </w:p>
    <w:p w14:paraId="35B5E2CB" w14:textId="77777777" w:rsidR="0032251D" w:rsidRPr="0032251D" w:rsidRDefault="0032251D">
      <w:pPr>
        <w:numPr>
          <w:ilvl w:val="0"/>
          <w:numId w:val="3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Hyperinflation history (especially Latin America) complicates contract design</w:t>
      </w:r>
    </w:p>
    <w:p w14:paraId="1DCA631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SA specifically.</w:t>
      </w:r>
      <w:r w:rsidRPr="0032251D">
        <w:rPr>
          <w:rFonts w:ascii="Aptos" w:eastAsia="Times New Roman" w:hAnsi="Aptos" w:cs="Times New Roman"/>
          <w:kern w:val="0"/>
          <w:sz w:val="22"/>
          <w:szCs w:val="22"/>
          <w:lang w:eastAsia="en-GB"/>
          <w14:ligatures w14:val="none"/>
        </w:rPr>
        <w:t xml:space="preserve"> I-bonds (I2025, I2029, I2033, I2038, I2046, I2050) actively traded, indexed to headline CPI with the standard 3-month indexation lag. 10y BEIs typically 5-6%, against SARB's 3-6% target band midpoint of 4.5% — implying a modest credibility premium. 5y5y forward BEI typically 5-6%, suggesting long-run expectations slightly above target — not catastrophically un-anchored but not perfectly anchored either. Foreign holding higher than nominal SAGBs historically (around 25% pre-2018, lower now). Inflation pass-through to BEIs is asymmetric — upside CPI shocks move BEIs more than downside shocks, suggesting some convexity in expectation formation. For SARB credibility assessment, the SA I-bond market is the cleanest empirical read; movements in 5y5y forward BEI deserve to be treated as primary credibility data, not derivative.</w:t>
      </w:r>
    </w:p>
    <w:p w14:paraId="7848E915"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3DB0977F">
          <v:rect id="_x0000_i1080" alt="" style="width:451.3pt;height:.05pt;mso-width-percent:0;mso-height-percent:0;mso-width-percent:0;mso-height-percent:0" o:hralign="center" o:hrstd="t" o:hr="t" fillcolor="#a0a0a0" stroked="f"/>
        </w:pict>
      </w:r>
    </w:p>
    <w:p w14:paraId="2022C88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Measurement choices</w:t>
      </w:r>
    </w:p>
    <w:p w14:paraId="7173030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Index choice.</w:t>
      </w:r>
      <w:r w:rsidRPr="0032251D">
        <w:rPr>
          <w:rFonts w:ascii="Aptos" w:eastAsia="Times New Roman" w:hAnsi="Aptos" w:cs="Times New Roman"/>
          <w:kern w:val="0"/>
          <w:sz w:val="22"/>
          <w:szCs w:val="22"/>
          <w:lang w:eastAsia="en-GB"/>
          <w14:ligatures w14:val="none"/>
        </w:rPr>
        <w:t xml:space="preserve"> Headline vs core CPI; PCE vs CPI in the US; RPI vs CPI vs CPIH in the UK; specific country price index conventions. Different choices give different real yields and BEIs. For credibility analysis, headline-indexed BEIs are typically the right comparison because they match what the central bank targets.</w:t>
      </w:r>
    </w:p>
    <w:p w14:paraId="64493C8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Indexation lag.</w:t>
      </w:r>
      <w:r w:rsidRPr="0032251D">
        <w:rPr>
          <w:rFonts w:ascii="Aptos" w:eastAsia="Times New Roman" w:hAnsi="Aptos" w:cs="Times New Roman"/>
          <w:kern w:val="0"/>
          <w:sz w:val="22"/>
          <w:szCs w:val="22"/>
          <w:lang w:eastAsia="en-GB"/>
          <w14:ligatures w14:val="none"/>
        </w:rPr>
        <w:t xml:space="preserve"> Bonds index with </w:t>
      </w:r>
      <w:proofErr w:type="gramStart"/>
      <w:r w:rsidRPr="0032251D">
        <w:rPr>
          <w:rFonts w:ascii="Aptos" w:eastAsia="Times New Roman" w:hAnsi="Aptos" w:cs="Times New Roman"/>
          <w:kern w:val="0"/>
          <w:sz w:val="22"/>
          <w:szCs w:val="22"/>
          <w:lang w:eastAsia="en-GB"/>
          <w14:ligatures w14:val="none"/>
        </w:rPr>
        <w:t>2-3 month</w:t>
      </w:r>
      <w:proofErr w:type="gramEnd"/>
      <w:r w:rsidRPr="0032251D">
        <w:rPr>
          <w:rFonts w:ascii="Aptos" w:eastAsia="Times New Roman" w:hAnsi="Aptos" w:cs="Times New Roman"/>
          <w:kern w:val="0"/>
          <w:sz w:val="22"/>
          <w:szCs w:val="22"/>
          <w:lang w:eastAsia="en-GB"/>
          <w14:ligatures w14:val="none"/>
        </w:rPr>
        <w:t xml:space="preserve"> lag to known CPI prints. This creates "seasoned coupons" at the very front end that distort short-end real yield pricing. For analysis of long-end credibility, the lag doesn't matter; for front-end inflation expectations, it does.</w:t>
      </w:r>
    </w:p>
    <w:p w14:paraId="68A2E37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Liquidity premium adjustment.</w:t>
      </w:r>
      <w:r w:rsidRPr="0032251D">
        <w:rPr>
          <w:rFonts w:ascii="Aptos" w:eastAsia="Times New Roman" w:hAnsi="Aptos" w:cs="Times New Roman"/>
          <w:kern w:val="0"/>
          <w:sz w:val="22"/>
          <w:szCs w:val="22"/>
          <w:lang w:eastAsia="en-GB"/>
          <w14:ligatures w14:val="none"/>
        </w:rPr>
        <w:t xml:space="preserve"> Cash BEIs are contaminated by linker liquidity premium. ZCIS provides cleaner reads but with smaller market and counterparty exposure. Most academic work uses cash BEIs adjusted via model; most practitioner work uses ZCIS where available.</w:t>
      </w:r>
    </w:p>
    <w:p w14:paraId="4BFD852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Maturity-matched comparison.</w:t>
      </w:r>
      <w:r w:rsidRPr="0032251D">
        <w:rPr>
          <w:rFonts w:ascii="Aptos" w:eastAsia="Times New Roman" w:hAnsi="Aptos" w:cs="Times New Roman"/>
          <w:kern w:val="0"/>
          <w:sz w:val="22"/>
          <w:szCs w:val="22"/>
          <w:lang w:eastAsia="en-GB"/>
          <w14:ligatures w14:val="none"/>
        </w:rPr>
        <w:t xml:space="preserve"> Real yield comparison should be maturity-matched to nominal yield, especially at the front end where specific bond availability matters. Constant-maturity real yields are smoother but theoretical; specific-bond real yields are tradable but exposed to roll dynamics.</w:t>
      </w:r>
    </w:p>
    <w:p w14:paraId="57EA0E1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Decomposition model choice.</w:t>
      </w:r>
      <w:r w:rsidRPr="0032251D">
        <w:rPr>
          <w:rFonts w:ascii="Aptos" w:eastAsia="Times New Roman" w:hAnsi="Aptos" w:cs="Times New Roman"/>
          <w:kern w:val="0"/>
          <w:sz w:val="22"/>
          <w:szCs w:val="22"/>
          <w:lang w:eastAsia="en-GB"/>
          <w14:ligatures w14:val="none"/>
        </w:rPr>
        <w:t xml:space="preserve"> D'Amico-Kim-Wei vs ACM-with-inflation vs simple BEI: different decompositions give different expected inflation estimates. Cross-checking across models is good practice.</w:t>
      </w:r>
    </w:p>
    <w:p w14:paraId="492BA242"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5y5y forward construction.</w:t>
      </w:r>
      <w:r w:rsidRPr="0032251D">
        <w:rPr>
          <w:rFonts w:ascii="Aptos" w:eastAsia="Times New Roman" w:hAnsi="Aptos" w:cs="Times New Roman"/>
          <w:kern w:val="0"/>
          <w:sz w:val="22"/>
          <w:szCs w:val="22"/>
          <w:lang w:eastAsia="en-GB"/>
          <w14:ligatures w14:val="none"/>
        </w:rPr>
        <w:t xml:space="preserve"> ZCIS-based vs cash-bond-based; tenor-matched vs interpolated. Different constructions can differ by 20-30bp at the same date. For long-run credibility tracking, consistency of method across time matters more than the specific construction choice.</w:t>
      </w:r>
    </w:p>
    <w:p w14:paraId="29FC9B4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Real-time vs vintage data.</w:t>
      </w:r>
      <w:r w:rsidRPr="0032251D">
        <w:rPr>
          <w:rFonts w:ascii="Aptos" w:eastAsia="Times New Roman" w:hAnsi="Aptos" w:cs="Times New Roman"/>
          <w:kern w:val="0"/>
          <w:sz w:val="22"/>
          <w:szCs w:val="22"/>
          <w:lang w:eastAsia="en-GB"/>
          <w14:ligatures w14:val="none"/>
        </w:rPr>
        <w:t xml:space="preserve"> For empirical work, BEI data should be evaluated with real-time vintages — what was known at the time. Revised CPI series can mechanically shift historical real yields and BEIs in ways that don't reflect what markets </w:t>
      </w:r>
      <w:proofErr w:type="gramStart"/>
      <w:r w:rsidRPr="0032251D">
        <w:rPr>
          <w:rFonts w:ascii="Aptos" w:eastAsia="Times New Roman" w:hAnsi="Aptos" w:cs="Times New Roman"/>
          <w:kern w:val="0"/>
          <w:sz w:val="22"/>
          <w:szCs w:val="22"/>
          <w:lang w:eastAsia="en-GB"/>
          <w14:ligatures w14:val="none"/>
        </w:rPr>
        <w:t>actually observed</w:t>
      </w:r>
      <w:proofErr w:type="gramEnd"/>
      <w:r w:rsidRPr="0032251D">
        <w:rPr>
          <w:rFonts w:ascii="Aptos" w:eastAsia="Times New Roman" w:hAnsi="Aptos" w:cs="Times New Roman"/>
          <w:kern w:val="0"/>
          <w:sz w:val="22"/>
          <w:szCs w:val="22"/>
          <w:lang w:eastAsia="en-GB"/>
          <w14:ligatures w14:val="none"/>
        </w:rPr>
        <w:t>.</w:t>
      </w:r>
    </w:p>
    <w:p w14:paraId="5ADD38A6"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02129D6E">
          <v:rect id="_x0000_i1081" alt="" style="width:451.3pt;height:.05pt;mso-width-percent:0;mso-height-percent:0;mso-width-percent:0;mso-height-percent:0" o:hralign="center" o:hrstd="t" o:hr="t" fillcolor="#a0a0a0" stroked="f"/>
        </w:pict>
      </w:r>
    </w:p>
    <w:p w14:paraId="73D313F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Where dissonance lives</w:t>
      </w:r>
    </w:p>
    <w:p w14:paraId="03B0E40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Within L4c:</w:t>
      </w:r>
    </w:p>
    <w:p w14:paraId="34280A4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Intra-node.</w:t>
      </w:r>
      <w:r w:rsidRPr="0032251D">
        <w:rPr>
          <w:rFonts w:ascii="Aptos" w:eastAsia="Times New Roman" w:hAnsi="Aptos" w:cs="Times New Roman"/>
          <w:kern w:val="0"/>
          <w:sz w:val="22"/>
          <w:szCs w:val="22"/>
          <w:lang w:eastAsia="en-GB"/>
          <w14:ligatures w14:val="none"/>
        </w:rPr>
        <w:t xml:space="preserve"> Break-evens at different maturities, real yields, and inflation swap curves should imply a coherent inflation expectation profile. Dissonance fires when:</w:t>
      </w:r>
    </w:p>
    <w:p w14:paraId="7F200330" w14:textId="77777777" w:rsidR="0032251D" w:rsidRPr="0032251D" w:rsidRDefault="0032251D">
      <w:pPr>
        <w:numPr>
          <w:ilvl w:val="0"/>
          <w:numId w:val="3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Long BEIs drift while short BEIs are stable — </w:t>
      </w:r>
      <w:r w:rsidRPr="0032251D">
        <w:rPr>
          <w:rFonts w:ascii="Aptos" w:eastAsia="Times New Roman" w:hAnsi="Aptos" w:cs="Times New Roman"/>
          <w:i/>
          <w:iCs/>
          <w:kern w:val="0"/>
          <w:sz w:val="22"/>
          <w:szCs w:val="22"/>
          <w:lang w:eastAsia="en-GB"/>
          <w14:ligatures w14:val="none"/>
        </w:rPr>
        <w:t>long-run anchoring loosening despite stable spot inflation</w:t>
      </w:r>
      <w:r w:rsidRPr="0032251D">
        <w:rPr>
          <w:rFonts w:ascii="Aptos" w:eastAsia="Times New Roman" w:hAnsi="Aptos" w:cs="Times New Roman"/>
          <w:kern w:val="0"/>
          <w:sz w:val="22"/>
          <w:szCs w:val="22"/>
          <w:lang w:eastAsia="en-GB"/>
          <w14:ligatures w14:val="none"/>
        </w:rPr>
        <w:t>. This is the classical credibility leak signature.</w:t>
      </w:r>
    </w:p>
    <w:p w14:paraId="0A2732C4" w14:textId="77777777" w:rsidR="0032251D" w:rsidRPr="0032251D" w:rsidRDefault="0032251D">
      <w:pPr>
        <w:numPr>
          <w:ilvl w:val="0"/>
          <w:numId w:val="3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Cash BEIs and ZCIS-implied BEIs diverge — liquidity premium widening, suggesting demand stress in the linker market specifically.</w:t>
      </w:r>
    </w:p>
    <w:p w14:paraId="1CD33317" w14:textId="77777777" w:rsidR="0032251D" w:rsidRPr="0032251D" w:rsidRDefault="0032251D">
      <w:pPr>
        <w:numPr>
          <w:ilvl w:val="0"/>
          <w:numId w:val="3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Real yields move without consistent nominal/BEI decomposition — model-implied components don't add up; either the decomposition model is wrong, or one of the markets is mispriced.</w:t>
      </w:r>
    </w:p>
    <w:p w14:paraId="6D5BC16F" w14:textId="77777777" w:rsidR="0032251D" w:rsidRPr="0032251D" w:rsidRDefault="0032251D">
      <w:pPr>
        <w:numPr>
          <w:ilvl w:val="0"/>
          <w:numId w:val="3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5y5y forward drifts outside historical norms — the cleanest credibility leak signal in the framework.</w:t>
      </w:r>
    </w:p>
    <w:p w14:paraId="7418B57C" w14:textId="77777777" w:rsidR="0032251D" w:rsidRPr="0032251D" w:rsidRDefault="0032251D">
      <w:pPr>
        <w:numPr>
          <w:ilvl w:val="0"/>
          <w:numId w:val="3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Inflation swap curve and BEI curve disagree on inflation expectations at the same maturity — segmentation between the two markets.</w:t>
      </w:r>
    </w:p>
    <w:p w14:paraId="72F7411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Note: short BEIs spiking while long BEIs stay anchored is </w:t>
      </w:r>
      <w:r w:rsidRPr="0032251D">
        <w:rPr>
          <w:rFonts w:ascii="Aptos" w:eastAsia="Times New Roman" w:hAnsi="Aptos" w:cs="Times New Roman"/>
          <w:i/>
          <w:iCs/>
          <w:kern w:val="0"/>
          <w:sz w:val="22"/>
          <w:szCs w:val="22"/>
          <w:lang w:eastAsia="en-GB"/>
          <w14:ligatures w14:val="none"/>
        </w:rPr>
        <w:t>not</w:t>
      </w:r>
      <w:r w:rsidRPr="0032251D">
        <w:rPr>
          <w:rFonts w:ascii="Aptos" w:eastAsia="Times New Roman" w:hAnsi="Aptos" w:cs="Times New Roman"/>
          <w:kern w:val="0"/>
          <w:sz w:val="22"/>
          <w:szCs w:val="22"/>
          <w:lang w:eastAsia="en-GB"/>
          <w14:ligatures w14:val="none"/>
        </w:rPr>
        <w:t xml:space="preserve"> dissonance — it is the credibility signature of an anchored regime under near-term shock. This is </w:t>
      </w:r>
      <w:proofErr w:type="gramStart"/>
      <w:r w:rsidRPr="0032251D">
        <w:rPr>
          <w:rFonts w:ascii="Aptos" w:eastAsia="Times New Roman" w:hAnsi="Aptos" w:cs="Times New Roman"/>
          <w:kern w:val="0"/>
          <w:sz w:val="22"/>
          <w:szCs w:val="22"/>
          <w:lang w:eastAsia="en-GB"/>
          <w14:ligatures w14:val="none"/>
        </w:rPr>
        <w:t>actually positive</w:t>
      </w:r>
      <w:proofErr w:type="gramEnd"/>
      <w:r w:rsidRPr="0032251D">
        <w:rPr>
          <w:rFonts w:ascii="Aptos" w:eastAsia="Times New Roman" w:hAnsi="Aptos" w:cs="Times New Roman"/>
          <w:kern w:val="0"/>
          <w:sz w:val="22"/>
          <w:szCs w:val="22"/>
          <w:lang w:eastAsia="en-GB"/>
          <w14:ligatures w14:val="none"/>
        </w:rPr>
        <w:t xml:space="preserve"> information about regime stability.</w:t>
      </w:r>
    </w:p>
    <w:p w14:paraId="128A0B7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Incoming relationships.</w:t>
      </w:r>
    </w:p>
    <w:p w14:paraId="54E6BFE7" w14:textId="77777777" w:rsidR="0032251D" w:rsidRPr="0032251D" w:rsidRDefault="0032251D">
      <w:pPr>
        <w:numPr>
          <w:ilvl w:val="0"/>
          <w:numId w:val="4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L1 → L4c: long BEIs should be anchored if the rule is credible; drift = credibility deficit on the α coefficient.</w:t>
      </w:r>
    </w:p>
    <w:p w14:paraId="335CDB6F" w14:textId="77777777" w:rsidR="0032251D" w:rsidRPr="0032251D" w:rsidRDefault="0032251D">
      <w:pPr>
        <w:numPr>
          <w:ilvl w:val="0"/>
          <w:numId w:val="4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L3a → L4c: rate hikes producing no real yield rise = BEIs absorbing the hike (inflation un-anchored despite tightening).</w:t>
      </w:r>
    </w:p>
    <w:p w14:paraId="0C5AF4FD" w14:textId="77777777" w:rsidR="0032251D" w:rsidRPr="0032251D" w:rsidRDefault="0032251D">
      <w:pPr>
        <w:numPr>
          <w:ilvl w:val="0"/>
          <w:numId w:val="4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L3b → L4c: QE typically compresses real yields more than BEIs; BEIs rising more than expected on QE = fiscal credibility concern, not standard monetary signal.</w:t>
      </w:r>
    </w:p>
    <w:p w14:paraId="18754236" w14:textId="77777777" w:rsidR="0032251D" w:rsidRPr="0032251D" w:rsidRDefault="0032251D">
      <w:pPr>
        <w:numPr>
          <w:ilvl w:val="0"/>
          <w:numId w:val="4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L3c → L4c: long-run guidance anchors long BEIs; drift despite hawkish guidance = credibility deficit on anchoring specifically.</w:t>
      </w:r>
    </w:p>
    <w:p w14:paraId="6579E336" w14:textId="77777777" w:rsidR="0032251D" w:rsidRPr="0032251D" w:rsidRDefault="0032251D">
      <w:pPr>
        <w:numPr>
          <w:ilvl w:val="0"/>
          <w:numId w:val="4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L3d → L4c: FX intervention affects expected pass-through; BEIs not responding to FX moves = pass-through expectations anchored (positive credibility signal).</w:t>
      </w:r>
    </w:p>
    <w:p w14:paraId="100E876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Peer relationships within L4.</w:t>
      </w:r>
    </w:p>
    <w:p w14:paraId="186D4CC4" w14:textId="77777777" w:rsidR="0032251D" w:rsidRPr="0032251D" w:rsidRDefault="0032251D">
      <w:pPr>
        <w:numPr>
          <w:ilvl w:val="0"/>
          <w:numId w:val="4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lastRenderedPageBreak/>
        <w:t>L4a ↔ L4c: nominal = real + BEI; nominal curve moves without consistent real/BEI decomposition = one of the markets is mispriced or the Fisher relation is straining.</w:t>
      </w:r>
    </w:p>
    <w:p w14:paraId="3426C695" w14:textId="77777777" w:rsidR="0032251D" w:rsidRPr="0032251D" w:rsidRDefault="0032251D">
      <w:pPr>
        <w:numPr>
          <w:ilvl w:val="0"/>
          <w:numId w:val="4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L4b ↔ L4c: FX shocks transmit to BEIs via pass-through; FX move without BEI response = pass-through expectations anchored (good for credibility</w:t>
      </w:r>
      <w:proofErr w:type="gramStart"/>
      <w:r w:rsidRPr="0032251D">
        <w:rPr>
          <w:rFonts w:ascii="Aptos" w:eastAsia="Times New Roman" w:hAnsi="Aptos" w:cs="Times New Roman"/>
          <w:kern w:val="0"/>
          <w:sz w:val="22"/>
          <w:szCs w:val="22"/>
          <w:lang w:eastAsia="en-GB"/>
          <w14:ligatures w14:val="none"/>
        </w:rPr>
        <w:t>)</w:t>
      </w:r>
      <w:proofErr w:type="gramEnd"/>
      <w:r w:rsidRPr="0032251D">
        <w:rPr>
          <w:rFonts w:ascii="Aptos" w:eastAsia="Times New Roman" w:hAnsi="Aptos" w:cs="Times New Roman"/>
          <w:kern w:val="0"/>
          <w:sz w:val="22"/>
          <w:szCs w:val="22"/>
          <w:lang w:eastAsia="en-GB"/>
          <w14:ligatures w14:val="none"/>
        </w:rPr>
        <w:t xml:space="preserve"> or BEI moves without FX (rule absorbing through other channels).</w:t>
      </w:r>
    </w:p>
    <w:p w14:paraId="4E9D11A1" w14:textId="77777777" w:rsidR="0032251D" w:rsidRPr="0032251D" w:rsidRDefault="0032251D">
      <w:pPr>
        <w:numPr>
          <w:ilvl w:val="0"/>
          <w:numId w:val="4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L4c ↔ L4d: inflation uncertainty shows up in BEI vol; BEI moves without inflation vol = expected drift, not surprise.</w:t>
      </w:r>
    </w:p>
    <w:p w14:paraId="7ABA1C9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Outgoing relationships.</w:t>
      </w:r>
      <w:r w:rsidRPr="0032251D">
        <w:rPr>
          <w:rFonts w:ascii="Aptos" w:eastAsia="Times New Roman" w:hAnsi="Aptos" w:cs="Times New Roman"/>
          <w:kern w:val="0"/>
          <w:sz w:val="22"/>
          <w:szCs w:val="22"/>
          <w:lang w:eastAsia="en-GB"/>
          <w14:ligatures w14:val="none"/>
        </w:rPr>
        <w:t xml:space="preserve"> BEIs and real yields feed multiple downstream nodes:</w:t>
      </w:r>
    </w:p>
    <w:p w14:paraId="50E885AE" w14:textId="77777777" w:rsidR="0032251D" w:rsidRPr="0032251D" w:rsidRDefault="0032251D">
      <w:pPr>
        <w:numPr>
          <w:ilvl w:val="0"/>
          <w:numId w:val="4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L4c → L6: BEIs are market-implied inflation expectations; divergence from survey expectations = heterogeneous beliefs</w:t>
      </w:r>
    </w:p>
    <w:p w14:paraId="035D4B8B" w14:textId="77777777" w:rsidR="0032251D" w:rsidRPr="0032251D" w:rsidRDefault="0032251D">
      <w:pPr>
        <w:numPr>
          <w:ilvl w:val="0"/>
          <w:numId w:val="4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L4c → L8: real rates feed equity and real-asset discounting</w:t>
      </w:r>
    </w:p>
    <w:p w14:paraId="2D27B31E" w14:textId="77777777" w:rsidR="0032251D" w:rsidRPr="0032251D" w:rsidRDefault="0032251D">
      <w:pPr>
        <w:numPr>
          <w:ilvl w:val="0"/>
          <w:numId w:val="4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L4c → L9: linkers are themselves assets; BEI moves drive linker price moves</w:t>
      </w:r>
    </w:p>
    <w:p w14:paraId="670F5266" w14:textId="77777777" w:rsidR="0032251D" w:rsidRPr="0032251D" w:rsidRDefault="0032251D">
      <w:pPr>
        <w:numPr>
          <w:ilvl w:val="0"/>
          <w:numId w:val="4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L4c → L10a: BEIs are forecasts of real outcomes; anchored BEIs with drifting realised inflation = regime change starting</w:t>
      </w:r>
    </w:p>
    <w:p w14:paraId="51D8FE5A" w14:textId="77777777" w:rsidR="0032251D" w:rsidRPr="0032251D" w:rsidRDefault="0032251D">
      <w:pPr>
        <w:numPr>
          <w:ilvl w:val="0"/>
          <w:numId w:val="4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L4c → L10b: inflation risk affects insurance and pension stability; BEI moves stress these institutions</w:t>
      </w:r>
    </w:p>
    <w:p w14:paraId="0CA2A0BC" w14:textId="77777777" w:rsidR="0032251D" w:rsidRPr="0032251D" w:rsidRDefault="0032251D">
      <w:pPr>
        <w:numPr>
          <w:ilvl w:val="0"/>
          <w:numId w:val="4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L4c → L10c: inflation differentials drive cross-country flows</w:t>
      </w:r>
    </w:p>
    <w:p w14:paraId="55FCFE3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The L4c node is the framework's </w:t>
      </w:r>
      <w:r w:rsidRPr="0032251D">
        <w:rPr>
          <w:rFonts w:ascii="Aptos" w:eastAsia="Times New Roman" w:hAnsi="Aptos" w:cs="Times New Roman"/>
          <w:i/>
          <w:iCs/>
          <w:kern w:val="0"/>
          <w:sz w:val="22"/>
          <w:szCs w:val="22"/>
          <w:lang w:eastAsia="en-GB"/>
          <w14:ligatures w14:val="none"/>
        </w:rPr>
        <w:t>credibility instrument</w:t>
      </w:r>
      <w:r w:rsidRPr="0032251D">
        <w:rPr>
          <w:rFonts w:ascii="Aptos" w:eastAsia="Times New Roman" w:hAnsi="Aptos" w:cs="Times New Roman"/>
          <w:kern w:val="0"/>
          <w:sz w:val="22"/>
          <w:szCs w:val="22"/>
          <w:lang w:eastAsia="en-GB"/>
          <w14:ligatures w14:val="none"/>
        </w:rPr>
        <w:t>. No other node provides a continuous, market-priced read on the bank's most fundamental commitment — its ability to hold inflation expectations near target. Dissonance at L4c is therefore both diagnostic and consequential. Diagnostic because drifting BEIs signal that the bank's credibility stock is depleting before any other observable moves. Consequential because de-anchored expectations are themselves the mechanism through which inflation can become self-fulfilling — and the harder it becomes to re-anchor, the more aggressive the eventual tightening that will be required. For SA specifically, the I-bond market is unusually well-developed for an EM and provides the cleanest single empirical input to the dissonance composite for inflation credibility. The 5y5y forward I-bond breakeven, tracked continuously, is arguably the single most informative market price for L1 (reaction function) credibility assessment in SA.</w:t>
      </w:r>
    </w:p>
    <w:p w14:paraId="138D295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Level 4d — The Volatility Surface</w:t>
      </w:r>
    </w:p>
    <w:p w14:paraId="2978E732"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Definition.</w:t>
      </w:r>
      <w:r w:rsidRPr="0032251D">
        <w:rPr>
          <w:rFonts w:ascii="Aptos" w:eastAsia="Times New Roman" w:hAnsi="Aptos" w:cs="Times New Roman"/>
          <w:kern w:val="0"/>
          <w:sz w:val="22"/>
          <w:szCs w:val="22"/>
          <w:lang w:eastAsia="en-GB"/>
          <w14:ligatures w14:val="none"/>
        </w:rPr>
        <w:t xml:space="preserve"> The volatility surface is the structure of implied volatilities derived from options prices across two dimensions — </w:t>
      </w:r>
      <w:r w:rsidRPr="0032251D">
        <w:rPr>
          <w:rFonts w:ascii="Aptos" w:eastAsia="Times New Roman" w:hAnsi="Aptos" w:cs="Times New Roman"/>
          <w:i/>
          <w:iCs/>
          <w:kern w:val="0"/>
          <w:sz w:val="22"/>
          <w:szCs w:val="22"/>
          <w:lang w:eastAsia="en-GB"/>
          <w14:ligatures w14:val="none"/>
        </w:rPr>
        <w:t>strike</w:t>
      </w:r>
      <w:r w:rsidRPr="0032251D">
        <w:rPr>
          <w:rFonts w:ascii="Aptos" w:eastAsia="Times New Roman" w:hAnsi="Aptos" w:cs="Times New Roman"/>
          <w:kern w:val="0"/>
          <w:sz w:val="22"/>
          <w:szCs w:val="22"/>
          <w:lang w:eastAsia="en-GB"/>
          <w14:ligatures w14:val="none"/>
        </w:rPr>
        <w:t xml:space="preserve"> (the smile/skew axis) and </w:t>
      </w:r>
      <w:r w:rsidRPr="0032251D">
        <w:rPr>
          <w:rFonts w:ascii="Aptos" w:eastAsia="Times New Roman" w:hAnsi="Aptos" w:cs="Times New Roman"/>
          <w:i/>
          <w:iCs/>
          <w:kern w:val="0"/>
          <w:sz w:val="22"/>
          <w:szCs w:val="22"/>
          <w:lang w:eastAsia="en-GB"/>
          <w14:ligatures w14:val="none"/>
        </w:rPr>
        <w:t>tenor</w:t>
      </w:r>
      <w:r w:rsidRPr="0032251D">
        <w:rPr>
          <w:rFonts w:ascii="Aptos" w:eastAsia="Times New Roman" w:hAnsi="Aptos" w:cs="Times New Roman"/>
          <w:kern w:val="0"/>
          <w:sz w:val="22"/>
          <w:szCs w:val="22"/>
          <w:lang w:eastAsia="en-GB"/>
          <w14:ligatures w14:val="none"/>
        </w:rPr>
        <w:t xml:space="preserve"> (the term structure axis) — and across asset classes (rates, FX, equity, credit, commodity). It is the market's read on the </w:t>
      </w:r>
      <w:r w:rsidRPr="0032251D">
        <w:rPr>
          <w:rFonts w:ascii="Aptos" w:eastAsia="Times New Roman" w:hAnsi="Aptos" w:cs="Times New Roman"/>
          <w:i/>
          <w:iCs/>
          <w:kern w:val="0"/>
          <w:sz w:val="22"/>
          <w:szCs w:val="22"/>
          <w:lang w:eastAsia="en-GB"/>
          <w14:ligatures w14:val="none"/>
        </w:rPr>
        <w:t>distribution</w:t>
      </w:r>
      <w:r w:rsidRPr="0032251D">
        <w:rPr>
          <w:rFonts w:ascii="Aptos" w:eastAsia="Times New Roman" w:hAnsi="Aptos" w:cs="Times New Roman"/>
          <w:kern w:val="0"/>
          <w:sz w:val="22"/>
          <w:szCs w:val="22"/>
          <w:lang w:eastAsia="en-GB"/>
          <w14:ligatures w14:val="none"/>
        </w:rPr>
        <w:t xml:space="preserve"> of future asset prices, not the central tendency. Where L4a prices the </w:t>
      </w:r>
      <w:r w:rsidRPr="0032251D">
        <w:rPr>
          <w:rFonts w:ascii="Aptos" w:eastAsia="Times New Roman" w:hAnsi="Aptos" w:cs="Times New Roman"/>
          <w:i/>
          <w:iCs/>
          <w:kern w:val="0"/>
          <w:sz w:val="22"/>
          <w:szCs w:val="22"/>
          <w:lang w:eastAsia="en-GB"/>
          <w14:ligatures w14:val="none"/>
        </w:rPr>
        <w:t>level</w:t>
      </w:r>
      <w:r w:rsidRPr="0032251D">
        <w:rPr>
          <w:rFonts w:ascii="Aptos" w:eastAsia="Times New Roman" w:hAnsi="Aptos" w:cs="Times New Roman"/>
          <w:kern w:val="0"/>
          <w:sz w:val="22"/>
          <w:szCs w:val="22"/>
          <w:lang w:eastAsia="en-GB"/>
          <w14:ligatures w14:val="none"/>
        </w:rPr>
        <w:t xml:space="preserve"> of rates, L4b the </w:t>
      </w:r>
      <w:r w:rsidRPr="0032251D">
        <w:rPr>
          <w:rFonts w:ascii="Aptos" w:eastAsia="Times New Roman" w:hAnsi="Aptos" w:cs="Times New Roman"/>
          <w:i/>
          <w:iCs/>
          <w:kern w:val="0"/>
          <w:sz w:val="22"/>
          <w:szCs w:val="22"/>
          <w:lang w:eastAsia="en-GB"/>
          <w14:ligatures w14:val="none"/>
        </w:rPr>
        <w:t>relative price</w:t>
      </w:r>
      <w:r w:rsidRPr="0032251D">
        <w:rPr>
          <w:rFonts w:ascii="Aptos" w:eastAsia="Times New Roman" w:hAnsi="Aptos" w:cs="Times New Roman"/>
          <w:kern w:val="0"/>
          <w:sz w:val="22"/>
          <w:szCs w:val="22"/>
          <w:lang w:eastAsia="en-GB"/>
          <w14:ligatures w14:val="none"/>
        </w:rPr>
        <w:t xml:space="preserve"> of currencies, and L4c the </w:t>
      </w:r>
      <w:r w:rsidRPr="0032251D">
        <w:rPr>
          <w:rFonts w:ascii="Aptos" w:eastAsia="Times New Roman" w:hAnsi="Aptos" w:cs="Times New Roman"/>
          <w:i/>
          <w:iCs/>
          <w:kern w:val="0"/>
          <w:sz w:val="22"/>
          <w:szCs w:val="22"/>
          <w:lang w:eastAsia="en-GB"/>
          <w14:ligatures w14:val="none"/>
        </w:rPr>
        <w:t>expectation</w:t>
      </w:r>
      <w:r w:rsidRPr="0032251D">
        <w:rPr>
          <w:rFonts w:ascii="Aptos" w:eastAsia="Times New Roman" w:hAnsi="Aptos" w:cs="Times New Roman"/>
          <w:kern w:val="0"/>
          <w:sz w:val="22"/>
          <w:szCs w:val="22"/>
          <w:lang w:eastAsia="en-GB"/>
          <w14:ligatures w14:val="none"/>
        </w:rPr>
        <w:t xml:space="preserve"> of inflation, L4d prices </w:t>
      </w:r>
      <w:r w:rsidRPr="0032251D">
        <w:rPr>
          <w:rFonts w:ascii="Aptos" w:eastAsia="Times New Roman" w:hAnsi="Aptos" w:cs="Times New Roman"/>
          <w:i/>
          <w:iCs/>
          <w:kern w:val="0"/>
          <w:sz w:val="22"/>
          <w:szCs w:val="22"/>
          <w:lang w:eastAsia="en-GB"/>
          <w14:ligatures w14:val="none"/>
        </w:rPr>
        <w:t>uncertainty itself</w:t>
      </w:r>
      <w:r w:rsidRPr="0032251D">
        <w:rPr>
          <w:rFonts w:ascii="Aptos" w:eastAsia="Times New Roman" w:hAnsi="Aptos" w:cs="Times New Roman"/>
          <w:kern w:val="0"/>
          <w:sz w:val="22"/>
          <w:szCs w:val="22"/>
          <w:lang w:eastAsia="en-GB"/>
          <w14:ligatures w14:val="none"/>
        </w:rPr>
        <w:t xml:space="preserve"> — the second moment of the distribution, plus skew (asymmetry) and kurtosis (tail thickness). Key surfaces by asset class: rates vol (swaptions, caps/floors; the MOVE index aggregates this); FX vol (ATM, risk reversals, butterflies; JPMVXY aggregates); equity vol (VIX for SPX, VSTOXX for Euro Stoxx, VKOSPI for Korea, SAVI for SA Top 40); and cross-asset vol indices. The vol surface is unique among L4 nodes because it is the only node that explicitly prices </w:t>
      </w:r>
      <w:r w:rsidRPr="0032251D">
        <w:rPr>
          <w:rFonts w:ascii="Aptos" w:eastAsia="Times New Roman" w:hAnsi="Aptos" w:cs="Times New Roman"/>
          <w:i/>
          <w:iCs/>
          <w:kern w:val="0"/>
          <w:sz w:val="22"/>
          <w:szCs w:val="22"/>
          <w:lang w:eastAsia="en-GB"/>
          <w14:ligatures w14:val="none"/>
        </w:rPr>
        <w:t>risk</w:t>
      </w:r>
      <w:r w:rsidRPr="0032251D">
        <w:rPr>
          <w:rFonts w:ascii="Aptos" w:eastAsia="Times New Roman" w:hAnsi="Aptos" w:cs="Times New Roman"/>
          <w:kern w:val="0"/>
          <w:sz w:val="22"/>
          <w:szCs w:val="22"/>
          <w:lang w:eastAsia="en-GB"/>
          <w14:ligatures w14:val="none"/>
        </w:rPr>
        <w:t xml:space="preserve"> rather than expected outcome.</w:t>
      </w:r>
    </w:p>
    <w:p w14:paraId="1E4A4028"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325BAA98">
          <v:rect id="_x0000_i1082" alt="" style="width:451.3pt;height:.05pt;mso-width-percent:0;mso-height-percent:0;mso-width-percent:0;mso-height-percent:0" o:hralign="center" o:hrstd="t" o:hr="t" fillcolor="#a0a0a0" stroked="f"/>
        </w:pict>
      </w:r>
    </w:p>
    <w:p w14:paraId="218C13F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Theory</w:t>
      </w:r>
    </w:p>
    <w:p w14:paraId="15E62DD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Several theoretical foundations underpin volatility as a market price.</w:t>
      </w:r>
    </w:p>
    <w:p w14:paraId="3A786AE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Risk-neutral pricing under no-arbitrage.</w:t>
      </w:r>
      <w:r w:rsidRPr="0032251D">
        <w:rPr>
          <w:rFonts w:ascii="Aptos" w:eastAsia="Times New Roman" w:hAnsi="Aptos" w:cs="Times New Roman"/>
          <w:kern w:val="0"/>
          <w:sz w:val="22"/>
          <w:szCs w:val="22"/>
          <w:lang w:eastAsia="en-GB"/>
          <w14:ligatures w14:val="none"/>
        </w:rPr>
        <w:t xml:space="preserve"> Option prices encode the risk-neutral distribution of future asset prices. Black-Scholes-Merton (1973) is the foundational model: under no-arbitrage and continuous trading, option prices depend on five parameters — spot, strike, time to maturity, risk-free rate, and volatility. Volatility is the only unobservable; "implied vol" is the volatility that makes the BSM formula consistent with the observed option price. Implied vol is therefore a </w:t>
      </w:r>
      <w:r w:rsidRPr="0032251D">
        <w:rPr>
          <w:rFonts w:ascii="Aptos" w:eastAsia="Times New Roman" w:hAnsi="Aptos" w:cs="Times New Roman"/>
          <w:i/>
          <w:iCs/>
          <w:kern w:val="0"/>
          <w:sz w:val="22"/>
          <w:szCs w:val="22"/>
          <w:lang w:eastAsia="en-GB"/>
          <w14:ligatures w14:val="none"/>
        </w:rPr>
        <w:t>price</w:t>
      </w:r>
      <w:r w:rsidRPr="0032251D">
        <w:rPr>
          <w:rFonts w:ascii="Aptos" w:eastAsia="Times New Roman" w:hAnsi="Aptos" w:cs="Times New Roman"/>
          <w:kern w:val="0"/>
          <w:sz w:val="22"/>
          <w:szCs w:val="22"/>
          <w:lang w:eastAsia="en-GB"/>
          <w14:ligatures w14:val="none"/>
        </w:rPr>
        <w:t>, not a forecast.</w:t>
      </w:r>
    </w:p>
    <w:p w14:paraId="38AA717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Volatility smile and skew.</w:t>
      </w:r>
      <w:r w:rsidRPr="0032251D">
        <w:rPr>
          <w:rFonts w:ascii="Aptos" w:eastAsia="Times New Roman" w:hAnsi="Aptos" w:cs="Times New Roman"/>
          <w:kern w:val="0"/>
          <w:sz w:val="22"/>
          <w:szCs w:val="22"/>
          <w:lang w:eastAsia="en-GB"/>
          <w14:ligatures w14:val="none"/>
        </w:rPr>
        <w:t xml:space="preserve"> BSM assumes log-normal returns. Empirically returns have fat tails and asymmetry — they are not log-normal. Options markets price this through the smile (curvature across strikes) and skew (asymmetry between OTM puts and calls). Three empirical regularities matter:</w:t>
      </w:r>
    </w:p>
    <w:p w14:paraId="7DD0CA7B" w14:textId="77777777" w:rsidR="0032251D" w:rsidRPr="0032251D" w:rsidRDefault="0032251D">
      <w:pPr>
        <w:numPr>
          <w:ilvl w:val="0"/>
          <w:numId w:val="4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Equity skew</w:t>
      </w:r>
      <w:r w:rsidRPr="0032251D">
        <w:rPr>
          <w:rFonts w:ascii="Aptos" w:eastAsia="Times New Roman" w:hAnsi="Aptos" w:cs="Times New Roman"/>
          <w:kern w:val="0"/>
          <w:sz w:val="22"/>
          <w:szCs w:val="22"/>
          <w:lang w:eastAsia="en-GB"/>
          <w14:ligatures w14:val="none"/>
        </w:rPr>
        <w:t>: negatively skewed — OTM puts are more expensive than equivalent OTM calls. This is the equity crash risk premium.</w:t>
      </w:r>
    </w:p>
    <w:p w14:paraId="4DF4DD79" w14:textId="77777777" w:rsidR="0032251D" w:rsidRPr="0032251D" w:rsidRDefault="0032251D">
      <w:pPr>
        <w:numPr>
          <w:ilvl w:val="0"/>
          <w:numId w:val="4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FX skew</w:t>
      </w:r>
      <w:r w:rsidRPr="0032251D">
        <w:rPr>
          <w:rFonts w:ascii="Aptos" w:eastAsia="Times New Roman" w:hAnsi="Aptos" w:cs="Times New Roman"/>
          <w:kern w:val="0"/>
          <w:sz w:val="22"/>
          <w:szCs w:val="22"/>
          <w:lang w:eastAsia="en-GB"/>
          <w14:ligatures w14:val="none"/>
        </w:rPr>
        <w:t>: can be either direction. High-carry currencies typically have negative skew (downside protection bid); safe-haven currencies positive (upside protection bid).</w:t>
      </w:r>
    </w:p>
    <w:p w14:paraId="45E1507C" w14:textId="77777777" w:rsidR="0032251D" w:rsidRPr="0032251D" w:rsidRDefault="0032251D">
      <w:pPr>
        <w:numPr>
          <w:ilvl w:val="0"/>
          <w:numId w:val="4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Rates skew</w:t>
      </w:r>
      <w:r w:rsidRPr="0032251D">
        <w:rPr>
          <w:rFonts w:ascii="Aptos" w:eastAsia="Times New Roman" w:hAnsi="Aptos" w:cs="Times New Roman"/>
          <w:kern w:val="0"/>
          <w:sz w:val="22"/>
          <w:szCs w:val="22"/>
          <w:lang w:eastAsia="en-GB"/>
          <w14:ligatures w14:val="none"/>
        </w:rPr>
        <w:t xml:space="preserve">: </w:t>
      </w:r>
      <w:proofErr w:type="gramStart"/>
      <w:r w:rsidRPr="0032251D">
        <w:rPr>
          <w:rFonts w:ascii="Aptos" w:eastAsia="Times New Roman" w:hAnsi="Aptos" w:cs="Times New Roman"/>
          <w:kern w:val="0"/>
          <w:sz w:val="22"/>
          <w:szCs w:val="22"/>
          <w:lang w:eastAsia="en-GB"/>
          <w14:ligatures w14:val="none"/>
        </w:rPr>
        <w:t>typically</w:t>
      </w:r>
      <w:proofErr w:type="gramEnd"/>
      <w:r w:rsidRPr="0032251D">
        <w:rPr>
          <w:rFonts w:ascii="Aptos" w:eastAsia="Times New Roman" w:hAnsi="Aptos" w:cs="Times New Roman"/>
          <w:kern w:val="0"/>
          <w:sz w:val="22"/>
          <w:szCs w:val="22"/>
          <w:lang w:eastAsia="en-GB"/>
          <w14:ligatures w14:val="none"/>
        </w:rPr>
        <w:t xml:space="preserve"> positive — markets pay more for upside rate protection than downside, reflecting historical asymmetry of central bank tightening cycles.</w:t>
      </w:r>
    </w:p>
    <w:p w14:paraId="6FD9839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Volatility term structure.</w:t>
      </w:r>
      <w:r w:rsidRPr="0032251D">
        <w:rPr>
          <w:rFonts w:ascii="Aptos" w:eastAsia="Times New Roman" w:hAnsi="Aptos" w:cs="Times New Roman"/>
          <w:kern w:val="0"/>
          <w:sz w:val="22"/>
          <w:szCs w:val="22"/>
          <w:lang w:eastAsia="en-GB"/>
          <w14:ligatures w14:val="none"/>
        </w:rPr>
        <w:t xml:space="preserve"> Long-dated implied vol differs from short-dated. Term structure is normally upward-sloping (long-dated vol higher, reflecting unknown future regime) but inverts in stress when near-term uncertainty spikes above long-term. Inversion is itself a stress signal — the 2008, 2020, and 2022 vol term structures all inverted at the peak of dislocation.</w:t>
      </w:r>
    </w:p>
    <w:p w14:paraId="069AB3F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Volatility risk premium.</w:t>
      </w:r>
      <w:r w:rsidRPr="0032251D">
        <w:rPr>
          <w:rFonts w:ascii="Aptos" w:eastAsia="Times New Roman" w:hAnsi="Aptos" w:cs="Times New Roman"/>
          <w:kern w:val="0"/>
          <w:sz w:val="22"/>
          <w:szCs w:val="22"/>
          <w:lang w:eastAsia="en-GB"/>
          <w14:ligatures w14:val="none"/>
        </w:rPr>
        <w:t xml:space="preserve"> Implied vol consistently exceeds realised vol on average — the "volatility risk premium" (Bakshi-Kapadia 2003; Carr-Wu 2009). Selling volatility is therefore profitable on average, with crash risk. The premium exists because investors demand compensation for bearing volatility risk — particularly downside vol exposure during stress. The premium varies across asset classes and across time.</w:t>
      </w:r>
    </w:p>
    <w:p w14:paraId="77F7D34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Cross-asset vol structure.</w:t>
      </w:r>
      <w:r w:rsidRPr="0032251D">
        <w:rPr>
          <w:rFonts w:ascii="Aptos" w:eastAsia="Times New Roman" w:hAnsi="Aptos" w:cs="Times New Roman"/>
          <w:kern w:val="0"/>
          <w:sz w:val="22"/>
          <w:szCs w:val="22"/>
          <w:lang w:eastAsia="en-GB"/>
          <w14:ligatures w14:val="none"/>
        </w:rPr>
        <w:t xml:space="preserve"> Rates vol, FX vol, and equity vol co-move in risk-off episodes — the structural correlation across vol surfaces is itself information about regime. In calm regimes vols decouple; in stress regimes they synchronise. The "everything correlates in a crisis" phenomenon is partially a vol-surface phenomenon.</w:t>
      </w:r>
    </w:p>
    <w:p w14:paraId="7971AAA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Vol of vol.</w:t>
      </w:r>
      <w:r w:rsidRPr="0032251D">
        <w:rPr>
          <w:rFonts w:ascii="Aptos" w:eastAsia="Times New Roman" w:hAnsi="Aptos" w:cs="Times New Roman"/>
          <w:kern w:val="0"/>
          <w:sz w:val="22"/>
          <w:szCs w:val="22"/>
          <w:lang w:eastAsia="en-GB"/>
          <w14:ligatures w14:val="none"/>
        </w:rPr>
        <w:t xml:space="preserve"> Vol surfaces themselves move. Higher-order risk premia exist (</w:t>
      </w:r>
      <w:proofErr w:type="spellStart"/>
      <w:r w:rsidRPr="0032251D">
        <w:rPr>
          <w:rFonts w:ascii="Aptos" w:eastAsia="Times New Roman" w:hAnsi="Aptos" w:cs="Times New Roman"/>
          <w:kern w:val="0"/>
          <w:sz w:val="22"/>
          <w:szCs w:val="22"/>
          <w:lang w:eastAsia="en-GB"/>
          <w14:ligatures w14:val="none"/>
        </w:rPr>
        <w:t>vega</w:t>
      </w:r>
      <w:proofErr w:type="spellEnd"/>
      <w:r w:rsidRPr="0032251D">
        <w:rPr>
          <w:rFonts w:ascii="Aptos" w:eastAsia="Times New Roman" w:hAnsi="Aptos" w:cs="Times New Roman"/>
          <w:kern w:val="0"/>
          <w:sz w:val="22"/>
          <w:szCs w:val="22"/>
          <w:lang w:eastAsia="en-GB"/>
          <w14:ligatures w14:val="none"/>
        </w:rPr>
        <w:t xml:space="preserve"> risk, gamma risk, </w:t>
      </w:r>
      <w:proofErr w:type="spellStart"/>
      <w:r w:rsidRPr="0032251D">
        <w:rPr>
          <w:rFonts w:ascii="Aptos" w:eastAsia="Times New Roman" w:hAnsi="Aptos" w:cs="Times New Roman"/>
          <w:kern w:val="0"/>
          <w:sz w:val="22"/>
          <w:szCs w:val="22"/>
          <w:lang w:eastAsia="en-GB"/>
          <w14:ligatures w14:val="none"/>
        </w:rPr>
        <w:t>vanna-volga</w:t>
      </w:r>
      <w:proofErr w:type="spellEnd"/>
      <w:r w:rsidRPr="0032251D">
        <w:rPr>
          <w:rFonts w:ascii="Aptos" w:eastAsia="Times New Roman" w:hAnsi="Aptos" w:cs="Times New Roman"/>
          <w:kern w:val="0"/>
          <w:sz w:val="22"/>
          <w:szCs w:val="22"/>
          <w:lang w:eastAsia="en-GB"/>
          <w14:ligatures w14:val="none"/>
        </w:rPr>
        <w:t>). For institutional vol traders, these higher-order dimensions are explicit objects of analysis.</w:t>
      </w:r>
    </w:p>
    <w:p w14:paraId="18ADA52A"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1624009D">
          <v:rect id="_x0000_i1083" alt="" style="width:451.3pt;height:.05pt;mso-width-percent:0;mso-height-percent:0;mso-width-percent:0;mso-height-percent:0" o:hralign="center" o:hrstd="t" o:hr="t" fillcolor="#a0a0a0" stroked="f"/>
        </w:pict>
      </w:r>
    </w:p>
    <w:p w14:paraId="58A5E88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Canonical decomposition and components</w:t>
      </w:r>
    </w:p>
    <w:p w14:paraId="6FD6DD62"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vol surface has three primary dimensions plus a higher-order one.</w:t>
      </w:r>
    </w:p>
    <w:p w14:paraId="20F7DDF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ATM term structure.</w:t>
      </w:r>
      <w:r w:rsidRPr="0032251D">
        <w:rPr>
          <w:rFonts w:ascii="Aptos" w:eastAsia="Times New Roman" w:hAnsi="Aptos" w:cs="Times New Roman"/>
          <w:kern w:val="0"/>
          <w:sz w:val="22"/>
          <w:szCs w:val="22"/>
          <w:lang w:eastAsia="en-GB"/>
          <w14:ligatures w14:val="none"/>
        </w:rPr>
        <w:t xml:space="preserve"> At-the-money implied vol at each tenor (1W, 1M, 3M, 6M, 1Y, 2Y, 5Y). Captures the central uncertainty pricing. Most quoted vol indices (VIX, MOVE, JPMVXY) are essentially ATM term-structure points.</w:t>
      </w:r>
    </w:p>
    <w:p w14:paraId="600BB6E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Skew (smile asymmetry).</w:t>
      </w:r>
      <w:r w:rsidRPr="0032251D">
        <w:rPr>
          <w:rFonts w:ascii="Aptos" w:eastAsia="Times New Roman" w:hAnsi="Aptos" w:cs="Times New Roman"/>
          <w:kern w:val="0"/>
          <w:sz w:val="22"/>
          <w:szCs w:val="22"/>
          <w:lang w:eastAsia="en-GB"/>
          <w14:ligatures w14:val="none"/>
        </w:rPr>
        <w:t xml:space="preserve"> Difference between OTM put and OTM call vol. Standard measurements:</w:t>
      </w:r>
    </w:p>
    <w:p w14:paraId="3C73C7A1" w14:textId="77777777" w:rsidR="0032251D" w:rsidRPr="0032251D" w:rsidRDefault="0032251D">
      <w:pPr>
        <w:numPr>
          <w:ilvl w:val="0"/>
          <w:numId w:val="4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Risk reversal</w:t>
      </w:r>
      <w:r w:rsidRPr="0032251D">
        <w:rPr>
          <w:rFonts w:ascii="Aptos" w:eastAsia="Times New Roman" w:hAnsi="Aptos" w:cs="Times New Roman"/>
          <w:kern w:val="0"/>
          <w:sz w:val="22"/>
          <w:szCs w:val="22"/>
          <w:lang w:eastAsia="en-GB"/>
          <w14:ligatures w14:val="none"/>
        </w:rPr>
        <w:t>: 25-delta call IV minus 25-delta put IV</w:t>
      </w:r>
    </w:p>
    <w:p w14:paraId="40BE48ED" w14:textId="77777777" w:rsidR="0032251D" w:rsidRPr="0032251D" w:rsidRDefault="0032251D">
      <w:pPr>
        <w:numPr>
          <w:ilvl w:val="0"/>
          <w:numId w:val="4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Wing skew</w:t>
      </w:r>
      <w:r w:rsidRPr="0032251D">
        <w:rPr>
          <w:rFonts w:ascii="Aptos" w:eastAsia="Times New Roman" w:hAnsi="Aptos" w:cs="Times New Roman"/>
          <w:kern w:val="0"/>
          <w:sz w:val="22"/>
          <w:szCs w:val="22"/>
          <w:lang w:eastAsia="en-GB"/>
          <w14:ligatures w14:val="none"/>
        </w:rPr>
        <w:t>: 10-delta call minus 10-delta put</w:t>
      </w:r>
    </w:p>
    <w:p w14:paraId="5F0072FA" w14:textId="77777777" w:rsidR="0032251D" w:rsidRPr="0032251D" w:rsidRDefault="0032251D">
      <w:pPr>
        <w:numPr>
          <w:ilvl w:val="0"/>
          <w:numId w:val="4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Slope-based</w:t>
      </w:r>
      <w:r w:rsidRPr="0032251D">
        <w:rPr>
          <w:rFonts w:ascii="Aptos" w:eastAsia="Times New Roman" w:hAnsi="Aptos" w:cs="Times New Roman"/>
          <w:kern w:val="0"/>
          <w:sz w:val="22"/>
          <w:szCs w:val="22"/>
          <w:lang w:eastAsia="en-GB"/>
          <w14:ligatures w14:val="none"/>
        </w:rPr>
        <w:t>: linear slope across the strike dimension</w:t>
      </w:r>
    </w:p>
    <w:p w14:paraId="2F47DA95"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Risk reversal is the standard skew measure for FX; CBOE SKEW Index aggregates equity skew across the S&amp;P 500.</w:t>
      </w:r>
    </w:p>
    <w:p w14:paraId="72993FF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Butterfly (smile curvature).</w:t>
      </w:r>
      <w:r w:rsidRPr="0032251D">
        <w:rPr>
          <w:rFonts w:ascii="Aptos" w:eastAsia="Times New Roman" w:hAnsi="Aptos" w:cs="Times New Roman"/>
          <w:kern w:val="0"/>
          <w:sz w:val="22"/>
          <w:szCs w:val="22"/>
          <w:lang w:eastAsia="en-GB"/>
          <w14:ligatures w14:val="none"/>
        </w:rPr>
        <w:t xml:space="preserve"> Average of 25-delta call and put vols minus ATM vol. Captures the curvature of the smile — high butterfly means deep OTM is much more expensive than ATM, indicating tail-risk pricing.</w:t>
      </w:r>
    </w:p>
    <w:p w14:paraId="7C3815F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Vol of vol.</w:t>
      </w:r>
      <w:r w:rsidRPr="0032251D">
        <w:rPr>
          <w:rFonts w:ascii="Aptos" w:eastAsia="Times New Roman" w:hAnsi="Aptos" w:cs="Times New Roman"/>
          <w:kern w:val="0"/>
          <w:sz w:val="22"/>
          <w:szCs w:val="22"/>
          <w:lang w:eastAsia="en-GB"/>
          <w14:ligatures w14:val="none"/>
        </w:rPr>
        <w:t xml:space="preserve"> Stability of the surface itself. Vega-of-</w:t>
      </w:r>
      <w:proofErr w:type="spellStart"/>
      <w:r w:rsidRPr="0032251D">
        <w:rPr>
          <w:rFonts w:ascii="Aptos" w:eastAsia="Times New Roman" w:hAnsi="Aptos" w:cs="Times New Roman"/>
          <w:kern w:val="0"/>
          <w:sz w:val="22"/>
          <w:szCs w:val="22"/>
          <w:lang w:eastAsia="en-GB"/>
          <w14:ligatures w14:val="none"/>
        </w:rPr>
        <w:t>vega</w:t>
      </w:r>
      <w:proofErr w:type="spellEnd"/>
      <w:r w:rsidRPr="0032251D">
        <w:rPr>
          <w:rFonts w:ascii="Aptos" w:eastAsia="Times New Roman" w:hAnsi="Aptos" w:cs="Times New Roman"/>
          <w:kern w:val="0"/>
          <w:sz w:val="22"/>
          <w:szCs w:val="22"/>
          <w:lang w:eastAsia="en-GB"/>
          <w14:ligatures w14:val="none"/>
        </w:rPr>
        <w:t xml:space="preserve"> exposures price how much the surface can move. The CBOE VVIX index measures vol of VIX.</w:t>
      </w:r>
    </w:p>
    <w:p w14:paraId="0EB05F5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Implied vs realised decomposition.</w:t>
      </w:r>
    </w:p>
    <w:p w14:paraId="1F46F4D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Implied vol = Expected realised vol + Volatility risk premium</w:t>
      </w:r>
    </w:p>
    <w:p w14:paraId="002A7F5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decomposition requires estimating expected realised vol — typically via GARCH-class models or historical realised vol with risk-adjustment. The vol risk premium is the residual.</w:t>
      </w:r>
    </w:p>
    <w:p w14:paraId="79650EA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Key indices by asset class.</w:t>
      </w:r>
    </w:p>
    <w:p w14:paraId="34EF8D16" w14:textId="77777777" w:rsidR="0032251D" w:rsidRPr="0032251D" w:rsidRDefault="0032251D">
      <w:pPr>
        <w:numPr>
          <w:ilvl w:val="0"/>
          <w:numId w:val="4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Rates</w:t>
      </w:r>
      <w:r w:rsidRPr="0032251D">
        <w:rPr>
          <w:rFonts w:ascii="Aptos" w:eastAsia="Times New Roman" w:hAnsi="Aptos" w:cs="Times New Roman"/>
          <w:kern w:val="0"/>
          <w:sz w:val="22"/>
          <w:szCs w:val="22"/>
          <w:lang w:eastAsia="en-GB"/>
          <w14:ligatures w14:val="none"/>
        </w:rPr>
        <w:t xml:space="preserve">: MOVE Index (1-month implied vol on swaptions across 2y/5y/10y/30y, weighted); </w:t>
      </w:r>
      <w:proofErr w:type="gramStart"/>
      <w:r w:rsidRPr="0032251D">
        <w:rPr>
          <w:rFonts w:ascii="Aptos" w:eastAsia="Times New Roman" w:hAnsi="Aptos" w:cs="Times New Roman"/>
          <w:kern w:val="0"/>
          <w:sz w:val="22"/>
          <w:szCs w:val="22"/>
          <w:lang w:eastAsia="en-GB"/>
          <w14:ligatures w14:val="none"/>
        </w:rPr>
        <w:t>also</w:t>
      </w:r>
      <w:proofErr w:type="gramEnd"/>
      <w:r w:rsidRPr="0032251D">
        <w:rPr>
          <w:rFonts w:ascii="Aptos" w:eastAsia="Times New Roman" w:hAnsi="Aptos" w:cs="Times New Roman"/>
          <w:kern w:val="0"/>
          <w:sz w:val="22"/>
          <w:szCs w:val="22"/>
          <w:lang w:eastAsia="en-GB"/>
          <w14:ligatures w14:val="none"/>
        </w:rPr>
        <w:t xml:space="preserve"> direct swaption vols (1M10Y, 3M2Y).</w:t>
      </w:r>
    </w:p>
    <w:p w14:paraId="65044F3F" w14:textId="77777777" w:rsidR="0032251D" w:rsidRPr="0032251D" w:rsidRDefault="0032251D">
      <w:pPr>
        <w:numPr>
          <w:ilvl w:val="0"/>
          <w:numId w:val="4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FX</w:t>
      </w:r>
      <w:r w:rsidRPr="0032251D">
        <w:rPr>
          <w:rFonts w:ascii="Aptos" w:eastAsia="Times New Roman" w:hAnsi="Aptos" w:cs="Times New Roman"/>
          <w:kern w:val="0"/>
          <w:sz w:val="22"/>
          <w:szCs w:val="22"/>
          <w:lang w:eastAsia="en-GB"/>
          <w14:ligatures w14:val="none"/>
        </w:rPr>
        <w:t>: JPMVXY (G7 implied vol index); USDZAR 1M ATM; risk reversals across tenors.</w:t>
      </w:r>
    </w:p>
    <w:p w14:paraId="7160FDF3" w14:textId="77777777" w:rsidR="0032251D" w:rsidRPr="0032251D" w:rsidRDefault="0032251D">
      <w:pPr>
        <w:numPr>
          <w:ilvl w:val="0"/>
          <w:numId w:val="4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Equity</w:t>
      </w:r>
      <w:r w:rsidRPr="0032251D">
        <w:rPr>
          <w:rFonts w:ascii="Aptos" w:eastAsia="Times New Roman" w:hAnsi="Aptos" w:cs="Times New Roman"/>
          <w:kern w:val="0"/>
          <w:sz w:val="22"/>
          <w:szCs w:val="22"/>
          <w:lang w:eastAsia="en-GB"/>
          <w14:ligatures w14:val="none"/>
        </w:rPr>
        <w:t>: VIX (30-day SPX implied vol); VIX3M, VIX6M, VIX1Y for term structure; CBOE SKEW for asymmetry.</w:t>
      </w:r>
    </w:p>
    <w:p w14:paraId="30FB39DB" w14:textId="77777777" w:rsidR="0032251D" w:rsidRPr="0032251D" w:rsidRDefault="0032251D">
      <w:pPr>
        <w:numPr>
          <w:ilvl w:val="0"/>
          <w:numId w:val="4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Credit</w:t>
      </w:r>
      <w:r w:rsidRPr="0032251D">
        <w:rPr>
          <w:rFonts w:ascii="Aptos" w:eastAsia="Times New Roman" w:hAnsi="Aptos" w:cs="Times New Roman"/>
          <w:kern w:val="0"/>
          <w:sz w:val="22"/>
          <w:szCs w:val="22"/>
          <w:lang w:eastAsia="en-GB"/>
          <w14:ligatures w14:val="none"/>
        </w:rPr>
        <w:t>: CDX/</w:t>
      </w:r>
      <w:proofErr w:type="spellStart"/>
      <w:r w:rsidRPr="0032251D">
        <w:rPr>
          <w:rFonts w:ascii="Aptos" w:eastAsia="Times New Roman" w:hAnsi="Aptos" w:cs="Times New Roman"/>
          <w:kern w:val="0"/>
          <w:sz w:val="22"/>
          <w:szCs w:val="22"/>
          <w:lang w:eastAsia="en-GB"/>
          <w14:ligatures w14:val="none"/>
        </w:rPr>
        <w:t>iTraxx</w:t>
      </w:r>
      <w:proofErr w:type="spellEnd"/>
      <w:r w:rsidRPr="0032251D">
        <w:rPr>
          <w:rFonts w:ascii="Aptos" w:eastAsia="Times New Roman" w:hAnsi="Aptos" w:cs="Times New Roman"/>
          <w:kern w:val="0"/>
          <w:sz w:val="22"/>
          <w:szCs w:val="22"/>
          <w:lang w:eastAsia="en-GB"/>
          <w14:ligatures w14:val="none"/>
        </w:rPr>
        <w:t xml:space="preserve"> vol via swaption-style instruments.</w:t>
      </w:r>
    </w:p>
    <w:p w14:paraId="30E753A9"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345F47E8">
          <v:rect id="_x0000_i1084" alt="" style="width:451.3pt;height:.05pt;mso-width-percent:0;mso-height-percent:0;mso-width-percent:0;mso-height-percent:0" o:hralign="center" o:hrstd="t" o:hr="t" fillcolor="#a0a0a0" stroked="f"/>
        </w:pict>
      </w:r>
    </w:p>
    <w:p w14:paraId="358150B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Why this matters for asset prices</w:t>
      </w:r>
    </w:p>
    <w:p w14:paraId="3D02398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Vol is consequential through eight channels.</w:t>
      </w:r>
    </w:p>
    <w:p w14:paraId="19668B2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Option valuations directly.</w:t>
      </w:r>
      <w:r w:rsidRPr="0032251D">
        <w:rPr>
          <w:rFonts w:ascii="Aptos" w:eastAsia="Times New Roman" w:hAnsi="Aptos" w:cs="Times New Roman"/>
          <w:kern w:val="0"/>
          <w:sz w:val="22"/>
          <w:szCs w:val="22"/>
          <w:lang w:eastAsia="en-GB"/>
          <w14:ligatures w14:val="none"/>
        </w:rPr>
        <w:t xml:space="preserve"> Vol is the primary input to option pricing. Vol moves drive derivative valuations mechanically.</w:t>
      </w:r>
    </w:p>
    <w:p w14:paraId="0DF4073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Hedging costs.</w:t>
      </w:r>
      <w:r w:rsidRPr="0032251D">
        <w:rPr>
          <w:rFonts w:ascii="Aptos" w:eastAsia="Times New Roman" w:hAnsi="Aptos" w:cs="Times New Roman"/>
          <w:kern w:val="0"/>
          <w:sz w:val="22"/>
          <w:szCs w:val="22"/>
          <w:lang w:eastAsia="en-GB"/>
          <w14:ligatures w14:val="none"/>
        </w:rPr>
        <w:t xml:space="preserve"> Vol level determines the cost of buying protection. High vol = expensive hedges. Investors with hedging mandates face a higher capital cost when vol is elevated.</w:t>
      </w:r>
    </w:p>
    <w:p w14:paraId="65C6AD5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Risk-parity and vol-targeting flows.</w:t>
      </w:r>
      <w:r w:rsidRPr="0032251D">
        <w:rPr>
          <w:rFonts w:ascii="Aptos" w:eastAsia="Times New Roman" w:hAnsi="Aptos" w:cs="Times New Roman"/>
          <w:kern w:val="0"/>
          <w:sz w:val="22"/>
          <w:szCs w:val="22"/>
          <w:lang w:eastAsia="en-GB"/>
          <w14:ligatures w14:val="none"/>
        </w:rPr>
        <w:t xml:space="preserve"> Strategies that scale exposure to volatility (risk parity, </w:t>
      </w:r>
      <w:proofErr w:type="gramStart"/>
      <w:r w:rsidRPr="0032251D">
        <w:rPr>
          <w:rFonts w:ascii="Aptos" w:eastAsia="Times New Roman" w:hAnsi="Aptos" w:cs="Times New Roman"/>
          <w:kern w:val="0"/>
          <w:sz w:val="22"/>
          <w:szCs w:val="22"/>
          <w:lang w:eastAsia="en-GB"/>
          <w14:ligatures w14:val="none"/>
        </w:rPr>
        <w:t>equal-volatility</w:t>
      </w:r>
      <w:proofErr w:type="gramEnd"/>
      <w:r w:rsidRPr="0032251D">
        <w:rPr>
          <w:rFonts w:ascii="Aptos" w:eastAsia="Times New Roman" w:hAnsi="Aptos" w:cs="Times New Roman"/>
          <w:kern w:val="0"/>
          <w:sz w:val="22"/>
          <w:szCs w:val="22"/>
          <w:lang w:eastAsia="en-GB"/>
          <w14:ligatures w14:val="none"/>
        </w:rPr>
        <w:t>) systematically deleverage when vol rises. This creates a vol-driven mechanical selling channel. August 2007 (quant crisis) and February 2018 (</w:t>
      </w:r>
      <w:proofErr w:type="spellStart"/>
      <w:r w:rsidRPr="0032251D">
        <w:rPr>
          <w:rFonts w:ascii="Aptos" w:eastAsia="Times New Roman" w:hAnsi="Aptos" w:cs="Times New Roman"/>
          <w:kern w:val="0"/>
          <w:sz w:val="22"/>
          <w:szCs w:val="22"/>
          <w:lang w:eastAsia="en-GB"/>
          <w14:ligatures w14:val="none"/>
        </w:rPr>
        <w:t>volmaggedon</w:t>
      </w:r>
      <w:proofErr w:type="spellEnd"/>
      <w:r w:rsidRPr="0032251D">
        <w:rPr>
          <w:rFonts w:ascii="Aptos" w:eastAsia="Times New Roman" w:hAnsi="Aptos" w:cs="Times New Roman"/>
          <w:kern w:val="0"/>
          <w:sz w:val="22"/>
          <w:szCs w:val="22"/>
          <w:lang w:eastAsia="en-GB"/>
          <w14:ligatures w14:val="none"/>
        </w:rPr>
        <w:t>) were episodes where vol-driven deleveraging amplified initial moves.</w:t>
      </w:r>
    </w:p>
    <w:p w14:paraId="11F4B7F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Volatility as a tradable factor.</w:t>
      </w:r>
      <w:r w:rsidRPr="0032251D">
        <w:rPr>
          <w:rFonts w:ascii="Aptos" w:eastAsia="Times New Roman" w:hAnsi="Aptos" w:cs="Times New Roman"/>
          <w:kern w:val="0"/>
          <w:sz w:val="22"/>
          <w:szCs w:val="22"/>
          <w:lang w:eastAsia="en-GB"/>
          <w14:ligatures w14:val="none"/>
        </w:rPr>
        <w:t xml:space="preserve"> Selling vol generates positive expected returns over time, with crash risk. Structured products (</w:t>
      </w:r>
      <w:proofErr w:type="spellStart"/>
      <w:r w:rsidRPr="0032251D">
        <w:rPr>
          <w:rFonts w:ascii="Aptos" w:eastAsia="Times New Roman" w:hAnsi="Aptos" w:cs="Times New Roman"/>
          <w:kern w:val="0"/>
          <w:sz w:val="22"/>
          <w:szCs w:val="22"/>
          <w:lang w:eastAsia="en-GB"/>
          <w14:ligatures w14:val="none"/>
        </w:rPr>
        <w:t>autocallables</w:t>
      </w:r>
      <w:proofErr w:type="spellEnd"/>
      <w:r w:rsidRPr="0032251D">
        <w:rPr>
          <w:rFonts w:ascii="Aptos" w:eastAsia="Times New Roman" w:hAnsi="Aptos" w:cs="Times New Roman"/>
          <w:kern w:val="0"/>
          <w:sz w:val="22"/>
          <w:szCs w:val="22"/>
          <w:lang w:eastAsia="en-GB"/>
          <w14:ligatures w14:val="none"/>
        </w:rPr>
        <w:t>, variance swaps) embed short-vol exposure. The vol risk premium is therefore a strategic allocation decision, not just a risk-management input.</w:t>
      </w:r>
    </w:p>
    <w:p w14:paraId="7441BAD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Forced positioning unwinds.</w:t>
      </w:r>
      <w:r w:rsidRPr="0032251D">
        <w:rPr>
          <w:rFonts w:ascii="Aptos" w:eastAsia="Times New Roman" w:hAnsi="Aptos" w:cs="Times New Roman"/>
          <w:kern w:val="0"/>
          <w:sz w:val="22"/>
          <w:szCs w:val="22"/>
          <w:lang w:eastAsia="en-GB"/>
          <w14:ligatures w14:val="none"/>
        </w:rPr>
        <w:t xml:space="preserve"> Short-vol positioning by dealers and structured product issuers creates gamma exposure: in calm times, they dampen volatility; in stress, they amplify it via delta-hedging. The mechanical hedging of short-gamma positions can convert small price moves into large ones.</w:t>
      </w:r>
    </w:p>
    <w:p w14:paraId="18A9DAF2"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Cross-asset stress signal.</w:t>
      </w:r>
      <w:r w:rsidRPr="0032251D">
        <w:rPr>
          <w:rFonts w:ascii="Aptos" w:eastAsia="Times New Roman" w:hAnsi="Aptos" w:cs="Times New Roman"/>
          <w:kern w:val="0"/>
          <w:sz w:val="22"/>
          <w:szCs w:val="22"/>
          <w:lang w:eastAsia="en-GB"/>
          <w14:ligatures w14:val="none"/>
        </w:rPr>
        <w:t xml:space="preserve"> Persistent vol divergence across asset classes (rates calm, FX stressed) is an early sign of regional or country-specific issues. Synchronised vol increases across asset classes are a global risk-off signal.</w:t>
      </w:r>
    </w:p>
    <w:p w14:paraId="47412DB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Distribution shape information.</w:t>
      </w:r>
      <w:r w:rsidRPr="0032251D">
        <w:rPr>
          <w:rFonts w:ascii="Aptos" w:eastAsia="Times New Roman" w:hAnsi="Aptos" w:cs="Times New Roman"/>
          <w:kern w:val="0"/>
          <w:sz w:val="22"/>
          <w:szCs w:val="22"/>
          <w:lang w:eastAsia="en-GB"/>
          <w14:ligatures w14:val="none"/>
        </w:rPr>
        <w:t xml:space="preserve"> Vol surfaces tell you what risks markets </w:t>
      </w:r>
      <w:proofErr w:type="gramStart"/>
      <w:r w:rsidRPr="0032251D">
        <w:rPr>
          <w:rFonts w:ascii="Aptos" w:eastAsia="Times New Roman" w:hAnsi="Aptos" w:cs="Times New Roman"/>
          <w:kern w:val="0"/>
          <w:sz w:val="22"/>
          <w:szCs w:val="22"/>
          <w:lang w:eastAsia="en-GB"/>
          <w14:ligatures w14:val="none"/>
        </w:rPr>
        <w:t>are pricing</w:t>
      </w:r>
      <w:proofErr w:type="gramEnd"/>
      <w:r w:rsidRPr="0032251D">
        <w:rPr>
          <w:rFonts w:ascii="Aptos" w:eastAsia="Times New Roman" w:hAnsi="Aptos" w:cs="Times New Roman"/>
          <w:kern w:val="0"/>
          <w:sz w:val="22"/>
          <w:szCs w:val="22"/>
          <w:lang w:eastAsia="en-GB"/>
          <w14:ligatures w14:val="none"/>
        </w:rPr>
        <w:t>. Negative skew steepening in equities = crash hedging demand. Positive skew steepening in rates = upside-rate-shock hedging. This is information about positioning and concerns that price-level data cannot reveal.</w:t>
      </w:r>
    </w:p>
    <w:p w14:paraId="2A846B8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State variable for many strategies.</w:t>
      </w:r>
      <w:r w:rsidRPr="0032251D">
        <w:rPr>
          <w:rFonts w:ascii="Aptos" w:eastAsia="Times New Roman" w:hAnsi="Aptos" w:cs="Times New Roman"/>
          <w:kern w:val="0"/>
          <w:sz w:val="22"/>
          <w:szCs w:val="22"/>
          <w:lang w:eastAsia="en-GB"/>
          <w14:ligatures w14:val="none"/>
        </w:rPr>
        <w:t xml:space="preserve"> Persistent low vol invites leverage; persistent high vol forces deleveraging. Vol regimes are themselves a state variable conditioning many systematic strategies. Investors with leverage explicitly target a vol level; vol regime changes force allocation changes.</w:t>
      </w:r>
    </w:p>
    <w:p w14:paraId="351CDE0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For investment managers three practitioner points dominate. First, vol is both a return source (selling vol) and a risk to manage (vol of P&amp;L) — explicit allocation decisions either way. Second, cross-asset vol coherence is an underused regime indicator — when rates vol and FX vol decouple, something specific is happening in one market. Third, skew is information about positioning that price-level data cannot reveal — extreme skew with stable spot often precedes spot moves.</w:t>
      </w:r>
    </w:p>
    <w:p w14:paraId="2F7F5651"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2E484698">
          <v:rect id="_x0000_i1085" alt="" style="width:451.3pt;height:.05pt;mso-width-percent:0;mso-height-percent:0;mso-width-percent:0;mso-height-percent:0" o:hralign="center" o:hrstd="t" o:hr="t" fillcolor="#a0a0a0" stroked="f"/>
        </w:pict>
      </w:r>
    </w:p>
    <w:p w14:paraId="431F20B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Regime and EM variation</w:t>
      </w:r>
    </w:p>
    <w:p w14:paraId="1C37DF2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DM vs EM vol markets differ in depth, structure, and behaviour.</w:t>
      </w:r>
    </w:p>
    <w:p w14:paraId="2678DBF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DM vol markets.</w:t>
      </w:r>
      <w:r w:rsidRPr="0032251D">
        <w:rPr>
          <w:rFonts w:ascii="Aptos" w:eastAsia="Times New Roman" w:hAnsi="Aptos" w:cs="Times New Roman"/>
          <w:kern w:val="0"/>
          <w:sz w:val="22"/>
          <w:szCs w:val="22"/>
          <w:lang w:eastAsia="en-GB"/>
          <w14:ligatures w14:val="none"/>
        </w:rPr>
        <w:t xml:space="preserve"> Deep options markets across rates, FX, equity, and credit. VIX is the global benchmark for risk (1M SPX implied vol). MOVE is the rates benchmark. JPMVXY aggregates G7 FX vol. Sophisticated structured product markets create persistent short-vol flow (</w:t>
      </w:r>
      <w:proofErr w:type="spellStart"/>
      <w:r w:rsidRPr="0032251D">
        <w:rPr>
          <w:rFonts w:ascii="Aptos" w:eastAsia="Times New Roman" w:hAnsi="Aptos" w:cs="Times New Roman"/>
          <w:kern w:val="0"/>
          <w:sz w:val="22"/>
          <w:szCs w:val="22"/>
          <w:lang w:eastAsia="en-GB"/>
          <w14:ligatures w14:val="none"/>
        </w:rPr>
        <w:t>autocallables</w:t>
      </w:r>
      <w:proofErr w:type="spellEnd"/>
      <w:r w:rsidRPr="0032251D">
        <w:rPr>
          <w:rFonts w:ascii="Aptos" w:eastAsia="Times New Roman" w:hAnsi="Aptos" w:cs="Times New Roman"/>
          <w:kern w:val="0"/>
          <w:sz w:val="22"/>
          <w:szCs w:val="22"/>
          <w:lang w:eastAsia="en-GB"/>
          <w14:ligatures w14:val="none"/>
        </w:rPr>
        <w:t xml:space="preserve">, variance swaps, vol-controlled funds). Vol surface </w:t>
      </w:r>
      <w:proofErr w:type="spellStart"/>
      <w:r w:rsidRPr="0032251D">
        <w:rPr>
          <w:rFonts w:ascii="Aptos" w:eastAsia="Times New Roman" w:hAnsi="Aptos" w:cs="Times New Roman"/>
          <w:kern w:val="0"/>
          <w:sz w:val="22"/>
          <w:szCs w:val="22"/>
          <w:lang w:eastAsia="en-GB"/>
          <w14:ligatures w14:val="none"/>
        </w:rPr>
        <w:t>modeling</w:t>
      </w:r>
      <w:proofErr w:type="spellEnd"/>
      <w:r w:rsidRPr="0032251D">
        <w:rPr>
          <w:rFonts w:ascii="Aptos" w:eastAsia="Times New Roman" w:hAnsi="Aptos" w:cs="Times New Roman"/>
          <w:kern w:val="0"/>
          <w:sz w:val="22"/>
          <w:szCs w:val="22"/>
          <w:lang w:eastAsia="en-GB"/>
          <w14:ligatures w14:val="none"/>
        </w:rPr>
        <w:t xml:space="preserve"> is highly developed (SABR, local-stochastic vol, rough vol).</w:t>
      </w:r>
    </w:p>
    <w:p w14:paraId="059B9C2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EM vol markets.</w:t>
      </w:r>
      <w:r w:rsidRPr="0032251D">
        <w:rPr>
          <w:rFonts w:ascii="Aptos" w:eastAsia="Times New Roman" w:hAnsi="Aptos" w:cs="Times New Roman"/>
          <w:kern w:val="0"/>
          <w:sz w:val="22"/>
          <w:szCs w:val="22"/>
          <w:lang w:eastAsia="en-GB"/>
          <w14:ligatures w14:val="none"/>
        </w:rPr>
        <w:t xml:space="preserve"> Generally thinner options markets, particularly in rates. Local equity vol indices exist for major EM:</w:t>
      </w:r>
    </w:p>
    <w:p w14:paraId="3DC23C97" w14:textId="77777777" w:rsidR="0032251D" w:rsidRPr="0032251D" w:rsidRDefault="0032251D">
      <w:pPr>
        <w:numPr>
          <w:ilvl w:val="0"/>
          <w:numId w:val="4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VKOSPI</w:t>
      </w:r>
      <w:r w:rsidRPr="0032251D">
        <w:rPr>
          <w:rFonts w:ascii="Aptos" w:eastAsia="Times New Roman" w:hAnsi="Aptos" w:cs="Times New Roman"/>
          <w:kern w:val="0"/>
          <w:sz w:val="22"/>
          <w:szCs w:val="22"/>
          <w:lang w:eastAsia="en-GB"/>
          <w14:ligatures w14:val="none"/>
        </w:rPr>
        <w:t>: Korea</w:t>
      </w:r>
    </w:p>
    <w:p w14:paraId="5F9B3E13" w14:textId="77777777" w:rsidR="0032251D" w:rsidRPr="0032251D" w:rsidRDefault="0032251D">
      <w:pPr>
        <w:numPr>
          <w:ilvl w:val="0"/>
          <w:numId w:val="4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INDIA VIX</w:t>
      </w:r>
      <w:r w:rsidRPr="0032251D">
        <w:rPr>
          <w:rFonts w:ascii="Aptos" w:eastAsia="Times New Roman" w:hAnsi="Aptos" w:cs="Times New Roman"/>
          <w:kern w:val="0"/>
          <w:sz w:val="22"/>
          <w:szCs w:val="22"/>
          <w:lang w:eastAsia="en-GB"/>
          <w14:ligatures w14:val="none"/>
        </w:rPr>
        <w:t>: India</w:t>
      </w:r>
    </w:p>
    <w:p w14:paraId="61A95B35" w14:textId="77777777" w:rsidR="0032251D" w:rsidRPr="0032251D" w:rsidRDefault="0032251D">
      <w:pPr>
        <w:numPr>
          <w:ilvl w:val="0"/>
          <w:numId w:val="4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BVSP vol</w:t>
      </w:r>
      <w:r w:rsidRPr="0032251D">
        <w:rPr>
          <w:rFonts w:ascii="Aptos" w:eastAsia="Times New Roman" w:hAnsi="Aptos" w:cs="Times New Roman"/>
          <w:kern w:val="0"/>
          <w:sz w:val="22"/>
          <w:szCs w:val="22"/>
          <w:lang w:eastAsia="en-GB"/>
          <w14:ligatures w14:val="none"/>
        </w:rPr>
        <w:t>: Brazil</w:t>
      </w:r>
    </w:p>
    <w:p w14:paraId="391CE735" w14:textId="77777777" w:rsidR="0032251D" w:rsidRPr="0032251D" w:rsidRDefault="0032251D">
      <w:pPr>
        <w:numPr>
          <w:ilvl w:val="0"/>
          <w:numId w:val="4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VIMEX</w:t>
      </w:r>
      <w:r w:rsidRPr="0032251D">
        <w:rPr>
          <w:rFonts w:ascii="Aptos" w:eastAsia="Times New Roman" w:hAnsi="Aptos" w:cs="Times New Roman"/>
          <w:kern w:val="0"/>
          <w:sz w:val="22"/>
          <w:szCs w:val="22"/>
          <w:lang w:eastAsia="en-GB"/>
          <w14:ligatures w14:val="none"/>
        </w:rPr>
        <w:t>: Mexico</w:t>
      </w:r>
    </w:p>
    <w:p w14:paraId="24DEA5C3" w14:textId="77777777" w:rsidR="0032251D" w:rsidRPr="0032251D" w:rsidRDefault="0032251D">
      <w:pPr>
        <w:numPr>
          <w:ilvl w:val="0"/>
          <w:numId w:val="4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SAVI</w:t>
      </w:r>
      <w:r w:rsidRPr="0032251D">
        <w:rPr>
          <w:rFonts w:ascii="Aptos" w:eastAsia="Times New Roman" w:hAnsi="Aptos" w:cs="Times New Roman"/>
          <w:kern w:val="0"/>
          <w:sz w:val="22"/>
          <w:szCs w:val="22"/>
          <w:lang w:eastAsia="en-GB"/>
          <w14:ligatures w14:val="none"/>
        </w:rPr>
        <w:t>: SA Top 40</w:t>
      </w:r>
    </w:p>
    <w:p w14:paraId="0C89E49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FX vol typically deeper than equity vol in EM because cross-currency options are global. Rates vol thin or missing in many EMs — most EM rates markets do not have liquid swaption surfaces beyond very short tenors.</w:t>
      </w:r>
    </w:p>
    <w:p w14:paraId="2113118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EM-specific dynamics.</w:t>
      </w:r>
    </w:p>
    <w:p w14:paraId="73953DDD" w14:textId="77777777" w:rsidR="0032251D" w:rsidRPr="0032251D" w:rsidRDefault="0032251D">
      <w:pPr>
        <w:numPr>
          <w:ilvl w:val="0"/>
          <w:numId w:val="4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Higher unconditional vol levels (USDZAR 1M ATM typically 12-18% vs EUR/USD 6-8%)</w:t>
      </w:r>
    </w:p>
    <w:p w14:paraId="3F7339DA" w14:textId="77777777" w:rsidR="0032251D" w:rsidRPr="0032251D" w:rsidRDefault="0032251D">
      <w:pPr>
        <w:numPr>
          <w:ilvl w:val="0"/>
          <w:numId w:val="4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Larger skews, especially for currencies (deep negative risk reversals for high-carry EM FX during stress)</w:t>
      </w:r>
    </w:p>
    <w:p w14:paraId="427F2FB2" w14:textId="77777777" w:rsidR="0032251D" w:rsidRPr="0032251D" w:rsidRDefault="0032251D">
      <w:pPr>
        <w:numPr>
          <w:ilvl w:val="0"/>
          <w:numId w:val="4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More episodic vol regimes — calm periods punctuated by acute spikes</w:t>
      </w:r>
    </w:p>
    <w:p w14:paraId="24558ECA" w14:textId="77777777" w:rsidR="0032251D" w:rsidRPr="0032251D" w:rsidRDefault="0032251D">
      <w:pPr>
        <w:numPr>
          <w:ilvl w:val="0"/>
          <w:numId w:val="4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Cross-asset vol correlations higher in crises (idiosyncratic vol becomes systemic vol fast)</w:t>
      </w:r>
    </w:p>
    <w:p w14:paraId="0153AE08" w14:textId="77777777" w:rsidR="0032251D" w:rsidRPr="0032251D" w:rsidRDefault="0032251D">
      <w:pPr>
        <w:numPr>
          <w:ilvl w:val="0"/>
          <w:numId w:val="4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Vol risk premia larger and more variable due to thinner markets</w:t>
      </w:r>
    </w:p>
    <w:p w14:paraId="024829C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SA specifically.</w:t>
      </w:r>
      <w:r w:rsidRPr="0032251D">
        <w:rPr>
          <w:rFonts w:ascii="Aptos" w:eastAsia="Times New Roman" w:hAnsi="Aptos" w:cs="Times New Roman"/>
          <w:kern w:val="0"/>
          <w:sz w:val="22"/>
          <w:szCs w:val="22"/>
          <w:lang w:eastAsia="en-GB"/>
          <w14:ligatures w14:val="none"/>
        </w:rPr>
        <w:t xml:space="preserve"> SAVI tracks Top 40 vol. USDZAR options market is relatively deep for EM (large daily turnover, full surface available at major tenors). USDZAR 1M ATM vol typically 12-18%; can spike to 25%+ in stress (2008, 2020). Rates vol market is thin — limited liquid swaptions beyond 1Y. Inflation-linked option market essentially absent. The dominant vol exposure in SA risk frameworks is USDZAR FX vol — it serves as the cross-asset proxy for SA risk, often more so than equity or rates vol. For the dissonance framework, SA L4d is effectively </w:t>
      </w:r>
      <w:r w:rsidRPr="0032251D">
        <w:rPr>
          <w:rFonts w:ascii="Aptos" w:eastAsia="Times New Roman" w:hAnsi="Aptos" w:cs="Times New Roman"/>
          <w:i/>
          <w:iCs/>
          <w:kern w:val="0"/>
          <w:sz w:val="22"/>
          <w:szCs w:val="22"/>
          <w:lang w:eastAsia="en-GB"/>
          <w14:ligatures w14:val="none"/>
        </w:rPr>
        <w:t>FX-vol-led</w:t>
      </w:r>
      <w:r w:rsidRPr="0032251D">
        <w:rPr>
          <w:rFonts w:ascii="Aptos" w:eastAsia="Times New Roman" w:hAnsi="Aptos" w:cs="Times New Roman"/>
          <w:kern w:val="0"/>
          <w:sz w:val="22"/>
          <w:szCs w:val="22"/>
          <w:lang w:eastAsia="en-GB"/>
          <w14:ligatures w14:val="none"/>
        </w:rPr>
        <w:t xml:space="preserve"> — the SAVI and other equity-vol measures are secondary to USDZAR vol as a credibility signal.</w:t>
      </w:r>
    </w:p>
    <w:p w14:paraId="25783621"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14A1873C">
          <v:rect id="_x0000_i1086" alt="" style="width:451.3pt;height:.05pt;mso-width-percent:0;mso-height-percent:0;mso-width-percent:0;mso-height-percent:0" o:hralign="center" o:hrstd="t" o:hr="t" fillcolor="#a0a0a0" stroked="f"/>
        </w:pict>
      </w:r>
    </w:p>
    <w:p w14:paraId="0FC145C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Measurement choices</w:t>
      </w:r>
    </w:p>
    <w:p w14:paraId="049D92F5"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Implied vs realised.</w:t>
      </w:r>
      <w:r w:rsidRPr="0032251D">
        <w:rPr>
          <w:rFonts w:ascii="Aptos" w:eastAsia="Times New Roman" w:hAnsi="Aptos" w:cs="Times New Roman"/>
          <w:kern w:val="0"/>
          <w:sz w:val="22"/>
          <w:szCs w:val="22"/>
          <w:lang w:eastAsia="en-GB"/>
          <w14:ligatures w14:val="none"/>
        </w:rPr>
        <w:t xml:space="preserve"> Implied vol is forward-looking with risk premium; realised vol is backward-looking. Different uses — implied for hedging cost, realised for risk attribution. The gap between them is the vol risk premium.</w:t>
      </w:r>
    </w:p>
    <w:p w14:paraId="2C1B85A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ATM definition.</w:t>
      </w:r>
      <w:r w:rsidRPr="0032251D">
        <w:rPr>
          <w:rFonts w:ascii="Aptos" w:eastAsia="Times New Roman" w:hAnsi="Aptos" w:cs="Times New Roman"/>
          <w:kern w:val="0"/>
          <w:sz w:val="22"/>
          <w:szCs w:val="22"/>
          <w:lang w:eastAsia="en-GB"/>
          <w14:ligatures w14:val="none"/>
        </w:rPr>
        <w:t xml:space="preserve"> ATM-forward vs ATM-spot. Differences matter most when interest rate differentials are large (FX) or when there's a strong dividend yield (equity). For consistent cross-asset comparison, ATM-forward is the cleaner choice.</w:t>
      </w:r>
    </w:p>
    <w:p w14:paraId="36E416A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Tenor matching.</w:t>
      </w:r>
      <w:r w:rsidRPr="0032251D">
        <w:rPr>
          <w:rFonts w:ascii="Aptos" w:eastAsia="Times New Roman" w:hAnsi="Aptos" w:cs="Times New Roman"/>
          <w:kern w:val="0"/>
          <w:sz w:val="22"/>
          <w:szCs w:val="22"/>
          <w:lang w:eastAsia="en-GB"/>
          <w14:ligatures w14:val="none"/>
        </w:rPr>
        <w:t xml:space="preserve"> 1M, 3M, 6M, 1Y vols reveal different time horizons. For policy-related analysis, 1M-3M typically captures the near-term policy uncertainty; longer tenors capture regime uncertainty.</w:t>
      </w:r>
    </w:p>
    <w:p w14:paraId="6746BE5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Skew measurement.</w:t>
      </w:r>
      <w:r w:rsidRPr="0032251D">
        <w:rPr>
          <w:rFonts w:ascii="Aptos" w:eastAsia="Times New Roman" w:hAnsi="Aptos" w:cs="Times New Roman"/>
          <w:kern w:val="0"/>
          <w:sz w:val="22"/>
          <w:szCs w:val="22"/>
          <w:lang w:eastAsia="en-GB"/>
          <w14:ligatures w14:val="none"/>
        </w:rPr>
        <w:t xml:space="preserve"> Risk reversal (25-delta call vs 25-delta put) vs strangle-derived skew. Different metrics; risk reversal is the standard for FX. For equity, the CBOE SKEW Index is the aggregated reference; for FX, 25-delta risk reversal at each tenor.</w:t>
      </w:r>
    </w:p>
    <w:p w14:paraId="2001809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Surface interpolation method.</w:t>
      </w:r>
      <w:r w:rsidRPr="0032251D">
        <w:rPr>
          <w:rFonts w:ascii="Aptos" w:eastAsia="Times New Roman" w:hAnsi="Aptos" w:cs="Times New Roman"/>
          <w:kern w:val="0"/>
          <w:sz w:val="22"/>
          <w:szCs w:val="22"/>
          <w:lang w:eastAsia="en-GB"/>
          <w14:ligatures w14:val="none"/>
        </w:rPr>
        <w:t xml:space="preserve"> SVI, SABR, local-stochastic vol — different choices give different OTM vol estimates. For wing-skew analysis, model choice matters; for ATM-only analysis, less so.</w:t>
      </w:r>
    </w:p>
    <w:p w14:paraId="74AE673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Index construction methodology.</w:t>
      </w:r>
      <w:r w:rsidRPr="0032251D">
        <w:rPr>
          <w:rFonts w:ascii="Aptos" w:eastAsia="Times New Roman" w:hAnsi="Aptos" w:cs="Times New Roman"/>
          <w:kern w:val="0"/>
          <w:sz w:val="22"/>
          <w:szCs w:val="22"/>
          <w:lang w:eastAsia="en-GB"/>
          <w14:ligatures w14:val="none"/>
        </w:rPr>
        <w:t xml:space="preserve"> VIX uses a specific replication portfolio (variance swap replication); MOVE uses weighted swaption vol; JPMVXY uses currency-pair weights. Cross-comparison requires understanding the methodology — VIX and MOVE are not directly comparable to each other.</w:t>
      </w:r>
    </w:p>
    <w:p w14:paraId="61BB4ED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Liquidity adjustment.</w:t>
      </w:r>
      <w:r w:rsidRPr="0032251D">
        <w:rPr>
          <w:rFonts w:ascii="Aptos" w:eastAsia="Times New Roman" w:hAnsi="Aptos" w:cs="Times New Roman"/>
          <w:kern w:val="0"/>
          <w:sz w:val="22"/>
          <w:szCs w:val="22"/>
          <w:lang w:eastAsia="en-GB"/>
          <w14:ligatures w14:val="none"/>
        </w:rPr>
        <w:t xml:space="preserve"> Thin OTM strikes have wider bid-ask spreads; this affects skew measurement reliability. For EM vol especially, the OTM wings are often illiquid and the quoted vol is more model-dependent than market-observed.</w:t>
      </w:r>
    </w:p>
    <w:p w14:paraId="69CCC3C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Index vs single-name aggregation.</w:t>
      </w:r>
      <w:r w:rsidRPr="0032251D">
        <w:rPr>
          <w:rFonts w:ascii="Aptos" w:eastAsia="Times New Roman" w:hAnsi="Aptos" w:cs="Times New Roman"/>
          <w:kern w:val="0"/>
          <w:sz w:val="22"/>
          <w:szCs w:val="22"/>
          <w:lang w:eastAsia="en-GB"/>
          <w14:ligatures w14:val="none"/>
        </w:rPr>
        <w:t xml:space="preserve"> Index vol is generally lower than the average of </w:t>
      </w:r>
      <w:proofErr w:type="gramStart"/>
      <w:r w:rsidRPr="0032251D">
        <w:rPr>
          <w:rFonts w:ascii="Aptos" w:eastAsia="Times New Roman" w:hAnsi="Aptos" w:cs="Times New Roman"/>
          <w:kern w:val="0"/>
          <w:sz w:val="22"/>
          <w:szCs w:val="22"/>
          <w:lang w:eastAsia="en-GB"/>
          <w14:ligatures w14:val="none"/>
        </w:rPr>
        <w:t>single-name</w:t>
      </w:r>
      <w:proofErr w:type="gramEnd"/>
      <w:r w:rsidRPr="0032251D">
        <w:rPr>
          <w:rFonts w:ascii="Aptos" w:eastAsia="Times New Roman" w:hAnsi="Aptos" w:cs="Times New Roman"/>
          <w:kern w:val="0"/>
          <w:sz w:val="22"/>
          <w:szCs w:val="22"/>
          <w:lang w:eastAsia="en-GB"/>
          <w14:ligatures w14:val="none"/>
        </w:rPr>
        <w:t xml:space="preserve"> vols (the "dispersion" trade). For framework analysis, index vol is the right concept — it's the systematic uncertainty pricing.</w:t>
      </w:r>
    </w:p>
    <w:p w14:paraId="6F80A208"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5D75C8C8">
          <v:rect id="_x0000_i1087" alt="" style="width:451.3pt;height:.05pt;mso-width-percent:0;mso-height-percent:0;mso-width-percent:0;mso-height-percent:0" o:hralign="center" o:hrstd="t" o:hr="t" fillcolor="#a0a0a0" stroked="f"/>
        </w:pict>
      </w:r>
    </w:p>
    <w:p w14:paraId="34D4F1D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Where dissonance lives</w:t>
      </w:r>
    </w:p>
    <w:p w14:paraId="684E6BF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Within L4d:</w:t>
      </w:r>
    </w:p>
    <w:p w14:paraId="2391D38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Intra-node.</w:t>
      </w:r>
      <w:r w:rsidRPr="0032251D">
        <w:rPr>
          <w:rFonts w:ascii="Aptos" w:eastAsia="Times New Roman" w:hAnsi="Aptos" w:cs="Times New Roman"/>
          <w:kern w:val="0"/>
          <w:sz w:val="22"/>
          <w:szCs w:val="22"/>
          <w:lang w:eastAsia="en-GB"/>
          <w14:ligatures w14:val="none"/>
        </w:rPr>
        <w:t xml:space="preserve"> Rates vol, FX vol, equity vol; ATM vs skew vs term structure should be jointly coherent. Dissonance fires when:</w:t>
      </w:r>
    </w:p>
    <w:p w14:paraId="2C6CBD3B" w14:textId="77777777" w:rsidR="0032251D" w:rsidRPr="0032251D" w:rsidRDefault="0032251D">
      <w:pPr>
        <w:numPr>
          <w:ilvl w:val="0"/>
          <w:numId w:val="4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One vol regime decouples — </w:t>
      </w:r>
      <w:r w:rsidRPr="0032251D">
        <w:rPr>
          <w:rFonts w:ascii="Aptos" w:eastAsia="Times New Roman" w:hAnsi="Aptos" w:cs="Times New Roman"/>
          <w:i/>
          <w:iCs/>
          <w:kern w:val="0"/>
          <w:sz w:val="22"/>
          <w:szCs w:val="22"/>
          <w:lang w:eastAsia="en-GB"/>
          <w14:ligatures w14:val="none"/>
        </w:rPr>
        <w:t>calm rates vol with elevated FX vol</w:t>
      </w:r>
      <w:r w:rsidRPr="0032251D">
        <w:rPr>
          <w:rFonts w:ascii="Aptos" w:eastAsia="Times New Roman" w:hAnsi="Aptos" w:cs="Times New Roman"/>
          <w:kern w:val="0"/>
          <w:sz w:val="22"/>
          <w:szCs w:val="22"/>
          <w:lang w:eastAsia="en-GB"/>
          <w14:ligatures w14:val="none"/>
        </w:rPr>
        <w:t xml:space="preserve"> (typical of EM credibility stress where DM rates are anchored but currency is the stress release valve)</w:t>
      </w:r>
    </w:p>
    <w:p w14:paraId="62A45C72" w14:textId="77777777" w:rsidR="0032251D" w:rsidRPr="0032251D" w:rsidRDefault="0032251D">
      <w:pPr>
        <w:numPr>
          <w:ilvl w:val="0"/>
          <w:numId w:val="4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Skew steepens dramatically without spot moves — </w:t>
      </w:r>
      <w:r w:rsidRPr="0032251D">
        <w:rPr>
          <w:rFonts w:ascii="Aptos" w:eastAsia="Times New Roman" w:hAnsi="Aptos" w:cs="Times New Roman"/>
          <w:i/>
          <w:iCs/>
          <w:kern w:val="0"/>
          <w:sz w:val="22"/>
          <w:szCs w:val="22"/>
          <w:lang w:eastAsia="en-GB"/>
          <w14:ligatures w14:val="none"/>
        </w:rPr>
        <w:t>positioning building</w:t>
      </w:r>
      <w:r w:rsidRPr="0032251D">
        <w:rPr>
          <w:rFonts w:ascii="Aptos" w:eastAsia="Times New Roman" w:hAnsi="Aptos" w:cs="Times New Roman"/>
          <w:kern w:val="0"/>
          <w:sz w:val="22"/>
          <w:szCs w:val="22"/>
          <w:lang w:eastAsia="en-GB"/>
          <w14:ligatures w14:val="none"/>
        </w:rPr>
        <w:t>, with hedging demand for one direction outpacing the other</w:t>
      </w:r>
    </w:p>
    <w:p w14:paraId="567B5D5A" w14:textId="77777777" w:rsidR="0032251D" w:rsidRPr="0032251D" w:rsidRDefault="0032251D">
      <w:pPr>
        <w:numPr>
          <w:ilvl w:val="0"/>
          <w:numId w:val="4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Vol term structure inverts (short vol above long vol) — </w:t>
      </w:r>
      <w:r w:rsidRPr="0032251D">
        <w:rPr>
          <w:rFonts w:ascii="Aptos" w:eastAsia="Times New Roman" w:hAnsi="Aptos" w:cs="Times New Roman"/>
          <w:i/>
          <w:iCs/>
          <w:kern w:val="0"/>
          <w:sz w:val="22"/>
          <w:szCs w:val="22"/>
          <w:lang w:eastAsia="en-GB"/>
          <w14:ligatures w14:val="none"/>
        </w:rPr>
        <w:t>acute near-term stress</w:t>
      </w:r>
      <w:r w:rsidRPr="0032251D">
        <w:rPr>
          <w:rFonts w:ascii="Aptos" w:eastAsia="Times New Roman" w:hAnsi="Aptos" w:cs="Times New Roman"/>
          <w:kern w:val="0"/>
          <w:sz w:val="22"/>
          <w:szCs w:val="22"/>
          <w:lang w:eastAsia="en-GB"/>
          <w14:ligatures w14:val="none"/>
        </w:rPr>
        <w:t xml:space="preserve"> even without an immediate observable event</w:t>
      </w:r>
    </w:p>
    <w:p w14:paraId="55B91AAA" w14:textId="77777777" w:rsidR="0032251D" w:rsidRPr="0032251D" w:rsidRDefault="0032251D">
      <w:pPr>
        <w:numPr>
          <w:ilvl w:val="0"/>
          <w:numId w:val="4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Implied vol persistently decouples from realised vol — vol risk premium expanding or compressing outside historical norms</w:t>
      </w:r>
    </w:p>
    <w:p w14:paraId="3940C4D9" w14:textId="77777777" w:rsidR="0032251D" w:rsidRPr="0032251D" w:rsidRDefault="0032251D">
      <w:pPr>
        <w:numPr>
          <w:ilvl w:val="0"/>
          <w:numId w:val="4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Cross-asset vol correlations spike toward 1 — risk-off contagion across asset classes, systematic stress emerging</w:t>
      </w:r>
    </w:p>
    <w:p w14:paraId="04CC918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Incoming relationships.</w:t>
      </w:r>
    </w:p>
    <w:p w14:paraId="36F88419" w14:textId="77777777" w:rsidR="0032251D" w:rsidRPr="0032251D" w:rsidRDefault="0032251D">
      <w:pPr>
        <w:numPr>
          <w:ilvl w:val="0"/>
          <w:numId w:val="4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L1 → L4d: rates vol should track uncertainty about the rule; persistent high vol with stable estimated rule = market doesn't trust the rule's stability</w:t>
      </w:r>
    </w:p>
    <w:p w14:paraId="76F07D8F" w14:textId="77777777" w:rsidR="0032251D" w:rsidRPr="0032251D" w:rsidRDefault="0032251D">
      <w:pPr>
        <w:numPr>
          <w:ilvl w:val="0"/>
          <w:numId w:val="4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L3a → L4d: vol around rate decisions reflects surprise; large vol spike on a "well-telegraphed" decision = guidance failed</w:t>
      </w:r>
    </w:p>
    <w:p w14:paraId="030DC5EC" w14:textId="77777777" w:rsidR="0032251D" w:rsidRPr="0032251D" w:rsidRDefault="0032251D">
      <w:pPr>
        <w:numPr>
          <w:ilvl w:val="0"/>
          <w:numId w:val="4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L3b → L4d: balance sheet operations should compress vol via supportive backdrop; vol spike on operations = market dysfunction (typically QT-driven)</w:t>
      </w:r>
    </w:p>
    <w:p w14:paraId="426EA2A9" w14:textId="77777777" w:rsidR="0032251D" w:rsidRPr="0032251D" w:rsidRDefault="0032251D">
      <w:pPr>
        <w:numPr>
          <w:ilvl w:val="0"/>
          <w:numId w:val="4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L3c → L4d: clear guidance compresses near-term vol; vol stays elevated despite guidance = market disbelieves the guidance</w:t>
      </w:r>
    </w:p>
    <w:p w14:paraId="29630284" w14:textId="77777777" w:rsidR="0032251D" w:rsidRPr="0032251D" w:rsidRDefault="0032251D">
      <w:pPr>
        <w:numPr>
          <w:ilvl w:val="0"/>
          <w:numId w:val="4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L3d → L4d: intervention typically compresses FX vol; vol spikes after intervention = credibility signal negative, intervention seen as desperate</w:t>
      </w:r>
    </w:p>
    <w:p w14:paraId="5664599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Peer relationships within L4.</w:t>
      </w:r>
    </w:p>
    <w:p w14:paraId="62CEF02B" w14:textId="77777777" w:rsidR="0032251D" w:rsidRPr="0032251D" w:rsidRDefault="0032251D">
      <w:pPr>
        <w:numPr>
          <w:ilvl w:val="0"/>
          <w:numId w:val="5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L4a ↔ L4d: yield curve and rates vol jointly characterise the rates regime; vol move without curve move = surprise vs known move</w:t>
      </w:r>
    </w:p>
    <w:p w14:paraId="37E07F6F" w14:textId="77777777" w:rsidR="0032251D" w:rsidRPr="0032251D" w:rsidRDefault="0032251D">
      <w:pPr>
        <w:numPr>
          <w:ilvl w:val="0"/>
          <w:numId w:val="5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L4b ↔ L4d: FX vol should mirror realised FX moves; vol moves without spot = positioning building; spot moves without vol = controlled adjustment</w:t>
      </w:r>
    </w:p>
    <w:p w14:paraId="3A8588AF" w14:textId="77777777" w:rsidR="0032251D" w:rsidRPr="0032251D" w:rsidRDefault="0032251D">
      <w:pPr>
        <w:numPr>
          <w:ilvl w:val="0"/>
          <w:numId w:val="5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L4c ↔ L4d: inflation uncertainty shows up in BEI vol; BEI moves without inflation vol = expected drift, not surprise</w:t>
      </w:r>
    </w:p>
    <w:p w14:paraId="2FD986B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Outgoing relationships.</w:t>
      </w:r>
      <w:r w:rsidRPr="0032251D">
        <w:rPr>
          <w:rFonts w:ascii="Aptos" w:eastAsia="Times New Roman" w:hAnsi="Aptos" w:cs="Times New Roman"/>
          <w:kern w:val="0"/>
          <w:sz w:val="22"/>
          <w:szCs w:val="22"/>
          <w:lang w:eastAsia="en-GB"/>
          <w14:ligatures w14:val="none"/>
        </w:rPr>
        <w:t xml:space="preserve"> Vol feeds nearly every downstream node:</w:t>
      </w:r>
    </w:p>
    <w:p w14:paraId="47126FA7" w14:textId="77777777" w:rsidR="0032251D" w:rsidRPr="0032251D" w:rsidRDefault="0032251D">
      <w:pPr>
        <w:numPr>
          <w:ilvl w:val="0"/>
          <w:numId w:val="5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L4d → L5a-e: vol exposure across the intermediary layer (trading book vol, NBFI margin and haircut dynamics, dealer vol warehousing, corporate hedging costs, sovereign CDS vol)</w:t>
      </w:r>
    </w:p>
    <w:p w14:paraId="29522A98" w14:textId="77777777" w:rsidR="0032251D" w:rsidRPr="0032251D" w:rsidRDefault="0032251D">
      <w:pPr>
        <w:numPr>
          <w:ilvl w:val="0"/>
          <w:numId w:val="5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lastRenderedPageBreak/>
        <w:t>L4d → L6: vol embeds expectation uncertainty</w:t>
      </w:r>
    </w:p>
    <w:p w14:paraId="5038C34A" w14:textId="77777777" w:rsidR="0032251D" w:rsidRPr="0032251D" w:rsidRDefault="0032251D">
      <w:pPr>
        <w:numPr>
          <w:ilvl w:val="0"/>
          <w:numId w:val="5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L4d → L7: vol is increasingly an FCI component</w:t>
      </w:r>
    </w:p>
    <w:p w14:paraId="2CA8BEF5" w14:textId="77777777" w:rsidR="0032251D" w:rsidRPr="0032251D" w:rsidRDefault="0032251D">
      <w:pPr>
        <w:numPr>
          <w:ilvl w:val="0"/>
          <w:numId w:val="5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L4d → L8: vol prices convexity in derivatives and shapes higher-moment risk premia</w:t>
      </w:r>
    </w:p>
    <w:p w14:paraId="60B28502" w14:textId="77777777" w:rsidR="0032251D" w:rsidRPr="0032251D" w:rsidRDefault="0032251D">
      <w:pPr>
        <w:numPr>
          <w:ilvl w:val="0"/>
          <w:numId w:val="5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L4d → L9: vol prices options directly and shapes the entire derivative valuation universe</w:t>
      </w:r>
    </w:p>
    <w:p w14:paraId="3BA58CEC" w14:textId="77777777" w:rsidR="0032251D" w:rsidRPr="0032251D" w:rsidRDefault="0032251D">
      <w:pPr>
        <w:numPr>
          <w:ilvl w:val="0"/>
          <w:numId w:val="5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L4d → L10a: uncertainty premium affects investment timing</w:t>
      </w:r>
    </w:p>
    <w:p w14:paraId="591C027D" w14:textId="77777777" w:rsidR="0032251D" w:rsidRPr="0032251D" w:rsidRDefault="0032251D">
      <w:pPr>
        <w:numPr>
          <w:ilvl w:val="0"/>
          <w:numId w:val="5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L4d → L10b: vol drives margin calls, forced selling, and the financial stability cascade mechanism</w:t>
      </w:r>
    </w:p>
    <w:p w14:paraId="22985D90" w14:textId="77777777" w:rsidR="0032251D" w:rsidRPr="0032251D" w:rsidRDefault="0032251D">
      <w:pPr>
        <w:numPr>
          <w:ilvl w:val="0"/>
          <w:numId w:val="5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L4d → L10c: vol exports globally via risk-off channels</w:t>
      </w:r>
    </w:p>
    <w:p w14:paraId="4A4A233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The L4d node is the </w:t>
      </w:r>
      <w:r w:rsidRPr="0032251D">
        <w:rPr>
          <w:rFonts w:ascii="Aptos" w:eastAsia="Times New Roman" w:hAnsi="Aptos" w:cs="Times New Roman"/>
          <w:i/>
          <w:iCs/>
          <w:kern w:val="0"/>
          <w:sz w:val="22"/>
          <w:szCs w:val="22"/>
          <w:lang w:eastAsia="en-GB"/>
          <w14:ligatures w14:val="none"/>
        </w:rPr>
        <w:t>uncertainty pricing node</w:t>
      </w:r>
      <w:r w:rsidRPr="0032251D">
        <w:rPr>
          <w:rFonts w:ascii="Aptos" w:eastAsia="Times New Roman" w:hAnsi="Aptos" w:cs="Times New Roman"/>
          <w:kern w:val="0"/>
          <w:sz w:val="22"/>
          <w:szCs w:val="22"/>
          <w:lang w:eastAsia="en-GB"/>
          <w14:ligatures w14:val="none"/>
        </w:rPr>
        <w:t xml:space="preserve">. Unlike L4a (level), L4b (relative price), or L4c (inflation expectations), it prices the </w:t>
      </w:r>
      <w:r w:rsidRPr="0032251D">
        <w:rPr>
          <w:rFonts w:ascii="Aptos" w:eastAsia="Times New Roman" w:hAnsi="Aptos" w:cs="Times New Roman"/>
          <w:i/>
          <w:iCs/>
          <w:kern w:val="0"/>
          <w:sz w:val="22"/>
          <w:szCs w:val="22"/>
          <w:lang w:eastAsia="en-GB"/>
          <w14:ligatures w14:val="none"/>
        </w:rPr>
        <w:t>shape of the distribution</w:t>
      </w:r>
      <w:r w:rsidRPr="0032251D">
        <w:rPr>
          <w:rFonts w:ascii="Aptos" w:eastAsia="Times New Roman" w:hAnsi="Aptos" w:cs="Times New Roman"/>
          <w:kern w:val="0"/>
          <w:sz w:val="22"/>
          <w:szCs w:val="22"/>
          <w:lang w:eastAsia="en-GB"/>
          <w14:ligatures w14:val="none"/>
        </w:rPr>
        <w:t xml:space="preserve"> — how much things can move, in which direction, and how often. For credibility assessment, vol is unique because it reveals </w:t>
      </w:r>
      <w:r w:rsidRPr="0032251D">
        <w:rPr>
          <w:rFonts w:ascii="Aptos" w:eastAsia="Times New Roman" w:hAnsi="Aptos" w:cs="Times New Roman"/>
          <w:i/>
          <w:iCs/>
          <w:kern w:val="0"/>
          <w:sz w:val="22"/>
          <w:szCs w:val="22"/>
          <w:lang w:eastAsia="en-GB"/>
          <w14:ligatures w14:val="none"/>
        </w:rPr>
        <w:t>what the market is afraid of</w:t>
      </w:r>
      <w:r w:rsidRPr="0032251D">
        <w:rPr>
          <w:rFonts w:ascii="Aptos" w:eastAsia="Times New Roman" w:hAnsi="Aptos" w:cs="Times New Roman"/>
          <w:kern w:val="0"/>
          <w:sz w:val="22"/>
          <w:szCs w:val="22"/>
          <w:lang w:eastAsia="en-GB"/>
          <w14:ligatures w14:val="none"/>
        </w:rPr>
        <w:t xml:space="preserve"> even when spot prices are calm. Skew building with stable spot is positioning data; vol term structure inverting is acute-stress data; cross-asset vol synchronising is contagion data. None of this information is available from the L4a-c price-level nodes.</w:t>
      </w:r>
    </w:p>
    <w:p w14:paraId="1936073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For the framework, vol plays a dual role. As an </w:t>
      </w:r>
      <w:r w:rsidRPr="0032251D">
        <w:rPr>
          <w:rFonts w:ascii="Aptos" w:eastAsia="Times New Roman" w:hAnsi="Aptos" w:cs="Times New Roman"/>
          <w:i/>
          <w:iCs/>
          <w:kern w:val="0"/>
          <w:sz w:val="22"/>
          <w:szCs w:val="22"/>
          <w:lang w:eastAsia="en-GB"/>
          <w14:ligatures w14:val="none"/>
        </w:rPr>
        <w:t>output</w:t>
      </w:r>
      <w:r w:rsidRPr="0032251D">
        <w:rPr>
          <w:rFonts w:ascii="Aptos" w:eastAsia="Times New Roman" w:hAnsi="Aptos" w:cs="Times New Roman"/>
          <w:kern w:val="0"/>
          <w:sz w:val="22"/>
          <w:szCs w:val="22"/>
          <w:lang w:eastAsia="en-GB"/>
          <w14:ligatures w14:val="none"/>
        </w:rPr>
        <w:t xml:space="preserve">, it reflects accumulated dissonance from upstream nodes — credibility leaks, rule instability, intermediary stress all eventually </w:t>
      </w:r>
      <w:proofErr w:type="gramStart"/>
      <w:r w:rsidRPr="0032251D">
        <w:rPr>
          <w:rFonts w:ascii="Aptos" w:eastAsia="Times New Roman" w:hAnsi="Aptos" w:cs="Times New Roman"/>
          <w:kern w:val="0"/>
          <w:sz w:val="22"/>
          <w:szCs w:val="22"/>
          <w:lang w:eastAsia="en-GB"/>
          <w14:ligatures w14:val="none"/>
        </w:rPr>
        <w:t>show</w:t>
      </w:r>
      <w:proofErr w:type="gramEnd"/>
      <w:r w:rsidRPr="0032251D">
        <w:rPr>
          <w:rFonts w:ascii="Aptos" w:eastAsia="Times New Roman" w:hAnsi="Aptos" w:cs="Times New Roman"/>
          <w:kern w:val="0"/>
          <w:sz w:val="22"/>
          <w:szCs w:val="22"/>
          <w:lang w:eastAsia="en-GB"/>
          <w14:ligatures w14:val="none"/>
        </w:rPr>
        <w:t xml:space="preserve"> up as elevated vol. As an </w:t>
      </w:r>
      <w:r w:rsidRPr="0032251D">
        <w:rPr>
          <w:rFonts w:ascii="Aptos" w:eastAsia="Times New Roman" w:hAnsi="Aptos" w:cs="Times New Roman"/>
          <w:i/>
          <w:iCs/>
          <w:kern w:val="0"/>
          <w:sz w:val="22"/>
          <w:szCs w:val="22"/>
          <w:lang w:eastAsia="en-GB"/>
          <w14:ligatures w14:val="none"/>
        </w:rPr>
        <w:t>input</w:t>
      </w:r>
      <w:r w:rsidRPr="0032251D">
        <w:rPr>
          <w:rFonts w:ascii="Aptos" w:eastAsia="Times New Roman" w:hAnsi="Aptos" w:cs="Times New Roman"/>
          <w:kern w:val="0"/>
          <w:sz w:val="22"/>
          <w:szCs w:val="22"/>
          <w:lang w:eastAsia="en-GB"/>
          <w14:ligatures w14:val="none"/>
        </w:rPr>
        <w:t xml:space="preserve"> to downstream nodes, it drives margin requirements, hedging costs, and forced-selling dynamics that propagate stress. This is why vol cascades are self-reinforcing — rising vol triggers deleveraging, which moves prices, which raises vol further. The L4d node is therefore both diagnostic of stress and </w:t>
      </w:r>
      <w:r w:rsidRPr="0032251D">
        <w:rPr>
          <w:rFonts w:ascii="Aptos" w:eastAsia="Times New Roman" w:hAnsi="Aptos" w:cs="Times New Roman"/>
          <w:i/>
          <w:iCs/>
          <w:kern w:val="0"/>
          <w:sz w:val="22"/>
          <w:szCs w:val="22"/>
          <w:lang w:eastAsia="en-GB"/>
          <w14:ligatures w14:val="none"/>
        </w:rPr>
        <w:t>causally implicated in stress propagation</w:t>
      </w:r>
      <w:r w:rsidRPr="0032251D">
        <w:rPr>
          <w:rFonts w:ascii="Aptos" w:eastAsia="Times New Roman" w:hAnsi="Aptos" w:cs="Times New Roman"/>
          <w:kern w:val="0"/>
          <w:sz w:val="22"/>
          <w:szCs w:val="22"/>
          <w:lang w:eastAsia="en-GB"/>
          <w14:ligatures w14:val="none"/>
        </w:rPr>
        <w:t xml:space="preserve">. For SA specifically, USDZAR FX vol is the dominant vol read — rates vol is too thin, equity vol secondary — and serves as the integrated credibility signal that L4d provides for the </w:t>
      </w:r>
      <w:proofErr w:type="gramStart"/>
      <w:r w:rsidRPr="0032251D">
        <w:rPr>
          <w:rFonts w:ascii="Aptos" w:eastAsia="Times New Roman" w:hAnsi="Aptos" w:cs="Times New Roman"/>
          <w:kern w:val="0"/>
          <w:sz w:val="22"/>
          <w:szCs w:val="22"/>
          <w:lang w:eastAsia="en-GB"/>
          <w14:ligatures w14:val="none"/>
        </w:rPr>
        <w:t>framework as a whole</w:t>
      </w:r>
      <w:proofErr w:type="gramEnd"/>
      <w:r w:rsidRPr="0032251D">
        <w:rPr>
          <w:rFonts w:ascii="Aptos" w:eastAsia="Times New Roman" w:hAnsi="Aptos" w:cs="Times New Roman"/>
          <w:kern w:val="0"/>
          <w:sz w:val="22"/>
          <w:szCs w:val="22"/>
          <w:lang w:eastAsia="en-GB"/>
          <w14:ligatures w14:val="none"/>
        </w:rPr>
        <w:t>.</w:t>
      </w:r>
    </w:p>
    <w:p w14:paraId="3569793C" w14:textId="77777777" w:rsidR="001F2E56" w:rsidRPr="00B8458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47C7A719" w14:textId="77777777" w:rsidR="0032251D" w:rsidRPr="00B84586" w:rsidRDefault="0032251D"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403978E6" w14:textId="77777777" w:rsidR="0032251D" w:rsidRPr="00B84586" w:rsidRDefault="0032251D"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660C2236" w14:textId="77777777" w:rsidR="0032251D" w:rsidRPr="00B84586" w:rsidRDefault="0032251D"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0481A6BE" w14:textId="77777777" w:rsidR="0032251D" w:rsidRPr="00B84586" w:rsidRDefault="0032251D"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31804BF7" w14:textId="77777777" w:rsidR="0032251D" w:rsidRPr="00B84586" w:rsidRDefault="0032251D"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6C30A9D5" w14:textId="77777777" w:rsidR="0032251D" w:rsidRPr="00B84586" w:rsidRDefault="0032251D"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16DDE917" w14:textId="77777777" w:rsidR="0032251D" w:rsidRPr="00B84586" w:rsidRDefault="0032251D"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79DC901A" w14:textId="77777777" w:rsidR="0032251D" w:rsidRPr="00B84586" w:rsidRDefault="0032251D"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66BB535D" w14:textId="77777777" w:rsidR="0032251D" w:rsidRPr="00B84586" w:rsidRDefault="0032251D"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51DA073C" w14:textId="77777777" w:rsidR="0032251D" w:rsidRPr="00B84586" w:rsidRDefault="0032251D"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23D1BEF8" w14:textId="77777777" w:rsidR="0032251D" w:rsidRPr="00B84586" w:rsidRDefault="0032251D"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1E38C742" w14:textId="77777777" w:rsidR="0032251D" w:rsidRPr="00B84586" w:rsidRDefault="0032251D"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43013375" w14:textId="54495EB2" w:rsidR="001F2E56" w:rsidRPr="00B84586" w:rsidRDefault="0032251D" w:rsidP="0032251D">
      <w:pPr>
        <w:spacing w:before="100" w:beforeAutospacing="1" w:after="100" w:afterAutospacing="1" w:line="240" w:lineRule="auto"/>
        <w:jc w:val="center"/>
        <w:rPr>
          <w:rFonts w:ascii="Aptos" w:eastAsia="Times New Roman" w:hAnsi="Aptos" w:cs="Times New Roman"/>
          <w:b/>
          <w:bCs/>
          <w:kern w:val="0"/>
          <w:sz w:val="22"/>
          <w:szCs w:val="22"/>
          <w:lang w:eastAsia="en-GB"/>
          <w14:ligatures w14:val="none"/>
        </w:rPr>
      </w:pPr>
      <w:r w:rsidRPr="00B84586">
        <w:rPr>
          <w:rFonts w:ascii="Aptos" w:eastAsia="Times New Roman" w:hAnsi="Aptos" w:cs="Times New Roman"/>
          <w:b/>
          <w:bCs/>
          <w:kern w:val="0"/>
          <w:sz w:val="22"/>
          <w:szCs w:val="22"/>
          <w:lang w:eastAsia="en-GB"/>
          <w14:ligatures w14:val="none"/>
        </w:rPr>
        <w:lastRenderedPageBreak/>
        <w:t>Level 5 - Intermediaries</w:t>
      </w:r>
    </w:p>
    <w:p w14:paraId="76BCD98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Level 5a — Banks</w:t>
      </w:r>
    </w:p>
    <w:p w14:paraId="45F1737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Definition.</w:t>
      </w:r>
      <w:r w:rsidRPr="0032251D">
        <w:rPr>
          <w:rFonts w:ascii="Aptos" w:eastAsia="Times New Roman" w:hAnsi="Aptos" w:cs="Times New Roman"/>
          <w:kern w:val="0"/>
          <w:sz w:val="22"/>
          <w:szCs w:val="22"/>
          <w:lang w:eastAsia="en-GB"/>
          <w14:ligatures w14:val="none"/>
        </w:rPr>
        <w:t xml:space="preserve"> Banks are deposit-taking, lending institutions that sit at the centre of the monetary transmission mechanism. They are the primary channel through which the central bank's policy rate is converted into the actual cost of credit for the real economy. The core function is </w:t>
      </w:r>
      <w:r w:rsidRPr="0032251D">
        <w:rPr>
          <w:rFonts w:ascii="Aptos" w:eastAsia="Times New Roman" w:hAnsi="Aptos" w:cs="Times New Roman"/>
          <w:i/>
          <w:iCs/>
          <w:kern w:val="0"/>
          <w:sz w:val="22"/>
          <w:szCs w:val="22"/>
          <w:lang w:eastAsia="en-GB"/>
          <w14:ligatures w14:val="none"/>
        </w:rPr>
        <w:t>maturity transformation</w:t>
      </w:r>
      <w:r w:rsidRPr="0032251D">
        <w:rPr>
          <w:rFonts w:ascii="Aptos" w:eastAsia="Times New Roman" w:hAnsi="Aptos" w:cs="Times New Roman"/>
          <w:kern w:val="0"/>
          <w:sz w:val="22"/>
          <w:szCs w:val="22"/>
          <w:lang w:eastAsia="en-GB"/>
          <w14:ligatures w14:val="none"/>
        </w:rPr>
        <w:t xml:space="preserve"> — taking short-term deposits and converting them into longer-term loans. This transformation creates economic value (it provides liquidity insurance to depositors while financing productive long-term investment) and structural fragility (runs become possible when depositors believe other depositors will withdraw). Banks are characterised </w:t>
      </w:r>
      <w:proofErr w:type="gramStart"/>
      <w:r w:rsidRPr="0032251D">
        <w:rPr>
          <w:rFonts w:ascii="Aptos" w:eastAsia="Times New Roman" w:hAnsi="Aptos" w:cs="Times New Roman"/>
          <w:kern w:val="0"/>
          <w:sz w:val="22"/>
          <w:szCs w:val="22"/>
          <w:lang w:eastAsia="en-GB"/>
          <w14:ligatures w14:val="none"/>
        </w:rPr>
        <w:t>by:</w:t>
      </w:r>
      <w:proofErr w:type="gramEnd"/>
      <w:r w:rsidRPr="0032251D">
        <w:rPr>
          <w:rFonts w:ascii="Aptos" w:eastAsia="Times New Roman" w:hAnsi="Aptos" w:cs="Times New Roman"/>
          <w:kern w:val="0"/>
          <w:sz w:val="22"/>
          <w:szCs w:val="22"/>
          <w:lang w:eastAsia="en-GB"/>
          <w14:ligatures w14:val="none"/>
        </w:rPr>
        <w:t xml:space="preserve"> deposit liabilities (typically the cheapest, stickiest funding); wholesale liabilities (CDs, repos, bonds — more volatile and expensive); loan assets (mortgages, corporate loans, consumer credit); securities holdings (HQLA: government bonds, agency MBS); and equity capital (the loss-absorbing layer). Key structural fact: banks are the </w:t>
      </w:r>
      <w:r w:rsidRPr="0032251D">
        <w:rPr>
          <w:rFonts w:ascii="Aptos" w:eastAsia="Times New Roman" w:hAnsi="Aptos" w:cs="Times New Roman"/>
          <w:i/>
          <w:iCs/>
          <w:kern w:val="0"/>
          <w:sz w:val="22"/>
          <w:szCs w:val="22"/>
          <w:lang w:eastAsia="en-GB"/>
          <w14:ligatures w14:val="none"/>
        </w:rPr>
        <w:t>only</w:t>
      </w:r>
      <w:r w:rsidRPr="0032251D">
        <w:rPr>
          <w:rFonts w:ascii="Aptos" w:eastAsia="Times New Roman" w:hAnsi="Aptos" w:cs="Times New Roman"/>
          <w:kern w:val="0"/>
          <w:sz w:val="22"/>
          <w:szCs w:val="22"/>
          <w:lang w:eastAsia="en-GB"/>
          <w14:ligatures w14:val="none"/>
        </w:rPr>
        <w:t xml:space="preserve"> private institutions with direct access to central bank reserves. This makes them the gateway between monetary policy and the real economy — and the structural reason L5a sits at the heart of the L5 intermediary layer.</w:t>
      </w:r>
    </w:p>
    <w:p w14:paraId="5AE8A12F"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7640933C">
          <v:rect id="_x0000_i1088" alt="" style="width:451.3pt;height:.05pt;mso-width-percent:0;mso-height-percent:0;mso-width-percent:0;mso-height-percent:0" o:hralign="center" o:hrstd="t" o:hr="t" fillcolor="#a0a0a0" stroked="f"/>
        </w:pict>
      </w:r>
    </w:p>
    <w:p w14:paraId="297C5DF2"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Theory</w:t>
      </w:r>
    </w:p>
    <w:p w14:paraId="232CC68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Several theoretical foundations underpin banks as a distinct node.</w:t>
      </w:r>
    </w:p>
    <w:p w14:paraId="07C9436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Maturity transformation (Diamond-Dybvig 1983).</w:t>
      </w:r>
      <w:r w:rsidRPr="0032251D">
        <w:rPr>
          <w:rFonts w:ascii="Aptos" w:eastAsia="Times New Roman" w:hAnsi="Aptos" w:cs="Times New Roman"/>
          <w:kern w:val="0"/>
          <w:sz w:val="22"/>
          <w:szCs w:val="22"/>
          <w:lang w:eastAsia="en-GB"/>
          <w14:ligatures w14:val="none"/>
        </w:rPr>
        <w:t xml:space="preserve"> Banks add social value by transforming illiquid long-term assets into liquid short-term claims. Depositors receive liquidity insurance; borrowers receive long-term financing. But this transformation generates fragility — if enough depositors believe other depositors will withdraw, withdrawal becomes individually rational. The Diamond-Dybvig model has two equilibria: a "good" equilibrium where no run occurs, and a "bad" equilibrium where everyone runs. Deposit insurance and LOLR exist to coordinate the good equilibrium.</w:t>
      </w:r>
    </w:p>
    <w:p w14:paraId="4F2B5A6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Bank lending channel (Bernanke-Blinder 1988).</w:t>
      </w:r>
      <w:r w:rsidRPr="0032251D">
        <w:rPr>
          <w:rFonts w:ascii="Aptos" w:eastAsia="Times New Roman" w:hAnsi="Aptos" w:cs="Times New Roman"/>
          <w:kern w:val="0"/>
          <w:sz w:val="22"/>
          <w:szCs w:val="22"/>
          <w:lang w:eastAsia="en-GB"/>
          <w14:ligatures w14:val="none"/>
        </w:rPr>
        <w:t xml:space="preserve"> Monetary policy affects credit not just through the cost of funds but through the </w:t>
      </w:r>
      <w:r w:rsidRPr="0032251D">
        <w:rPr>
          <w:rFonts w:ascii="Aptos" w:eastAsia="Times New Roman" w:hAnsi="Aptos" w:cs="Times New Roman"/>
          <w:i/>
          <w:iCs/>
          <w:kern w:val="0"/>
          <w:sz w:val="22"/>
          <w:szCs w:val="22"/>
          <w:lang w:eastAsia="en-GB"/>
          <w14:ligatures w14:val="none"/>
        </w:rPr>
        <w:t>quantity</w:t>
      </w:r>
      <w:r w:rsidRPr="0032251D">
        <w:rPr>
          <w:rFonts w:ascii="Aptos" w:eastAsia="Times New Roman" w:hAnsi="Aptos" w:cs="Times New Roman"/>
          <w:kern w:val="0"/>
          <w:sz w:val="22"/>
          <w:szCs w:val="22"/>
          <w:lang w:eastAsia="en-GB"/>
          <w14:ligatures w14:val="none"/>
        </w:rPr>
        <w:t xml:space="preserve"> of loans banks are willing to extend. A capital-constrained bank cuts lending more than the rate alone implies. This is the structural reason banks matter for transmission beyond the simple cost-of-funds channel — policy moves balance sheet quantities, not just prices.</w:t>
      </w:r>
    </w:p>
    <w:p w14:paraId="4D38CE2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Bank capital channel (Bolton-Freixas 2000; Van den Heuvel 2002).</w:t>
      </w:r>
      <w:r w:rsidRPr="0032251D">
        <w:rPr>
          <w:rFonts w:ascii="Aptos" w:eastAsia="Times New Roman" w:hAnsi="Aptos" w:cs="Times New Roman"/>
          <w:kern w:val="0"/>
          <w:sz w:val="22"/>
          <w:szCs w:val="22"/>
          <w:lang w:eastAsia="en-GB"/>
          <w14:ligatures w14:val="none"/>
        </w:rPr>
        <w:t xml:space="preserve"> Capital adequacy constraints amplify monetary policy effects on lending. When equity is binding, banks substitute away from risky lending toward safer assets. This creates a state-dependent transmission — the same policy move has different effects depending on whether bank capital is tight or abundant.</w:t>
      </w:r>
    </w:p>
    <w:p w14:paraId="174A989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Deposit franchise (Drechsler-</w:t>
      </w:r>
      <w:proofErr w:type="spellStart"/>
      <w:r w:rsidRPr="0032251D">
        <w:rPr>
          <w:rFonts w:ascii="Aptos" w:eastAsia="Times New Roman" w:hAnsi="Aptos" w:cs="Times New Roman"/>
          <w:i/>
          <w:iCs/>
          <w:kern w:val="0"/>
          <w:sz w:val="22"/>
          <w:szCs w:val="22"/>
          <w:lang w:eastAsia="en-GB"/>
          <w14:ligatures w14:val="none"/>
        </w:rPr>
        <w:t>Savov</w:t>
      </w:r>
      <w:proofErr w:type="spellEnd"/>
      <w:r w:rsidRPr="0032251D">
        <w:rPr>
          <w:rFonts w:ascii="Aptos" w:eastAsia="Times New Roman" w:hAnsi="Aptos" w:cs="Times New Roman"/>
          <w:i/>
          <w:iCs/>
          <w:kern w:val="0"/>
          <w:sz w:val="22"/>
          <w:szCs w:val="22"/>
          <w:lang w:eastAsia="en-GB"/>
          <w14:ligatures w14:val="none"/>
        </w:rPr>
        <w:t>-Schnabl 2017).</w:t>
      </w:r>
      <w:r w:rsidRPr="0032251D">
        <w:rPr>
          <w:rFonts w:ascii="Aptos" w:eastAsia="Times New Roman" w:hAnsi="Aptos" w:cs="Times New Roman"/>
          <w:kern w:val="0"/>
          <w:sz w:val="22"/>
          <w:szCs w:val="22"/>
          <w:lang w:eastAsia="en-GB"/>
          <w14:ligatures w14:val="none"/>
        </w:rPr>
        <w:t xml:space="preserve"> Banks have market power over deposits — they pay less than the policy rate on deposits but lend at rates linked to the policy rate. The deposit franchise generates </w:t>
      </w:r>
      <w:r w:rsidRPr="0032251D">
        <w:rPr>
          <w:rFonts w:ascii="Aptos" w:eastAsia="Times New Roman" w:hAnsi="Aptos" w:cs="Times New Roman"/>
          <w:i/>
          <w:iCs/>
          <w:kern w:val="0"/>
          <w:sz w:val="22"/>
          <w:szCs w:val="22"/>
          <w:lang w:eastAsia="en-GB"/>
          <w14:ligatures w14:val="none"/>
        </w:rPr>
        <w:t>operating leverage</w:t>
      </w:r>
      <w:r w:rsidRPr="0032251D">
        <w:rPr>
          <w:rFonts w:ascii="Aptos" w:eastAsia="Times New Roman" w:hAnsi="Aptos" w:cs="Times New Roman"/>
          <w:kern w:val="0"/>
          <w:sz w:val="22"/>
          <w:szCs w:val="22"/>
          <w:lang w:eastAsia="en-GB"/>
          <w14:ligatures w14:val="none"/>
        </w:rPr>
        <w:t xml:space="preserve"> to the policy rate: NIM expands when rates rise (low deposit beta), but the duration of the deposit franchise itself extends, creating embedded duration risk. The franchise is both an asset (intangible value) and a risk (concentrated in rate environment stability).</w:t>
      </w:r>
    </w:p>
    <w:p w14:paraId="23CCEFE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Risk-taking channel (Borio-Zhu 2008).</w:t>
      </w:r>
      <w:r w:rsidRPr="0032251D">
        <w:rPr>
          <w:rFonts w:ascii="Aptos" w:eastAsia="Times New Roman" w:hAnsi="Aptos" w:cs="Times New Roman"/>
          <w:kern w:val="0"/>
          <w:sz w:val="22"/>
          <w:szCs w:val="22"/>
          <w:lang w:eastAsia="en-GB"/>
          <w14:ligatures w14:val="none"/>
        </w:rPr>
        <w:t xml:space="preserve"> Low rates encourage banks to take more risk through three mechanisms: search for yield (reaching down the credit quality curve); reduced risk perception (low vol regimes feel safer); and franchise value effects (low NIM erodes long-term value, pushing for short-term risk).</w:t>
      </w:r>
    </w:p>
    <w:p w14:paraId="081C9EA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Sovereign-bank loop (Acharya-Drechsler-Schnabl 2014).</w:t>
      </w:r>
      <w:r w:rsidRPr="0032251D">
        <w:rPr>
          <w:rFonts w:ascii="Aptos" w:eastAsia="Times New Roman" w:hAnsi="Aptos" w:cs="Times New Roman"/>
          <w:kern w:val="0"/>
          <w:sz w:val="22"/>
          <w:szCs w:val="22"/>
          <w:lang w:eastAsia="en-GB"/>
          <w14:ligatures w14:val="none"/>
        </w:rPr>
        <w:t xml:space="preserve"> Banks hold sovereign debt as HQLA; sovereigns guarantee banks via deposit insurance and implicit/explicit bailout commitments. The two are linked. Crisis in one </w:t>
      </w:r>
      <w:proofErr w:type="gramStart"/>
      <w:r w:rsidRPr="0032251D">
        <w:rPr>
          <w:rFonts w:ascii="Aptos" w:eastAsia="Times New Roman" w:hAnsi="Aptos" w:cs="Times New Roman"/>
          <w:kern w:val="0"/>
          <w:sz w:val="22"/>
          <w:szCs w:val="22"/>
          <w:lang w:eastAsia="en-GB"/>
          <w14:ligatures w14:val="none"/>
        </w:rPr>
        <w:t>feeds</w:t>
      </w:r>
      <w:proofErr w:type="gramEnd"/>
      <w:r w:rsidRPr="0032251D">
        <w:rPr>
          <w:rFonts w:ascii="Aptos" w:eastAsia="Times New Roman" w:hAnsi="Aptos" w:cs="Times New Roman"/>
          <w:kern w:val="0"/>
          <w:sz w:val="22"/>
          <w:szCs w:val="22"/>
          <w:lang w:eastAsia="en-GB"/>
          <w14:ligatures w14:val="none"/>
        </w:rPr>
        <w:t xml:space="preserve"> the other — sovereign stress impairs bank balance sheets; bank stress raises sovereign contingent liabilities. The Greek and Italian crises 2010-2012 were the canonical cases; SA banks' sovereign exposure is a structural variant of the same mechanism.</w:t>
      </w:r>
    </w:p>
    <w:p w14:paraId="4D00354E"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08820985">
          <v:rect id="_x0000_i1089" alt="" style="width:451.3pt;height:.05pt;mso-width-percent:0;mso-height-percent:0;mso-width-percent:0;mso-height-percent:0" o:hralign="center" o:hrstd="t" o:hr="t" fillcolor="#a0a0a0" stroked="f"/>
        </w:pict>
      </w:r>
    </w:p>
    <w:p w14:paraId="1C09BEB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Canonical specifications and parameters</w:t>
      </w:r>
    </w:p>
    <w:p w14:paraId="3CE7247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bank node has rich measurable structure across five parameter families.</w:t>
      </w:r>
    </w:p>
    <w:p w14:paraId="0A6FA25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Capital metrics (Basel III).</w:t>
      </w:r>
    </w:p>
    <w:p w14:paraId="77B459D1" w14:textId="77777777" w:rsidR="0032251D" w:rsidRPr="0032251D" w:rsidRDefault="0032251D">
      <w:pPr>
        <w:numPr>
          <w:ilvl w:val="0"/>
          <w:numId w:val="5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CET1 ratio</w:t>
      </w:r>
      <w:r w:rsidRPr="0032251D">
        <w:rPr>
          <w:rFonts w:ascii="Aptos" w:eastAsia="Times New Roman" w:hAnsi="Aptos" w:cs="Times New Roman"/>
          <w:kern w:val="0"/>
          <w:sz w:val="22"/>
          <w:szCs w:val="22"/>
          <w:lang w:eastAsia="en-GB"/>
          <w14:ligatures w14:val="none"/>
        </w:rPr>
        <w:t xml:space="preserve">: Common Equity Tier 1 / Risk-Weighted Assets. Minimum 4.5%, plus 2.5% capital conservation buffer, plus G-SIB/D-SIB surcharges, plus </w:t>
      </w:r>
      <w:proofErr w:type="spellStart"/>
      <w:r w:rsidRPr="0032251D">
        <w:rPr>
          <w:rFonts w:ascii="Aptos" w:eastAsia="Times New Roman" w:hAnsi="Aptos" w:cs="Times New Roman"/>
          <w:kern w:val="0"/>
          <w:sz w:val="22"/>
          <w:szCs w:val="22"/>
          <w:lang w:eastAsia="en-GB"/>
          <w14:ligatures w14:val="none"/>
        </w:rPr>
        <w:t>CCyB</w:t>
      </w:r>
      <w:proofErr w:type="spellEnd"/>
      <w:r w:rsidRPr="0032251D">
        <w:rPr>
          <w:rFonts w:ascii="Aptos" w:eastAsia="Times New Roman" w:hAnsi="Aptos" w:cs="Times New Roman"/>
          <w:kern w:val="0"/>
          <w:sz w:val="22"/>
          <w:szCs w:val="22"/>
          <w:lang w:eastAsia="en-GB"/>
          <w14:ligatures w14:val="none"/>
        </w:rPr>
        <w:t>. Typical major bank: 12-14% CET1.</w:t>
      </w:r>
    </w:p>
    <w:p w14:paraId="5CE6A22E" w14:textId="77777777" w:rsidR="0032251D" w:rsidRPr="0032251D" w:rsidRDefault="0032251D">
      <w:pPr>
        <w:numPr>
          <w:ilvl w:val="0"/>
          <w:numId w:val="5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Tier 1 ratio</w:t>
      </w:r>
      <w:r w:rsidRPr="0032251D">
        <w:rPr>
          <w:rFonts w:ascii="Aptos" w:eastAsia="Times New Roman" w:hAnsi="Aptos" w:cs="Times New Roman"/>
          <w:kern w:val="0"/>
          <w:sz w:val="22"/>
          <w:szCs w:val="22"/>
          <w:lang w:eastAsia="en-GB"/>
          <w14:ligatures w14:val="none"/>
        </w:rPr>
        <w:t>: CET1 + Additional Tier 1 / RWA</w:t>
      </w:r>
    </w:p>
    <w:p w14:paraId="16E8B746" w14:textId="77777777" w:rsidR="0032251D" w:rsidRPr="0032251D" w:rsidRDefault="0032251D">
      <w:pPr>
        <w:numPr>
          <w:ilvl w:val="0"/>
          <w:numId w:val="5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Total Capital ratio</w:t>
      </w:r>
      <w:r w:rsidRPr="0032251D">
        <w:rPr>
          <w:rFonts w:ascii="Aptos" w:eastAsia="Times New Roman" w:hAnsi="Aptos" w:cs="Times New Roman"/>
          <w:kern w:val="0"/>
          <w:sz w:val="22"/>
          <w:szCs w:val="22"/>
          <w:lang w:eastAsia="en-GB"/>
          <w14:ligatures w14:val="none"/>
        </w:rPr>
        <w:t>: Tier 1 + Tier 2 / RWA</w:t>
      </w:r>
    </w:p>
    <w:p w14:paraId="78CBB5DE" w14:textId="77777777" w:rsidR="0032251D" w:rsidRPr="0032251D" w:rsidRDefault="0032251D">
      <w:pPr>
        <w:numPr>
          <w:ilvl w:val="0"/>
          <w:numId w:val="5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Leverage ratio</w:t>
      </w:r>
      <w:r w:rsidRPr="0032251D">
        <w:rPr>
          <w:rFonts w:ascii="Aptos" w:eastAsia="Times New Roman" w:hAnsi="Aptos" w:cs="Times New Roman"/>
          <w:kern w:val="0"/>
          <w:sz w:val="22"/>
          <w:szCs w:val="22"/>
          <w:lang w:eastAsia="en-GB"/>
          <w14:ligatures w14:val="none"/>
        </w:rPr>
        <w:t>: Tier 1 / total exposures (not risk-weighted). Backstop to RWA-based metrics; binding constraint for some banks.</w:t>
      </w:r>
    </w:p>
    <w:p w14:paraId="3A0D03C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Liquidity metrics.</w:t>
      </w:r>
    </w:p>
    <w:p w14:paraId="2055D191" w14:textId="77777777" w:rsidR="0032251D" w:rsidRPr="0032251D" w:rsidRDefault="0032251D">
      <w:pPr>
        <w:numPr>
          <w:ilvl w:val="0"/>
          <w:numId w:val="5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LCR (Liquidity Coverage Ratio)</w:t>
      </w:r>
      <w:r w:rsidRPr="0032251D">
        <w:rPr>
          <w:rFonts w:ascii="Aptos" w:eastAsia="Times New Roman" w:hAnsi="Aptos" w:cs="Times New Roman"/>
          <w:kern w:val="0"/>
          <w:sz w:val="22"/>
          <w:szCs w:val="22"/>
          <w:lang w:eastAsia="en-GB"/>
          <w14:ligatures w14:val="none"/>
        </w:rPr>
        <w:t>: HQLA / 30-day stress outflows. Must be ≥ 100%. Short-term liquidity resilience.</w:t>
      </w:r>
    </w:p>
    <w:p w14:paraId="175561F9" w14:textId="77777777" w:rsidR="0032251D" w:rsidRPr="0032251D" w:rsidRDefault="0032251D">
      <w:pPr>
        <w:numPr>
          <w:ilvl w:val="0"/>
          <w:numId w:val="5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NSFR (Net Stable Funding Ratio)</w:t>
      </w:r>
      <w:r w:rsidRPr="0032251D">
        <w:rPr>
          <w:rFonts w:ascii="Aptos" w:eastAsia="Times New Roman" w:hAnsi="Aptos" w:cs="Times New Roman"/>
          <w:kern w:val="0"/>
          <w:sz w:val="22"/>
          <w:szCs w:val="22"/>
          <w:lang w:eastAsia="en-GB"/>
          <w14:ligatures w14:val="none"/>
        </w:rPr>
        <w:t>: available stable funding / required stable funding. Must be ≥ 100%. Structural funding stability over one year.</w:t>
      </w:r>
    </w:p>
    <w:p w14:paraId="419C4D12"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Profitability metrics.</w:t>
      </w:r>
    </w:p>
    <w:p w14:paraId="24458D8C" w14:textId="77777777" w:rsidR="0032251D" w:rsidRPr="0032251D" w:rsidRDefault="0032251D">
      <w:pPr>
        <w:numPr>
          <w:ilvl w:val="0"/>
          <w:numId w:val="5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NIM (Net Interest Margin)</w:t>
      </w:r>
      <w:r w:rsidRPr="0032251D">
        <w:rPr>
          <w:rFonts w:ascii="Aptos" w:eastAsia="Times New Roman" w:hAnsi="Aptos" w:cs="Times New Roman"/>
          <w:kern w:val="0"/>
          <w:sz w:val="22"/>
          <w:szCs w:val="22"/>
          <w:lang w:eastAsia="en-GB"/>
          <w14:ligatures w14:val="none"/>
        </w:rPr>
        <w:t>: (interest income − interest expense) / average earning assets. Core banking profitability; sensitive to rate level, curve shape, deposit franchise.</w:t>
      </w:r>
    </w:p>
    <w:p w14:paraId="1B53FDD1" w14:textId="77777777" w:rsidR="0032251D" w:rsidRPr="0032251D" w:rsidRDefault="0032251D">
      <w:pPr>
        <w:numPr>
          <w:ilvl w:val="0"/>
          <w:numId w:val="5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ROE, ROA, cost-to-income</w:t>
      </w:r>
      <w:r w:rsidRPr="0032251D">
        <w:rPr>
          <w:rFonts w:ascii="Aptos" w:eastAsia="Times New Roman" w:hAnsi="Aptos" w:cs="Times New Roman"/>
          <w:kern w:val="0"/>
          <w:sz w:val="22"/>
          <w:szCs w:val="22"/>
          <w:lang w:eastAsia="en-GB"/>
          <w14:ligatures w14:val="none"/>
        </w:rPr>
        <w:t>: standard profitability and efficiency.</w:t>
      </w:r>
    </w:p>
    <w:p w14:paraId="003CF91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Transmission parameters.</w:t>
      </w:r>
    </w:p>
    <w:p w14:paraId="3E2DC499" w14:textId="77777777" w:rsidR="0032251D" w:rsidRPr="0032251D" w:rsidRDefault="0032251D">
      <w:pPr>
        <w:numPr>
          <w:ilvl w:val="0"/>
          <w:numId w:val="5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Deposit beta</w:t>
      </w:r>
      <w:r w:rsidRPr="0032251D">
        <w:rPr>
          <w:rFonts w:ascii="Aptos" w:eastAsia="Times New Roman" w:hAnsi="Aptos" w:cs="Times New Roman"/>
          <w:kern w:val="0"/>
          <w:sz w:val="22"/>
          <w:szCs w:val="22"/>
          <w:lang w:eastAsia="en-GB"/>
          <w14:ligatures w14:val="none"/>
        </w:rPr>
        <w:t xml:space="preserve">: ∆deposit rate / ∆policy rate. </w:t>
      </w:r>
      <w:proofErr w:type="gramStart"/>
      <w:r w:rsidRPr="0032251D">
        <w:rPr>
          <w:rFonts w:ascii="Aptos" w:eastAsia="Times New Roman" w:hAnsi="Aptos" w:cs="Times New Roman"/>
          <w:kern w:val="0"/>
          <w:sz w:val="22"/>
          <w:szCs w:val="22"/>
          <w:lang w:eastAsia="en-GB"/>
          <w14:ligatures w14:val="none"/>
        </w:rPr>
        <w:t>Typically</w:t>
      </w:r>
      <w:proofErr w:type="gramEnd"/>
      <w:r w:rsidRPr="0032251D">
        <w:rPr>
          <w:rFonts w:ascii="Aptos" w:eastAsia="Times New Roman" w:hAnsi="Aptos" w:cs="Times New Roman"/>
          <w:kern w:val="0"/>
          <w:sz w:val="22"/>
          <w:szCs w:val="22"/>
          <w:lang w:eastAsia="en-GB"/>
          <w14:ligatures w14:val="none"/>
        </w:rPr>
        <w:t xml:space="preserve"> 0.3-0.6 in DM, higher for time deposits, lower for transaction accounts.</w:t>
      </w:r>
    </w:p>
    <w:p w14:paraId="7CDBED1C" w14:textId="77777777" w:rsidR="0032251D" w:rsidRPr="0032251D" w:rsidRDefault="0032251D">
      <w:pPr>
        <w:numPr>
          <w:ilvl w:val="0"/>
          <w:numId w:val="5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Loan beta</w:t>
      </w:r>
      <w:r w:rsidRPr="0032251D">
        <w:rPr>
          <w:rFonts w:ascii="Aptos" w:eastAsia="Times New Roman" w:hAnsi="Aptos" w:cs="Times New Roman"/>
          <w:kern w:val="0"/>
          <w:sz w:val="22"/>
          <w:szCs w:val="22"/>
          <w:lang w:eastAsia="en-GB"/>
          <w14:ligatures w14:val="none"/>
        </w:rPr>
        <w:t xml:space="preserve">: ∆loan rate / ∆policy rate. </w:t>
      </w:r>
      <w:proofErr w:type="gramStart"/>
      <w:r w:rsidRPr="0032251D">
        <w:rPr>
          <w:rFonts w:ascii="Aptos" w:eastAsia="Times New Roman" w:hAnsi="Aptos" w:cs="Times New Roman"/>
          <w:kern w:val="0"/>
          <w:sz w:val="22"/>
          <w:szCs w:val="22"/>
          <w:lang w:eastAsia="en-GB"/>
          <w14:ligatures w14:val="none"/>
        </w:rPr>
        <w:t>Typically</w:t>
      </w:r>
      <w:proofErr w:type="gramEnd"/>
      <w:r w:rsidRPr="0032251D">
        <w:rPr>
          <w:rFonts w:ascii="Aptos" w:eastAsia="Times New Roman" w:hAnsi="Aptos" w:cs="Times New Roman"/>
          <w:kern w:val="0"/>
          <w:sz w:val="22"/>
          <w:szCs w:val="22"/>
          <w:lang w:eastAsia="en-GB"/>
          <w14:ligatures w14:val="none"/>
        </w:rPr>
        <w:t xml:space="preserve"> 0.7-0.9 for floating-rate loans.</w:t>
      </w:r>
    </w:p>
    <w:p w14:paraId="1C2436FF" w14:textId="77777777" w:rsidR="0032251D" w:rsidRPr="0032251D" w:rsidRDefault="0032251D">
      <w:pPr>
        <w:numPr>
          <w:ilvl w:val="0"/>
          <w:numId w:val="5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Pass-through coefficient</w:t>
      </w:r>
      <w:r w:rsidRPr="0032251D">
        <w:rPr>
          <w:rFonts w:ascii="Aptos" w:eastAsia="Times New Roman" w:hAnsi="Aptos" w:cs="Times New Roman"/>
          <w:kern w:val="0"/>
          <w:sz w:val="22"/>
          <w:szCs w:val="22"/>
          <w:lang w:eastAsia="en-GB"/>
          <w14:ligatures w14:val="none"/>
        </w:rPr>
        <w:t>: aggregate transmission to bank-customer rates.</w:t>
      </w:r>
    </w:p>
    <w:p w14:paraId="345E96C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ALM metrics.</w:t>
      </w:r>
    </w:p>
    <w:p w14:paraId="2BCBF8DC" w14:textId="77777777" w:rsidR="0032251D" w:rsidRPr="0032251D" w:rsidRDefault="0032251D">
      <w:pPr>
        <w:numPr>
          <w:ilvl w:val="0"/>
          <w:numId w:val="5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Duration gap</w:t>
      </w:r>
      <w:r w:rsidRPr="0032251D">
        <w:rPr>
          <w:rFonts w:ascii="Aptos" w:eastAsia="Times New Roman" w:hAnsi="Aptos" w:cs="Times New Roman"/>
          <w:kern w:val="0"/>
          <w:sz w:val="22"/>
          <w:szCs w:val="22"/>
          <w:lang w:eastAsia="en-GB"/>
          <w14:ligatures w14:val="none"/>
        </w:rPr>
        <w:t>: weighted-average duration of assets minus liabilities.</w:t>
      </w:r>
    </w:p>
    <w:p w14:paraId="4B16E737" w14:textId="77777777" w:rsidR="0032251D" w:rsidRPr="0032251D" w:rsidRDefault="0032251D">
      <w:pPr>
        <w:numPr>
          <w:ilvl w:val="0"/>
          <w:numId w:val="5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lastRenderedPageBreak/>
        <w:t>Repricing gap by time bucket</w:t>
      </w:r>
      <w:r w:rsidRPr="0032251D">
        <w:rPr>
          <w:rFonts w:ascii="Aptos" w:eastAsia="Times New Roman" w:hAnsi="Aptos" w:cs="Times New Roman"/>
          <w:kern w:val="0"/>
          <w:sz w:val="22"/>
          <w:szCs w:val="22"/>
          <w:lang w:eastAsia="en-GB"/>
          <w14:ligatures w14:val="none"/>
        </w:rPr>
        <w:t xml:space="preserve">: assets repricing in [t, </w:t>
      </w:r>
      <w:proofErr w:type="spellStart"/>
      <w:r w:rsidRPr="0032251D">
        <w:rPr>
          <w:rFonts w:ascii="Aptos" w:eastAsia="Times New Roman" w:hAnsi="Aptos" w:cs="Times New Roman"/>
          <w:kern w:val="0"/>
          <w:sz w:val="22"/>
          <w:szCs w:val="22"/>
          <w:lang w:eastAsia="en-GB"/>
          <w14:ligatures w14:val="none"/>
        </w:rPr>
        <w:t>t+Δ</w:t>
      </w:r>
      <w:proofErr w:type="spellEnd"/>
      <w:r w:rsidRPr="0032251D">
        <w:rPr>
          <w:rFonts w:ascii="Aptos" w:eastAsia="Times New Roman" w:hAnsi="Aptos" w:cs="Times New Roman"/>
          <w:kern w:val="0"/>
          <w:sz w:val="22"/>
          <w:szCs w:val="22"/>
          <w:lang w:eastAsia="en-GB"/>
          <w14:ligatures w14:val="none"/>
        </w:rPr>
        <w:t>] minus liabilities repricing in same window.</w:t>
      </w:r>
    </w:p>
    <w:p w14:paraId="48B0F3E9" w14:textId="77777777" w:rsidR="0032251D" w:rsidRPr="0032251D" w:rsidRDefault="0032251D">
      <w:pPr>
        <w:numPr>
          <w:ilvl w:val="0"/>
          <w:numId w:val="5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Earnings sensitivity (NII)</w:t>
      </w:r>
      <w:r w:rsidRPr="0032251D">
        <w:rPr>
          <w:rFonts w:ascii="Aptos" w:eastAsia="Times New Roman" w:hAnsi="Aptos" w:cs="Times New Roman"/>
          <w:kern w:val="0"/>
          <w:sz w:val="22"/>
          <w:szCs w:val="22"/>
          <w:lang w:eastAsia="en-GB"/>
          <w14:ligatures w14:val="none"/>
        </w:rPr>
        <w:t>: net interest income impact of a parallel 100bp rate shock.</w:t>
      </w:r>
    </w:p>
    <w:p w14:paraId="4789FDB2" w14:textId="77777777" w:rsidR="0032251D" w:rsidRPr="0032251D" w:rsidRDefault="0032251D">
      <w:pPr>
        <w:numPr>
          <w:ilvl w:val="0"/>
          <w:numId w:val="5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Economic value of equity (EVE) sensitivity</w:t>
      </w:r>
      <w:r w:rsidRPr="0032251D">
        <w:rPr>
          <w:rFonts w:ascii="Aptos" w:eastAsia="Times New Roman" w:hAnsi="Aptos" w:cs="Times New Roman"/>
          <w:kern w:val="0"/>
          <w:sz w:val="22"/>
          <w:szCs w:val="22"/>
          <w:lang w:eastAsia="en-GB"/>
          <w14:ligatures w14:val="none"/>
        </w:rPr>
        <w:t>: balance sheet PV impact of rate shocks.</w:t>
      </w:r>
    </w:p>
    <w:p w14:paraId="13D67D85"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Credit quality.</w:t>
      </w:r>
    </w:p>
    <w:p w14:paraId="269A015A" w14:textId="77777777" w:rsidR="0032251D" w:rsidRPr="0032251D" w:rsidRDefault="0032251D">
      <w:pPr>
        <w:numPr>
          <w:ilvl w:val="0"/>
          <w:numId w:val="5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NPL ratio</w:t>
      </w:r>
      <w:r w:rsidRPr="0032251D">
        <w:rPr>
          <w:rFonts w:ascii="Aptos" w:eastAsia="Times New Roman" w:hAnsi="Aptos" w:cs="Times New Roman"/>
          <w:kern w:val="0"/>
          <w:sz w:val="22"/>
          <w:szCs w:val="22"/>
          <w:lang w:eastAsia="en-GB"/>
          <w14:ligatures w14:val="none"/>
        </w:rPr>
        <w:t>: non-performing loans / total loans.</w:t>
      </w:r>
    </w:p>
    <w:p w14:paraId="7D32AFB6" w14:textId="77777777" w:rsidR="0032251D" w:rsidRPr="0032251D" w:rsidRDefault="0032251D">
      <w:pPr>
        <w:numPr>
          <w:ilvl w:val="0"/>
          <w:numId w:val="5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Coverage ratio</w:t>
      </w:r>
      <w:r w:rsidRPr="0032251D">
        <w:rPr>
          <w:rFonts w:ascii="Aptos" w:eastAsia="Times New Roman" w:hAnsi="Aptos" w:cs="Times New Roman"/>
          <w:kern w:val="0"/>
          <w:sz w:val="22"/>
          <w:szCs w:val="22"/>
          <w:lang w:eastAsia="en-GB"/>
          <w14:ligatures w14:val="none"/>
        </w:rPr>
        <w:t>: loan loss reserves / NPLs.</w:t>
      </w:r>
    </w:p>
    <w:p w14:paraId="1C8BC70A" w14:textId="77777777" w:rsidR="0032251D" w:rsidRPr="0032251D" w:rsidRDefault="0032251D">
      <w:pPr>
        <w:numPr>
          <w:ilvl w:val="0"/>
          <w:numId w:val="5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Provision rates</w:t>
      </w:r>
      <w:r w:rsidRPr="0032251D">
        <w:rPr>
          <w:rFonts w:ascii="Aptos" w:eastAsia="Times New Roman" w:hAnsi="Aptos" w:cs="Times New Roman"/>
          <w:kern w:val="0"/>
          <w:sz w:val="22"/>
          <w:szCs w:val="22"/>
          <w:lang w:eastAsia="en-GB"/>
          <w14:ligatures w14:val="none"/>
        </w:rPr>
        <w:t>: forward-looking expected credit loss under IFRS 9 / CECL.</w:t>
      </w:r>
    </w:p>
    <w:p w14:paraId="395F901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combination of these five families produces a multi-dimensional bank state vector. Aggregate metrics can be sound while specific dimensions deteriorate — the SVB collapse exemplified this: adequate CET1, deteriorating LCR, large unrealised HTM losses, deposit flight all proceeding under apparently healthy headline ratios.</w:t>
      </w:r>
    </w:p>
    <w:p w14:paraId="2227AACF"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4BDA2FC3">
          <v:rect id="_x0000_i1090" alt="" style="width:451.3pt;height:.05pt;mso-width-percent:0;mso-height-percent:0;mso-width-percent:0;mso-height-percent:0" o:hralign="center" o:hrstd="t" o:hr="t" fillcolor="#a0a0a0" stroked="f"/>
        </w:pict>
      </w:r>
    </w:p>
    <w:p w14:paraId="66D0829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Why this matters for asset prices</w:t>
      </w:r>
    </w:p>
    <w:p w14:paraId="682FC2C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Banks affect asset prices through five primary channels.</w:t>
      </w:r>
    </w:p>
    <w:p w14:paraId="0B51701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Direct: bank equity prices.</w:t>
      </w:r>
      <w:r w:rsidRPr="0032251D">
        <w:rPr>
          <w:rFonts w:ascii="Aptos" w:eastAsia="Times New Roman" w:hAnsi="Aptos" w:cs="Times New Roman"/>
          <w:kern w:val="0"/>
          <w:sz w:val="22"/>
          <w:szCs w:val="22"/>
          <w:lang w:eastAsia="en-GB"/>
          <w14:ligatures w14:val="none"/>
        </w:rPr>
        <w:t xml:space="preserve"> Bank stocks respond to capital, liquidity, credit quality, and rate transmission jointly. Major sector with significant index weight in most economies (especially Europe and Japan). Bank equity is a credit-cycle bet </w:t>
      </w:r>
      <w:r w:rsidRPr="0032251D">
        <w:rPr>
          <w:rFonts w:ascii="Aptos" w:eastAsia="Times New Roman" w:hAnsi="Aptos" w:cs="Times New Roman"/>
          <w:i/>
          <w:iCs/>
          <w:kern w:val="0"/>
          <w:sz w:val="22"/>
          <w:szCs w:val="22"/>
          <w:lang w:eastAsia="en-GB"/>
          <w14:ligatures w14:val="none"/>
        </w:rPr>
        <w:t>and</w:t>
      </w:r>
      <w:r w:rsidRPr="0032251D">
        <w:rPr>
          <w:rFonts w:ascii="Aptos" w:eastAsia="Times New Roman" w:hAnsi="Aptos" w:cs="Times New Roman"/>
          <w:kern w:val="0"/>
          <w:sz w:val="22"/>
          <w:szCs w:val="22"/>
          <w:lang w:eastAsia="en-GB"/>
          <w14:ligatures w14:val="none"/>
        </w:rPr>
        <w:t xml:space="preserve"> </w:t>
      </w:r>
      <w:proofErr w:type="gramStart"/>
      <w:r w:rsidRPr="0032251D">
        <w:rPr>
          <w:rFonts w:ascii="Aptos" w:eastAsia="Times New Roman" w:hAnsi="Aptos" w:cs="Times New Roman"/>
          <w:kern w:val="0"/>
          <w:sz w:val="22"/>
          <w:szCs w:val="22"/>
          <w:lang w:eastAsia="en-GB"/>
          <w14:ligatures w14:val="none"/>
        </w:rPr>
        <w:t>a rates</w:t>
      </w:r>
      <w:proofErr w:type="gramEnd"/>
      <w:r w:rsidRPr="0032251D">
        <w:rPr>
          <w:rFonts w:ascii="Aptos" w:eastAsia="Times New Roman" w:hAnsi="Aptos" w:cs="Times New Roman"/>
          <w:kern w:val="0"/>
          <w:sz w:val="22"/>
          <w:szCs w:val="22"/>
          <w:lang w:eastAsia="en-GB"/>
          <w14:ligatures w14:val="none"/>
        </w:rPr>
        <w:t xml:space="preserve"> bet — the interaction matters.</w:t>
      </w:r>
    </w:p>
    <w:p w14:paraId="4E46FE7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Credit spreads.</w:t>
      </w:r>
      <w:r w:rsidRPr="0032251D">
        <w:rPr>
          <w:rFonts w:ascii="Aptos" w:eastAsia="Times New Roman" w:hAnsi="Aptos" w:cs="Times New Roman"/>
          <w:kern w:val="0"/>
          <w:sz w:val="22"/>
          <w:szCs w:val="22"/>
          <w:lang w:eastAsia="en-GB"/>
          <w14:ligatures w14:val="none"/>
        </w:rPr>
        <w:t xml:space="preserve"> Bank credit spreads (senior unsecured, subordinated, Tier 2, AT1) move with bank stress and dominate large portions of investment-grade indices. AT1 instruments (CoCos) embed conversion risk that prices nonlinearly under stress.</w:t>
      </w:r>
    </w:p>
    <w:p w14:paraId="149D3E0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Loan supply transmission.</w:t>
      </w:r>
      <w:r w:rsidRPr="0032251D">
        <w:rPr>
          <w:rFonts w:ascii="Aptos" w:eastAsia="Times New Roman" w:hAnsi="Aptos" w:cs="Times New Roman"/>
          <w:kern w:val="0"/>
          <w:sz w:val="22"/>
          <w:szCs w:val="22"/>
          <w:lang w:eastAsia="en-GB"/>
          <w14:ligatures w14:val="none"/>
        </w:rPr>
        <w:t xml:space="preserve"> Bank lending capacity determines real-economy borrowing costs and availability. Tightening of bank lending standards (measured by senior loan officer surveys) precedes economic slowdowns by 2-4 quarters with reasonable reliability.</w:t>
      </w:r>
    </w:p>
    <w:p w14:paraId="6F62473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Deposit franchise value.</w:t>
      </w:r>
      <w:r w:rsidRPr="0032251D">
        <w:rPr>
          <w:rFonts w:ascii="Aptos" w:eastAsia="Times New Roman" w:hAnsi="Aptos" w:cs="Times New Roman"/>
          <w:kern w:val="0"/>
          <w:sz w:val="22"/>
          <w:szCs w:val="22"/>
          <w:lang w:eastAsia="en-GB"/>
          <w14:ligatures w14:val="none"/>
        </w:rPr>
        <w:t xml:space="preserve"> In high-rate regimes, the deposit franchise expands NIM. Bank earnings rise; equity multiples can either expand (good earnings stability) or contract (concern about deposit flight and duration risk). The post-2022 environment showed both — initial multiple expansion as NIM lifted, then sharp re-pricing on SVB.</w:t>
      </w:r>
    </w:p>
    <w:p w14:paraId="2854238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Sovereign-bank loop in EM.</w:t>
      </w:r>
      <w:r w:rsidRPr="0032251D">
        <w:rPr>
          <w:rFonts w:ascii="Aptos" w:eastAsia="Times New Roman" w:hAnsi="Aptos" w:cs="Times New Roman"/>
          <w:kern w:val="0"/>
          <w:sz w:val="22"/>
          <w:szCs w:val="22"/>
          <w:lang w:eastAsia="en-GB"/>
          <w14:ligatures w14:val="none"/>
        </w:rPr>
        <w:t xml:space="preserve"> Bank holdings of sovereign debt create feedback. EM banks holding domestic sovereign bonds are levered to sovereign credit. Bank stress propagates to sovereign and vice versa. For SA, the Big Four hold meaningful SAGB positions; sovereign repricing flows directly to bank book values.</w:t>
      </w:r>
    </w:p>
    <w:p w14:paraId="3EE33A8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For investment managers three practitioner points dominate. First, bank equity is a </w:t>
      </w:r>
      <w:r w:rsidRPr="0032251D">
        <w:rPr>
          <w:rFonts w:ascii="Aptos" w:eastAsia="Times New Roman" w:hAnsi="Aptos" w:cs="Times New Roman"/>
          <w:i/>
          <w:iCs/>
          <w:kern w:val="0"/>
          <w:sz w:val="22"/>
          <w:szCs w:val="22"/>
          <w:lang w:eastAsia="en-GB"/>
          <w14:ligatures w14:val="none"/>
        </w:rPr>
        <w:t xml:space="preserve">credit-cycle bet, not just </w:t>
      </w:r>
      <w:proofErr w:type="gramStart"/>
      <w:r w:rsidRPr="0032251D">
        <w:rPr>
          <w:rFonts w:ascii="Aptos" w:eastAsia="Times New Roman" w:hAnsi="Aptos" w:cs="Times New Roman"/>
          <w:i/>
          <w:iCs/>
          <w:kern w:val="0"/>
          <w:sz w:val="22"/>
          <w:szCs w:val="22"/>
          <w:lang w:eastAsia="en-GB"/>
          <w14:ligatures w14:val="none"/>
        </w:rPr>
        <w:t>a rates</w:t>
      </w:r>
      <w:proofErr w:type="gramEnd"/>
      <w:r w:rsidRPr="0032251D">
        <w:rPr>
          <w:rFonts w:ascii="Aptos" w:eastAsia="Times New Roman" w:hAnsi="Aptos" w:cs="Times New Roman"/>
          <w:i/>
          <w:iCs/>
          <w:kern w:val="0"/>
          <w:sz w:val="22"/>
          <w:szCs w:val="22"/>
          <w:lang w:eastAsia="en-GB"/>
          <w14:ligatures w14:val="none"/>
        </w:rPr>
        <w:t xml:space="preserve"> bet</w:t>
      </w:r>
      <w:r w:rsidRPr="0032251D">
        <w:rPr>
          <w:rFonts w:ascii="Aptos" w:eastAsia="Times New Roman" w:hAnsi="Aptos" w:cs="Times New Roman"/>
          <w:kern w:val="0"/>
          <w:sz w:val="22"/>
          <w:szCs w:val="22"/>
          <w:lang w:eastAsia="en-GB"/>
          <w14:ligatures w14:val="none"/>
        </w:rPr>
        <w:t xml:space="preserve"> — hikes raise NIM short-term; sustained hikes ultimately impair credit quality and erode equity. Position management requires reading both phases. Second, pass-through is forward-looking and asymmetric — banks pass through hikes faster than cuts. The asymmetry creates predictable timing patterns for credit allocation. Third, duration risk in bank books is often under-disclosed — HTM accounting masks unrealised losses. The SVB episode showed markets can punish HTM losses when liquidity stress forces realisation.</w:t>
      </w:r>
    </w:p>
    <w:p w14:paraId="2E48E9AB"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lastRenderedPageBreak/>
        <w:pict w14:anchorId="0A5E0AB1">
          <v:rect id="_x0000_i1091" alt="" style="width:451.3pt;height:.05pt;mso-width-percent:0;mso-height-percent:0;mso-width-percent:0;mso-height-percent:0" o:hralign="center" o:hrstd="t" o:hr="t" fillcolor="#a0a0a0" stroked="f"/>
        </w:pict>
      </w:r>
    </w:p>
    <w:p w14:paraId="3E39076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Regime and EM variation</w:t>
      </w:r>
    </w:p>
    <w:p w14:paraId="2CDEFDA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EM banks differ from DM banks in seven structural ways.</w:t>
      </w:r>
    </w:p>
    <w:p w14:paraId="01B5985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Concentration.</w:t>
      </w:r>
      <w:r w:rsidRPr="0032251D">
        <w:rPr>
          <w:rFonts w:ascii="Aptos" w:eastAsia="Times New Roman" w:hAnsi="Aptos" w:cs="Times New Roman"/>
          <w:kern w:val="0"/>
          <w:sz w:val="22"/>
          <w:szCs w:val="22"/>
          <w:lang w:eastAsia="en-GB"/>
          <w14:ligatures w14:val="none"/>
        </w:rPr>
        <w:t xml:space="preserve"> EM banking systems are typically more concentrated. SA has the "Big Four" (Standard Bank, FirstRand, Absa, Nedbank) plus Capitec. Brazil: Itaú, Bradesco, Banco do </w:t>
      </w:r>
      <w:proofErr w:type="spellStart"/>
      <w:r w:rsidRPr="0032251D">
        <w:rPr>
          <w:rFonts w:ascii="Aptos" w:eastAsia="Times New Roman" w:hAnsi="Aptos" w:cs="Times New Roman"/>
          <w:kern w:val="0"/>
          <w:sz w:val="22"/>
          <w:szCs w:val="22"/>
          <w:lang w:eastAsia="en-GB"/>
          <w14:ligatures w14:val="none"/>
        </w:rPr>
        <w:t>Brasil</w:t>
      </w:r>
      <w:proofErr w:type="spellEnd"/>
      <w:r w:rsidRPr="0032251D">
        <w:rPr>
          <w:rFonts w:ascii="Aptos" w:eastAsia="Times New Roman" w:hAnsi="Aptos" w:cs="Times New Roman"/>
          <w:kern w:val="0"/>
          <w:sz w:val="22"/>
          <w:szCs w:val="22"/>
          <w:lang w:eastAsia="en-GB"/>
          <w14:ligatures w14:val="none"/>
        </w:rPr>
        <w:t xml:space="preserve">, Santander. India: SBI plus a handful of private banks. Concentration matters for transmission — fewer banks </w:t>
      </w:r>
      <w:proofErr w:type="gramStart"/>
      <w:r w:rsidRPr="0032251D">
        <w:rPr>
          <w:rFonts w:ascii="Aptos" w:eastAsia="Times New Roman" w:hAnsi="Aptos" w:cs="Times New Roman"/>
          <w:kern w:val="0"/>
          <w:sz w:val="22"/>
          <w:szCs w:val="22"/>
          <w:lang w:eastAsia="en-GB"/>
          <w14:ligatures w14:val="none"/>
        </w:rPr>
        <w:t>means</w:t>
      </w:r>
      <w:proofErr w:type="gramEnd"/>
      <w:r w:rsidRPr="0032251D">
        <w:rPr>
          <w:rFonts w:ascii="Aptos" w:eastAsia="Times New Roman" w:hAnsi="Aptos" w:cs="Times New Roman"/>
          <w:kern w:val="0"/>
          <w:sz w:val="22"/>
          <w:szCs w:val="22"/>
          <w:lang w:eastAsia="en-GB"/>
          <w14:ligatures w14:val="none"/>
        </w:rPr>
        <w:t xml:space="preserve"> policy moves are mediated through fewer balance sheets, and idiosyncratic bank issues become systemic faster.</w:t>
      </w:r>
    </w:p>
    <w:p w14:paraId="2EA2A6B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Sovereign exposure.</w:t>
      </w:r>
      <w:r w:rsidRPr="0032251D">
        <w:rPr>
          <w:rFonts w:ascii="Aptos" w:eastAsia="Times New Roman" w:hAnsi="Aptos" w:cs="Times New Roman"/>
          <w:kern w:val="0"/>
          <w:sz w:val="22"/>
          <w:szCs w:val="22"/>
          <w:lang w:eastAsia="en-GB"/>
          <w14:ligatures w14:val="none"/>
        </w:rPr>
        <w:t xml:space="preserve"> EM banks hold larger sovereign debt portfolios as percentage of assets. SA's Big Four hold roughly 5-10% of total assets in sovereign bonds; in some Latin American countries this rises to 20%+. The sovereign-bank loop is structurally tighter than in DM.</w:t>
      </w:r>
    </w:p>
    <w:p w14:paraId="30E365A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Currency mismatch.</w:t>
      </w:r>
      <w:r w:rsidRPr="0032251D">
        <w:rPr>
          <w:rFonts w:ascii="Aptos" w:eastAsia="Times New Roman" w:hAnsi="Aptos" w:cs="Times New Roman"/>
          <w:kern w:val="0"/>
          <w:sz w:val="22"/>
          <w:szCs w:val="22"/>
          <w:lang w:eastAsia="en-GB"/>
          <w14:ligatures w14:val="none"/>
        </w:rPr>
        <w:t xml:space="preserve"> EM </w:t>
      </w:r>
      <w:proofErr w:type="spellStart"/>
      <w:r w:rsidRPr="0032251D">
        <w:rPr>
          <w:rFonts w:ascii="Aptos" w:eastAsia="Times New Roman" w:hAnsi="Aptos" w:cs="Times New Roman"/>
          <w:kern w:val="0"/>
          <w:sz w:val="22"/>
          <w:szCs w:val="22"/>
          <w:lang w:eastAsia="en-GB"/>
          <w14:ligatures w14:val="none"/>
        </w:rPr>
        <w:t>banks</w:t>
      </w:r>
      <w:proofErr w:type="spellEnd"/>
      <w:r w:rsidRPr="0032251D">
        <w:rPr>
          <w:rFonts w:ascii="Aptos" w:eastAsia="Times New Roman" w:hAnsi="Aptos" w:cs="Times New Roman"/>
          <w:kern w:val="0"/>
          <w:sz w:val="22"/>
          <w:szCs w:val="22"/>
          <w:lang w:eastAsia="en-GB"/>
          <w14:ligatures w14:val="none"/>
        </w:rPr>
        <w:t xml:space="preserve"> lending in foreign currency to domestic borrowers create </w:t>
      </w:r>
      <w:r w:rsidRPr="0032251D">
        <w:rPr>
          <w:rFonts w:ascii="Aptos" w:eastAsia="Times New Roman" w:hAnsi="Aptos" w:cs="Times New Roman"/>
          <w:i/>
          <w:iCs/>
          <w:kern w:val="0"/>
          <w:sz w:val="22"/>
          <w:szCs w:val="22"/>
          <w:lang w:eastAsia="en-GB"/>
          <w14:ligatures w14:val="none"/>
        </w:rPr>
        <w:t>indirect</w:t>
      </w:r>
      <w:r w:rsidRPr="0032251D">
        <w:rPr>
          <w:rFonts w:ascii="Aptos" w:eastAsia="Times New Roman" w:hAnsi="Aptos" w:cs="Times New Roman"/>
          <w:kern w:val="0"/>
          <w:sz w:val="22"/>
          <w:szCs w:val="22"/>
          <w:lang w:eastAsia="en-GB"/>
          <w14:ligatures w14:val="none"/>
        </w:rPr>
        <w:t xml:space="preserve"> FX exposure on bank balance sheets — FX depreciation causes borrower default, which causes bank losses. The Asian crisis (1997-98) was largely a currency mismatch event. Modern EM banking regulation has reduced this exposure significantly, but it remains a binding constraint on FX lending.</w:t>
      </w:r>
    </w:p>
    <w:p w14:paraId="1EC04D2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Deposit insurance asymmetry.</w:t>
      </w:r>
      <w:r w:rsidRPr="0032251D">
        <w:rPr>
          <w:rFonts w:ascii="Aptos" w:eastAsia="Times New Roman" w:hAnsi="Aptos" w:cs="Times New Roman"/>
          <w:kern w:val="0"/>
          <w:sz w:val="22"/>
          <w:szCs w:val="22"/>
          <w:lang w:eastAsia="en-GB"/>
          <w14:ligatures w14:val="none"/>
        </w:rPr>
        <w:t xml:space="preserve"> DM banks have deep, well-funded deposit insurance (FDIC, FSCS). EM deposit insurance can be limited or under-funded. The implicit sovereign backstop is more salient and more </w:t>
      </w:r>
      <w:proofErr w:type="gramStart"/>
      <w:r w:rsidRPr="0032251D">
        <w:rPr>
          <w:rFonts w:ascii="Aptos" w:eastAsia="Times New Roman" w:hAnsi="Aptos" w:cs="Times New Roman"/>
          <w:kern w:val="0"/>
          <w:sz w:val="22"/>
          <w:szCs w:val="22"/>
          <w:lang w:eastAsia="en-GB"/>
          <w14:ligatures w14:val="none"/>
        </w:rPr>
        <w:t>state-contingent</w:t>
      </w:r>
      <w:proofErr w:type="gramEnd"/>
      <w:r w:rsidRPr="0032251D">
        <w:rPr>
          <w:rFonts w:ascii="Aptos" w:eastAsia="Times New Roman" w:hAnsi="Aptos" w:cs="Times New Roman"/>
          <w:kern w:val="0"/>
          <w:sz w:val="22"/>
          <w:szCs w:val="22"/>
          <w:lang w:eastAsia="en-GB"/>
          <w14:ligatures w14:val="none"/>
        </w:rPr>
        <w:t>.</w:t>
      </w:r>
    </w:p>
    <w:p w14:paraId="525BB61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Reserve requirement role.</w:t>
      </w:r>
      <w:r w:rsidRPr="0032251D">
        <w:rPr>
          <w:rFonts w:ascii="Aptos" w:eastAsia="Times New Roman" w:hAnsi="Aptos" w:cs="Times New Roman"/>
          <w:kern w:val="0"/>
          <w:sz w:val="22"/>
          <w:szCs w:val="22"/>
          <w:lang w:eastAsia="en-GB"/>
          <w14:ligatures w14:val="none"/>
        </w:rPr>
        <w:t xml:space="preserve"> EM banks face larger and more variable reserve requirements (Brazil, Mexico, India), which interact with monetary policy in ways DM banks do not. RR changes are themselves a monetary instrument in some EMs.</w:t>
      </w:r>
    </w:p>
    <w:p w14:paraId="2364842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Wholesale funding markets.</w:t>
      </w:r>
      <w:r w:rsidRPr="0032251D">
        <w:rPr>
          <w:rFonts w:ascii="Aptos" w:eastAsia="Times New Roman" w:hAnsi="Aptos" w:cs="Times New Roman"/>
          <w:kern w:val="0"/>
          <w:sz w:val="22"/>
          <w:szCs w:val="22"/>
          <w:lang w:eastAsia="en-GB"/>
          <w14:ligatures w14:val="none"/>
        </w:rPr>
        <w:t xml:space="preserve"> EM banks rely more on deposits and less on wholesale issuance. This reduces some risks (no securitisation cliff) but concentrates dependence on the deposit franchise.</w:t>
      </w:r>
    </w:p>
    <w:p w14:paraId="622F1ED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Foreign ownership.</w:t>
      </w:r>
      <w:r w:rsidRPr="0032251D">
        <w:rPr>
          <w:rFonts w:ascii="Aptos" w:eastAsia="Times New Roman" w:hAnsi="Aptos" w:cs="Times New Roman"/>
          <w:kern w:val="0"/>
          <w:sz w:val="22"/>
          <w:szCs w:val="22"/>
          <w:lang w:eastAsia="en-GB"/>
          <w14:ligatures w14:val="none"/>
        </w:rPr>
        <w:t xml:space="preserve"> Many EM banks are partly owned by DM banking groups (Spanish banks in Latin America, Korean and Chinese banks expanding into Asia). This creates cross-border transmission channels — when DM parents tighten, EM subsidiaries follow.</w:t>
      </w:r>
    </w:p>
    <w:p w14:paraId="44BFFBC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SA specifically.</w:t>
      </w:r>
      <w:r w:rsidRPr="0032251D">
        <w:rPr>
          <w:rFonts w:ascii="Aptos" w:eastAsia="Times New Roman" w:hAnsi="Aptos" w:cs="Times New Roman"/>
          <w:kern w:val="0"/>
          <w:sz w:val="22"/>
          <w:szCs w:val="22"/>
          <w:lang w:eastAsia="en-GB"/>
          <w14:ligatures w14:val="none"/>
        </w:rPr>
        <w:t xml:space="preserve"> Big Four banks plus Capitec dominate the sector; all Basel III implemented; SARB is the prudential regulator (Prudential Authority within SARB since 2018). CET1 ratios typically 11-14%, NSFR &gt; 100%, LCR &gt; 100% across the sector. Sovereign exposure significant — Big Four collectively hold a meaningful share of the SAGB market. ALM management is sophisticated; SA banks have generally avoided major ALM-driven crises. The 2020 stress test (SARB Common Scenario) showed adequate buffers under severe stress. Deposit beta estimated around 0.4-0.6 for retail deposits. SA banks do </w:t>
      </w:r>
      <w:r w:rsidRPr="0032251D">
        <w:rPr>
          <w:rFonts w:ascii="Aptos" w:eastAsia="Times New Roman" w:hAnsi="Aptos" w:cs="Times New Roman"/>
          <w:i/>
          <w:iCs/>
          <w:kern w:val="0"/>
          <w:sz w:val="22"/>
          <w:szCs w:val="22"/>
          <w:lang w:eastAsia="en-GB"/>
          <w14:ligatures w14:val="none"/>
        </w:rPr>
        <w:t>not</w:t>
      </w:r>
      <w:r w:rsidRPr="0032251D">
        <w:rPr>
          <w:rFonts w:ascii="Aptos" w:eastAsia="Times New Roman" w:hAnsi="Aptos" w:cs="Times New Roman"/>
          <w:kern w:val="0"/>
          <w:sz w:val="22"/>
          <w:szCs w:val="22"/>
          <w:lang w:eastAsia="en-GB"/>
          <w14:ligatures w14:val="none"/>
        </w:rPr>
        <w:t xml:space="preserve"> have significant USD funding mismatch (unlike Turkey or pre-2008 Hungary) — a structural strength relative to other EMs. Sovereign-bank loop is moderate — high enough to create amplification, low enough to avoid acute doom loop in normal regimes.</w:t>
      </w:r>
    </w:p>
    <w:p w14:paraId="142B9016"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2166C66A">
          <v:rect id="_x0000_i1092" alt="" style="width:451.3pt;height:.05pt;mso-width-percent:0;mso-height-percent:0;mso-width-percent:0;mso-height-percent:0" o:hralign="center" o:hrstd="t" o:hr="t" fillcolor="#a0a0a0" stroked="f"/>
        </w:pict>
      </w:r>
    </w:p>
    <w:p w14:paraId="664360B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lastRenderedPageBreak/>
        <w:t>Sub-node: Empirical pitfalls</w:t>
      </w:r>
    </w:p>
    <w:p w14:paraId="41E1A285"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Risk-weight methodology variation.</w:t>
      </w:r>
      <w:r w:rsidRPr="0032251D">
        <w:rPr>
          <w:rFonts w:ascii="Aptos" w:eastAsia="Times New Roman" w:hAnsi="Aptos" w:cs="Times New Roman"/>
          <w:kern w:val="0"/>
          <w:sz w:val="22"/>
          <w:szCs w:val="22"/>
          <w:lang w:eastAsia="en-GB"/>
          <w14:ligatures w14:val="none"/>
        </w:rPr>
        <w:t xml:space="preserve"> Banks using internal ratings-based (IRB) approaches calculate RWAs differently from standardised banks. Same economic exposure can produce very different RWA results. Cross-bank CET1 comparisons are therefore imperfect. The Basel "output floor" (in effect from 2025) constrains this divergence but does not eliminate it.</w:t>
      </w:r>
    </w:p>
    <w:p w14:paraId="0824ACF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HTM vs AFS accounting.</w:t>
      </w:r>
      <w:r w:rsidRPr="0032251D">
        <w:rPr>
          <w:rFonts w:ascii="Aptos" w:eastAsia="Times New Roman" w:hAnsi="Aptos" w:cs="Times New Roman"/>
          <w:kern w:val="0"/>
          <w:sz w:val="22"/>
          <w:szCs w:val="22"/>
          <w:lang w:eastAsia="en-GB"/>
          <w14:ligatures w14:val="none"/>
        </w:rPr>
        <w:t xml:space="preserve"> Held-to-maturity assets are reported at amortised cost; available-for-sale at fair value. Unrealised losses on HTM can be material and unreported on the income statement. The SVB collapse turned on exactly this — large HTM unrealised losses became realised when liquidity stress forced asset sales.</w:t>
      </w:r>
    </w:p>
    <w:p w14:paraId="020B979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Off-balance-sheet exposures.</w:t>
      </w:r>
      <w:r w:rsidRPr="0032251D">
        <w:rPr>
          <w:rFonts w:ascii="Aptos" w:eastAsia="Times New Roman" w:hAnsi="Aptos" w:cs="Times New Roman"/>
          <w:kern w:val="0"/>
          <w:sz w:val="22"/>
          <w:szCs w:val="22"/>
          <w:lang w:eastAsia="en-GB"/>
          <w14:ligatures w14:val="none"/>
        </w:rPr>
        <w:t xml:space="preserve"> Banks have significant off-balance-sheet positions (loan commitments, derivative </w:t>
      </w:r>
      <w:proofErr w:type="spellStart"/>
      <w:r w:rsidRPr="0032251D">
        <w:rPr>
          <w:rFonts w:ascii="Aptos" w:eastAsia="Times New Roman" w:hAnsi="Aptos" w:cs="Times New Roman"/>
          <w:kern w:val="0"/>
          <w:sz w:val="22"/>
          <w:szCs w:val="22"/>
          <w:lang w:eastAsia="en-GB"/>
          <w14:ligatures w14:val="none"/>
        </w:rPr>
        <w:t>notionals</w:t>
      </w:r>
      <w:proofErr w:type="spellEnd"/>
      <w:r w:rsidRPr="0032251D">
        <w:rPr>
          <w:rFonts w:ascii="Aptos" w:eastAsia="Times New Roman" w:hAnsi="Aptos" w:cs="Times New Roman"/>
          <w:kern w:val="0"/>
          <w:sz w:val="22"/>
          <w:szCs w:val="22"/>
          <w:lang w:eastAsia="en-GB"/>
          <w14:ligatures w14:val="none"/>
        </w:rPr>
        <w:t>, structured guarantees) that don't appear in headline balance sheet metrics. Leverage ratio captures more than RWA but still misses some categories.</w:t>
      </w:r>
    </w:p>
    <w:p w14:paraId="11C2F68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Deposit categorisation.</w:t>
      </w:r>
      <w:r w:rsidRPr="0032251D">
        <w:rPr>
          <w:rFonts w:ascii="Aptos" w:eastAsia="Times New Roman" w:hAnsi="Aptos" w:cs="Times New Roman"/>
          <w:kern w:val="0"/>
          <w:sz w:val="22"/>
          <w:szCs w:val="22"/>
          <w:lang w:eastAsia="en-GB"/>
          <w14:ligatures w14:val="none"/>
        </w:rPr>
        <w:t xml:space="preserve"> "Deposits" range from sticky retail checking accounts to volatile brokered CDs and large institutional time deposits. Aggregate deposit numbers mask significant heterogeneity in stability. SVB's deposit base was unusually concentrated (large uninsured corporate deposits); this was visible in disclosure but under-weighted in pre-crisis analysis.</w:t>
      </w:r>
    </w:p>
    <w:p w14:paraId="7F78C39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Pass-through measurement.</w:t>
      </w:r>
      <w:r w:rsidRPr="0032251D">
        <w:rPr>
          <w:rFonts w:ascii="Aptos" w:eastAsia="Times New Roman" w:hAnsi="Aptos" w:cs="Times New Roman"/>
          <w:kern w:val="0"/>
          <w:sz w:val="22"/>
          <w:szCs w:val="22"/>
          <w:lang w:eastAsia="en-GB"/>
          <w14:ligatures w14:val="none"/>
        </w:rPr>
        <w:t xml:space="preserve"> Deposit and loan beta calculations are sensitive to specification — which products, which </w:t>
      </w:r>
      <w:proofErr w:type="gramStart"/>
      <w:r w:rsidRPr="0032251D">
        <w:rPr>
          <w:rFonts w:ascii="Aptos" w:eastAsia="Times New Roman" w:hAnsi="Aptos" w:cs="Times New Roman"/>
          <w:kern w:val="0"/>
          <w:sz w:val="22"/>
          <w:szCs w:val="22"/>
          <w:lang w:eastAsia="en-GB"/>
          <w14:ligatures w14:val="none"/>
        </w:rPr>
        <w:t>time period</w:t>
      </w:r>
      <w:proofErr w:type="gramEnd"/>
      <w:r w:rsidRPr="0032251D">
        <w:rPr>
          <w:rFonts w:ascii="Aptos" w:eastAsia="Times New Roman" w:hAnsi="Aptos" w:cs="Times New Roman"/>
          <w:kern w:val="0"/>
          <w:sz w:val="22"/>
          <w:szCs w:val="22"/>
          <w:lang w:eastAsia="en-GB"/>
          <w14:ligatures w14:val="none"/>
        </w:rPr>
        <w:t>, which interest rate measure. Drechsler-</w:t>
      </w:r>
      <w:proofErr w:type="spellStart"/>
      <w:r w:rsidRPr="0032251D">
        <w:rPr>
          <w:rFonts w:ascii="Aptos" w:eastAsia="Times New Roman" w:hAnsi="Aptos" w:cs="Times New Roman"/>
          <w:kern w:val="0"/>
          <w:sz w:val="22"/>
          <w:szCs w:val="22"/>
          <w:lang w:eastAsia="en-GB"/>
          <w14:ligatures w14:val="none"/>
        </w:rPr>
        <w:t>Savov</w:t>
      </w:r>
      <w:proofErr w:type="spellEnd"/>
      <w:r w:rsidRPr="0032251D">
        <w:rPr>
          <w:rFonts w:ascii="Aptos" w:eastAsia="Times New Roman" w:hAnsi="Aptos" w:cs="Times New Roman"/>
          <w:kern w:val="0"/>
          <w:sz w:val="22"/>
          <w:szCs w:val="22"/>
          <w:lang w:eastAsia="en-GB"/>
          <w14:ligatures w14:val="none"/>
        </w:rPr>
        <w:t>-Schnabl (2017) showed deposit beta varies systematically with bank market power, not just policy regime. Cross-bank and cross-country comparisons require careful product matching.</w:t>
      </w:r>
    </w:p>
    <w:p w14:paraId="56F4057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Internal transfer pricing.</w:t>
      </w:r>
      <w:r w:rsidRPr="0032251D">
        <w:rPr>
          <w:rFonts w:ascii="Aptos" w:eastAsia="Times New Roman" w:hAnsi="Aptos" w:cs="Times New Roman"/>
          <w:kern w:val="0"/>
          <w:sz w:val="22"/>
          <w:szCs w:val="22"/>
          <w:lang w:eastAsia="en-GB"/>
          <w14:ligatures w14:val="none"/>
        </w:rPr>
        <w:t xml:space="preserve"> Banks use internal funds transfer pricing to allocate revenue between business units. This makes external observation of true segmental NIM difficult and means reported segment profitability is partially endogenous to bank-internal allocation choices.</w:t>
      </w:r>
    </w:p>
    <w:p w14:paraId="6A838ED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Regulatory perimeter.</w:t>
      </w:r>
      <w:r w:rsidRPr="0032251D">
        <w:rPr>
          <w:rFonts w:ascii="Aptos" w:eastAsia="Times New Roman" w:hAnsi="Aptos" w:cs="Times New Roman"/>
          <w:kern w:val="0"/>
          <w:sz w:val="22"/>
          <w:szCs w:val="22"/>
          <w:lang w:eastAsia="en-GB"/>
          <w14:ligatures w14:val="none"/>
        </w:rPr>
        <w:t xml:space="preserve"> What counts as a "bank" varies by jurisdiction. Some institutions function as banks (taking deposits, making loans) but operate outside formal bank regulation. This is the shadow banking / NBFI border — important for the L5a / L5b distinction.</w:t>
      </w:r>
    </w:p>
    <w:p w14:paraId="540C70D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Frequency mismatch.</w:t>
      </w:r>
      <w:r w:rsidRPr="0032251D">
        <w:rPr>
          <w:rFonts w:ascii="Aptos" w:eastAsia="Times New Roman" w:hAnsi="Aptos" w:cs="Times New Roman"/>
          <w:kern w:val="0"/>
          <w:sz w:val="22"/>
          <w:szCs w:val="22"/>
          <w:lang w:eastAsia="en-GB"/>
          <w14:ligatures w14:val="none"/>
        </w:rPr>
        <w:t xml:space="preserve"> Most bank data is reported quarterly with lag; market events occur in real time. Real-time bank stress indicators (CDS, equity vol, deposit run signals from share price moves of small banks) lead reported data, sometimes by months.</w:t>
      </w:r>
    </w:p>
    <w:p w14:paraId="7C5145DC"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7068213F">
          <v:rect id="_x0000_i1093" alt="" style="width:451.3pt;height:.05pt;mso-width-percent:0;mso-height-percent:0;mso-width-percent:0;mso-height-percent:0" o:hralign="center" o:hrstd="t" o:hr="t" fillcolor="#a0a0a0" stroked="f"/>
        </w:pict>
      </w:r>
    </w:p>
    <w:p w14:paraId="54F208C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Where dissonance lives</w:t>
      </w:r>
    </w:p>
    <w:p w14:paraId="644682F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Within L5a:</w:t>
      </w:r>
    </w:p>
    <w:p w14:paraId="001A458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Intra-node.</w:t>
      </w:r>
      <w:r w:rsidRPr="0032251D">
        <w:rPr>
          <w:rFonts w:ascii="Aptos" w:eastAsia="Times New Roman" w:hAnsi="Aptos" w:cs="Times New Roman"/>
          <w:kern w:val="0"/>
          <w:sz w:val="22"/>
          <w:szCs w:val="22"/>
          <w:lang w:eastAsia="en-GB"/>
          <w14:ligatures w14:val="none"/>
        </w:rPr>
        <w:t xml:space="preserve"> Capital, liquidity, profitability, ALM, and credit quality should jointly imply the same stress reading.</w:t>
      </w:r>
    </w:p>
    <w:p w14:paraId="0AEAD837" w14:textId="77777777" w:rsidR="0032251D" w:rsidRPr="0032251D" w:rsidRDefault="0032251D">
      <w:pPr>
        <w:numPr>
          <w:ilvl w:val="0"/>
          <w:numId w:val="5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lastRenderedPageBreak/>
        <w:t xml:space="preserve">Dissonance: capital looks </w:t>
      </w:r>
      <w:proofErr w:type="gramStart"/>
      <w:r w:rsidRPr="0032251D">
        <w:rPr>
          <w:rFonts w:ascii="Aptos" w:eastAsia="Times New Roman" w:hAnsi="Aptos" w:cs="Times New Roman"/>
          <w:kern w:val="0"/>
          <w:sz w:val="22"/>
          <w:szCs w:val="22"/>
          <w:lang w:eastAsia="en-GB"/>
          <w14:ligatures w14:val="none"/>
        </w:rPr>
        <w:t>fine</w:t>
      </w:r>
      <w:proofErr w:type="gramEnd"/>
      <w:r w:rsidRPr="0032251D">
        <w:rPr>
          <w:rFonts w:ascii="Aptos" w:eastAsia="Times New Roman" w:hAnsi="Aptos" w:cs="Times New Roman"/>
          <w:kern w:val="0"/>
          <w:sz w:val="22"/>
          <w:szCs w:val="22"/>
          <w:lang w:eastAsia="en-GB"/>
          <w14:ligatures w14:val="none"/>
        </w:rPr>
        <w:t xml:space="preserve"> but liquidity is degrading — </w:t>
      </w:r>
      <w:r w:rsidRPr="0032251D">
        <w:rPr>
          <w:rFonts w:ascii="Aptos" w:eastAsia="Times New Roman" w:hAnsi="Aptos" w:cs="Times New Roman"/>
          <w:i/>
          <w:iCs/>
          <w:kern w:val="0"/>
          <w:sz w:val="22"/>
          <w:szCs w:val="22"/>
          <w:lang w:eastAsia="en-GB"/>
          <w14:ligatures w14:val="none"/>
        </w:rPr>
        <w:t>the SVB pattern</w:t>
      </w:r>
      <w:r w:rsidRPr="0032251D">
        <w:rPr>
          <w:rFonts w:ascii="Aptos" w:eastAsia="Times New Roman" w:hAnsi="Aptos" w:cs="Times New Roman"/>
          <w:kern w:val="0"/>
          <w:sz w:val="22"/>
          <w:szCs w:val="22"/>
          <w:lang w:eastAsia="en-GB"/>
          <w14:ligatures w14:val="none"/>
        </w:rPr>
        <w:t>. Adequate CET1, deteriorating LCR, deposit flight, large HTM unrealised losses all coexisting with apparently healthy headline ratios.</w:t>
      </w:r>
    </w:p>
    <w:p w14:paraId="6E756CFA" w14:textId="77777777" w:rsidR="0032251D" w:rsidRPr="0032251D" w:rsidRDefault="0032251D">
      <w:pPr>
        <w:numPr>
          <w:ilvl w:val="0"/>
          <w:numId w:val="5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Dissonance: NIM is </w:t>
      </w:r>
      <w:proofErr w:type="gramStart"/>
      <w:r w:rsidRPr="0032251D">
        <w:rPr>
          <w:rFonts w:ascii="Aptos" w:eastAsia="Times New Roman" w:hAnsi="Aptos" w:cs="Times New Roman"/>
          <w:kern w:val="0"/>
          <w:sz w:val="22"/>
          <w:szCs w:val="22"/>
          <w:lang w:eastAsia="en-GB"/>
          <w14:ligatures w14:val="none"/>
        </w:rPr>
        <w:t>healthy</w:t>
      </w:r>
      <w:proofErr w:type="gramEnd"/>
      <w:r w:rsidRPr="0032251D">
        <w:rPr>
          <w:rFonts w:ascii="Aptos" w:eastAsia="Times New Roman" w:hAnsi="Aptos" w:cs="Times New Roman"/>
          <w:kern w:val="0"/>
          <w:sz w:val="22"/>
          <w:szCs w:val="22"/>
          <w:lang w:eastAsia="en-GB"/>
          <w14:ligatures w14:val="none"/>
        </w:rPr>
        <w:t xml:space="preserve"> but ALM duration risk is mounting. Strong reported profitability while mark-to-market losses on securities accumulate. The bank's reported earnings and its economic value diverge.</w:t>
      </w:r>
    </w:p>
    <w:p w14:paraId="29E2A77A" w14:textId="77777777" w:rsidR="0032251D" w:rsidRPr="0032251D" w:rsidRDefault="0032251D">
      <w:pPr>
        <w:numPr>
          <w:ilvl w:val="0"/>
          <w:numId w:val="5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Dissonance: NPL ratio falling but provisioning rising. Backward-looking realised loss says credit is improving; forward-looking expected loss (IFRS 9 / CECL) says credit will deteriorate. The accounting signals disagree.</w:t>
      </w:r>
    </w:p>
    <w:p w14:paraId="773FB6D4" w14:textId="77777777" w:rsidR="0032251D" w:rsidRPr="0032251D" w:rsidRDefault="0032251D">
      <w:pPr>
        <w:numPr>
          <w:ilvl w:val="0"/>
          <w:numId w:val="5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Dissonance: aggregate sector metrics fine but tail of banks (concentration risk) showing stress. The mean is </w:t>
      </w:r>
      <w:proofErr w:type="gramStart"/>
      <w:r w:rsidRPr="0032251D">
        <w:rPr>
          <w:rFonts w:ascii="Aptos" w:eastAsia="Times New Roman" w:hAnsi="Aptos" w:cs="Times New Roman"/>
          <w:kern w:val="0"/>
          <w:sz w:val="22"/>
          <w:szCs w:val="22"/>
          <w:lang w:eastAsia="en-GB"/>
          <w14:ligatures w14:val="none"/>
        </w:rPr>
        <w:t>healthy</w:t>
      </w:r>
      <w:proofErr w:type="gramEnd"/>
      <w:r w:rsidRPr="0032251D">
        <w:rPr>
          <w:rFonts w:ascii="Aptos" w:eastAsia="Times New Roman" w:hAnsi="Aptos" w:cs="Times New Roman"/>
          <w:kern w:val="0"/>
          <w:sz w:val="22"/>
          <w:szCs w:val="22"/>
          <w:lang w:eastAsia="en-GB"/>
          <w14:ligatures w14:val="none"/>
        </w:rPr>
        <w:t xml:space="preserve"> but a specific bank or sub-group is decoupling.</w:t>
      </w:r>
    </w:p>
    <w:p w14:paraId="6255D61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upward, L1 → L5a.</w:t>
      </w:r>
      <w:r w:rsidRPr="0032251D">
        <w:rPr>
          <w:rFonts w:ascii="Aptos" w:eastAsia="Times New Roman" w:hAnsi="Aptos" w:cs="Times New Roman"/>
          <w:kern w:val="0"/>
          <w:sz w:val="22"/>
          <w:szCs w:val="22"/>
          <w:lang w:eastAsia="en-GB"/>
          <w14:ligatures w14:val="none"/>
        </w:rPr>
        <w:t xml:space="preserve"> Banks should transmit policy approximately consistent with the rule's expected transmission. Dissonance: policy tightens but bank credit does not tighten — bank lending channel impaired.</w:t>
      </w:r>
    </w:p>
    <w:p w14:paraId="1203A3A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upward, L3a → L5a.</w:t>
      </w:r>
      <w:r w:rsidRPr="0032251D">
        <w:rPr>
          <w:rFonts w:ascii="Aptos" w:eastAsia="Times New Roman" w:hAnsi="Aptos" w:cs="Times New Roman"/>
          <w:kern w:val="0"/>
          <w:sz w:val="22"/>
          <w:szCs w:val="22"/>
          <w:lang w:eastAsia="en-GB"/>
          <w14:ligatures w14:val="none"/>
        </w:rPr>
        <w:t xml:space="preserve"> Pass-through. Rate moves should produce predictable bank lending rate responses with stable beta. Dissonance: low pass-through indicating bank market power, regulatory caps, or impaired transmission.</w:t>
      </w:r>
    </w:p>
    <w:p w14:paraId="30A9E8F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upward, L3b → L5a.</w:t>
      </w:r>
      <w:r w:rsidRPr="0032251D">
        <w:rPr>
          <w:rFonts w:ascii="Aptos" w:eastAsia="Times New Roman" w:hAnsi="Aptos" w:cs="Times New Roman"/>
          <w:kern w:val="0"/>
          <w:sz w:val="22"/>
          <w:szCs w:val="22"/>
          <w:lang w:eastAsia="en-GB"/>
          <w14:ligatures w14:val="none"/>
        </w:rPr>
        <w:t xml:space="preserve"> Reserves expansion should support bank lending capacity. Dissonance: ample reserves but no lending growth — credit demand weak or capital constraint binding elsewhere.</w:t>
      </w:r>
    </w:p>
    <w:p w14:paraId="015B983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upward, L3e → L5a.</w:t>
      </w:r>
      <w:r w:rsidRPr="0032251D">
        <w:rPr>
          <w:rFonts w:ascii="Aptos" w:eastAsia="Times New Roman" w:hAnsi="Aptos" w:cs="Times New Roman"/>
          <w:kern w:val="0"/>
          <w:sz w:val="22"/>
          <w:szCs w:val="22"/>
          <w:lang w:eastAsia="en-GB"/>
          <w14:ligatures w14:val="none"/>
        </w:rPr>
        <w:t xml:space="preserve">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directly targets bank balance sheets. Dissonance: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tightened but bank lending continues to grow — circumvention, grandfathering, or substitution channels active.</w:t>
      </w:r>
    </w:p>
    <w:p w14:paraId="31EB1DD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peer (L4 markets).</w:t>
      </w:r>
    </w:p>
    <w:p w14:paraId="23E4B339" w14:textId="77777777" w:rsidR="0032251D" w:rsidRPr="0032251D" w:rsidRDefault="0032251D">
      <w:pPr>
        <w:numPr>
          <w:ilvl w:val="0"/>
          <w:numId w:val="5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L4a ↔ L5a: curve flattening should compress NIM; flat curve without NIM compression = bank pricing power masking transmission.</w:t>
      </w:r>
    </w:p>
    <w:p w14:paraId="17BC6930" w14:textId="77777777" w:rsidR="0032251D" w:rsidRPr="0032251D" w:rsidRDefault="0032251D">
      <w:pPr>
        <w:numPr>
          <w:ilvl w:val="0"/>
          <w:numId w:val="5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L4b ↔ L5a: FX moves should produce expected bank P&amp;L; unexpected P&amp;L = undisclosed mismatch or off-balance-sheet exposure.</w:t>
      </w:r>
    </w:p>
    <w:p w14:paraId="321C1F9B" w14:textId="77777777" w:rsidR="0032251D" w:rsidRPr="0032251D" w:rsidRDefault="0032251D">
      <w:pPr>
        <w:numPr>
          <w:ilvl w:val="0"/>
          <w:numId w:val="5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L4c ↔ L5a: BEIs should affect bank inflation-protected lending dynamics; BEI moves without bank ALM response = exposure not hedged.</w:t>
      </w:r>
    </w:p>
    <w:p w14:paraId="7BF5523D" w14:textId="77777777" w:rsidR="0032251D" w:rsidRPr="0032251D" w:rsidRDefault="0032251D">
      <w:pPr>
        <w:numPr>
          <w:ilvl w:val="0"/>
          <w:numId w:val="5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L4d ↔ L5a: vol spikes should produce proportional bank P&amp;L damage; disproportionate damage = concentrated vol exposure.</w:t>
      </w:r>
    </w:p>
    <w:p w14:paraId="0D60D6F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peer (L5 intermediaries).</w:t>
      </w:r>
    </w:p>
    <w:p w14:paraId="5722EFD5" w14:textId="77777777" w:rsidR="0032251D" w:rsidRPr="0032251D" w:rsidRDefault="0032251D">
      <w:pPr>
        <w:numPr>
          <w:ilvl w:val="0"/>
          <w:numId w:val="6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L5a ↔ L5b: banks fund NBFIs; bank stress without NBFI stress = effective separation; NBFI stress without bank stress = risk migration containing.</w:t>
      </w:r>
    </w:p>
    <w:p w14:paraId="7257AA1F" w14:textId="77777777" w:rsidR="0032251D" w:rsidRPr="0032251D" w:rsidRDefault="0032251D">
      <w:pPr>
        <w:numPr>
          <w:ilvl w:val="0"/>
          <w:numId w:val="6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L5a ↔ L5c: major dealers usually within bank holding companies; decoupling = effective ring-fencing.</w:t>
      </w:r>
    </w:p>
    <w:p w14:paraId="28266F1C" w14:textId="77777777" w:rsidR="0032251D" w:rsidRPr="0032251D" w:rsidRDefault="0032251D">
      <w:pPr>
        <w:numPr>
          <w:ilvl w:val="0"/>
          <w:numId w:val="6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L5a ↔ L5d: banks are the primary creditor; HH/corporate stress without bank stress = bank-specific resilience or hidden bank exposure.</w:t>
      </w:r>
    </w:p>
    <w:p w14:paraId="658144C9" w14:textId="77777777" w:rsidR="0032251D" w:rsidRPr="0032251D" w:rsidRDefault="0032251D">
      <w:pPr>
        <w:numPr>
          <w:ilvl w:val="0"/>
          <w:numId w:val="6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L5a ↔ L5e: doom loop — sovereign-bank linkage; sovereign stress without bank stress = loop weak; bank stress without sovereign stress = bank-specific factor.</w:t>
      </w:r>
    </w:p>
    <w:p w14:paraId="2B38B50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w:t>
      </w:r>
    </w:p>
    <w:p w14:paraId="3985977F" w14:textId="77777777" w:rsidR="0032251D" w:rsidRPr="0032251D" w:rsidRDefault="0032251D">
      <w:pPr>
        <w:numPr>
          <w:ilvl w:val="0"/>
          <w:numId w:val="6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lastRenderedPageBreak/>
        <w:t>L5a → L6: bank credit conditions shape credit expectations; bank stress not reflected in credit expectations = survey lag.</w:t>
      </w:r>
    </w:p>
    <w:p w14:paraId="5511C7B1" w14:textId="77777777" w:rsidR="0032251D" w:rsidRPr="0032251D" w:rsidRDefault="0032251D">
      <w:pPr>
        <w:numPr>
          <w:ilvl w:val="0"/>
          <w:numId w:val="6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L5a → L7: banks transmit conditions to FCI; bank stress without FCI tightening = FCI under-weighting bank channel.</w:t>
      </w:r>
    </w:p>
    <w:p w14:paraId="2626A200" w14:textId="77777777" w:rsidR="0032251D" w:rsidRPr="0032251D" w:rsidRDefault="0032251D">
      <w:pPr>
        <w:numPr>
          <w:ilvl w:val="0"/>
          <w:numId w:val="6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L5a → L8: bank credit availability affects discount rates; bank stress without credit premium widening = repricing lagging.</w:t>
      </w:r>
    </w:p>
    <w:p w14:paraId="3321A587" w14:textId="77777777" w:rsidR="0032251D" w:rsidRPr="0032251D" w:rsidRDefault="0032251D">
      <w:pPr>
        <w:numPr>
          <w:ilvl w:val="0"/>
          <w:numId w:val="6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L5a → L9: bank stress should hit bank stocks; stress without stock decline = market not pricing the stress.</w:t>
      </w:r>
    </w:p>
    <w:p w14:paraId="2CD8097B" w14:textId="77777777" w:rsidR="0032251D" w:rsidRPr="0032251D" w:rsidRDefault="0032251D">
      <w:pPr>
        <w:numPr>
          <w:ilvl w:val="0"/>
          <w:numId w:val="6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L5a → L10a-c: bank lending → real economy; bank metrics → financial stability; bank funding → global spillovers.</w:t>
      </w:r>
    </w:p>
    <w:p w14:paraId="76F07A9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The L5a node is the </w:t>
      </w:r>
      <w:r w:rsidRPr="0032251D">
        <w:rPr>
          <w:rFonts w:ascii="Aptos" w:eastAsia="Times New Roman" w:hAnsi="Aptos" w:cs="Times New Roman"/>
          <w:i/>
          <w:iCs/>
          <w:kern w:val="0"/>
          <w:sz w:val="22"/>
          <w:szCs w:val="22"/>
          <w:lang w:eastAsia="en-GB"/>
          <w14:ligatures w14:val="none"/>
        </w:rPr>
        <w:t>primary transmission intermediary</w:t>
      </w:r>
      <w:r w:rsidRPr="0032251D">
        <w:rPr>
          <w:rFonts w:ascii="Aptos" w:eastAsia="Times New Roman" w:hAnsi="Aptos" w:cs="Times New Roman"/>
          <w:kern w:val="0"/>
          <w:sz w:val="22"/>
          <w:szCs w:val="22"/>
          <w:lang w:eastAsia="en-GB"/>
          <w14:ligatures w14:val="none"/>
        </w:rPr>
        <w:t xml:space="preserve">. It is the structural reason the policy rate matters for the real economy — without banks, the central bank's overnight rate would influence very little. Dissonance at L5a indicates the bank channel is impaired in one of two ways: either the bank's intended transmission of policy is not producing the expected effects (transmission failure), or the bank's own stress is creating new effects independent of policy (origination of stress). In the framework, banks are simultaneously a </w:t>
      </w:r>
      <w:r w:rsidRPr="0032251D">
        <w:rPr>
          <w:rFonts w:ascii="Aptos" w:eastAsia="Times New Roman" w:hAnsi="Aptos" w:cs="Times New Roman"/>
          <w:i/>
          <w:iCs/>
          <w:kern w:val="0"/>
          <w:sz w:val="22"/>
          <w:szCs w:val="22"/>
          <w:lang w:eastAsia="en-GB"/>
          <w14:ligatures w14:val="none"/>
        </w:rPr>
        <w:t>transmitter</w:t>
      </w:r>
      <w:r w:rsidRPr="0032251D">
        <w:rPr>
          <w:rFonts w:ascii="Aptos" w:eastAsia="Times New Roman" w:hAnsi="Aptos" w:cs="Times New Roman"/>
          <w:kern w:val="0"/>
          <w:sz w:val="22"/>
          <w:szCs w:val="22"/>
          <w:lang w:eastAsia="en-GB"/>
          <w14:ligatures w14:val="none"/>
        </w:rPr>
        <w:t xml:space="preserve"> of policy and a </w:t>
      </w:r>
      <w:r w:rsidRPr="0032251D">
        <w:rPr>
          <w:rFonts w:ascii="Aptos" w:eastAsia="Times New Roman" w:hAnsi="Aptos" w:cs="Times New Roman"/>
          <w:i/>
          <w:iCs/>
          <w:kern w:val="0"/>
          <w:sz w:val="22"/>
          <w:szCs w:val="22"/>
          <w:lang w:eastAsia="en-GB"/>
          <w14:ligatures w14:val="none"/>
        </w:rPr>
        <w:t>source</w:t>
      </w:r>
      <w:r w:rsidRPr="0032251D">
        <w:rPr>
          <w:rFonts w:ascii="Aptos" w:eastAsia="Times New Roman" w:hAnsi="Aptos" w:cs="Times New Roman"/>
          <w:kern w:val="0"/>
          <w:sz w:val="22"/>
          <w:szCs w:val="22"/>
          <w:lang w:eastAsia="en-GB"/>
          <w14:ligatures w14:val="none"/>
        </w:rPr>
        <w:t xml:space="preserve"> of independent risk — the node carries information about both functions, and dissonance at L5a indicates that the two are diverging from their normal pattern.</w:t>
      </w:r>
    </w:p>
    <w:p w14:paraId="029AE01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For SA specifically, the Big Four banks plus Capitec are the operational implementation of L5a. They are well-capitalised, well-supervised, and have generally been resilient through cycles. The most likely dissonance signal at L5a for SA is the </w:t>
      </w:r>
      <w:r w:rsidRPr="0032251D">
        <w:rPr>
          <w:rFonts w:ascii="Aptos" w:eastAsia="Times New Roman" w:hAnsi="Aptos" w:cs="Times New Roman"/>
          <w:i/>
          <w:iCs/>
          <w:kern w:val="0"/>
          <w:sz w:val="22"/>
          <w:szCs w:val="22"/>
          <w:lang w:eastAsia="en-GB"/>
          <w14:ligatures w14:val="none"/>
        </w:rPr>
        <w:t>sovereign-bank loop</w:t>
      </w:r>
      <w:r w:rsidRPr="0032251D">
        <w:rPr>
          <w:rFonts w:ascii="Aptos" w:eastAsia="Times New Roman" w:hAnsi="Aptos" w:cs="Times New Roman"/>
          <w:kern w:val="0"/>
          <w:sz w:val="22"/>
          <w:szCs w:val="22"/>
          <w:lang w:eastAsia="en-GB"/>
          <w14:ligatures w14:val="none"/>
        </w:rPr>
        <w:t xml:space="preserve"> dimension — sovereign yield repricing flowing into bank book values and credit spreads — rather than the ALM-rupture dimension that defined the 2023 US regional banking stress.</w:t>
      </w:r>
    </w:p>
    <w:p w14:paraId="258AD5B5"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Level 5b — NBFI (Non-Bank Financial Intermediaries)</w:t>
      </w:r>
    </w:p>
    <w:p w14:paraId="5A353CB2"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Definition.</w:t>
      </w:r>
      <w:r w:rsidRPr="0032251D">
        <w:rPr>
          <w:rFonts w:ascii="Aptos" w:eastAsia="Times New Roman" w:hAnsi="Aptos" w:cs="Times New Roman"/>
          <w:kern w:val="0"/>
          <w:sz w:val="22"/>
          <w:szCs w:val="22"/>
          <w:lang w:eastAsia="en-GB"/>
          <w14:ligatures w14:val="none"/>
        </w:rPr>
        <w:t xml:space="preserve"> NBFI is the set of financial institutions performing credit intermediation outside the traditional banking sector. The FSB and BIS now prefer "NBFI" or "MBFI" (market-based finance) to the older "shadow banking" term. The category includes money market funds (MMFs), open-ended investment funds, hedge funds, insurance companies, pension funds, private credit and private equity funds, securitisation vehicles, family offices, and broker-dealers (overlap with L5c). The unifying feature: these institutions perform </w:t>
      </w:r>
      <w:r w:rsidRPr="0032251D">
        <w:rPr>
          <w:rFonts w:ascii="Aptos" w:eastAsia="Times New Roman" w:hAnsi="Aptos" w:cs="Times New Roman"/>
          <w:i/>
          <w:iCs/>
          <w:kern w:val="0"/>
          <w:sz w:val="22"/>
          <w:szCs w:val="22"/>
          <w:lang w:eastAsia="en-GB"/>
          <w14:ligatures w14:val="none"/>
        </w:rPr>
        <w:t>maturity transformation, liquidity transformation, or leverage</w:t>
      </w:r>
      <w:r w:rsidRPr="0032251D">
        <w:rPr>
          <w:rFonts w:ascii="Aptos" w:eastAsia="Times New Roman" w:hAnsi="Aptos" w:cs="Times New Roman"/>
          <w:kern w:val="0"/>
          <w:sz w:val="22"/>
          <w:szCs w:val="22"/>
          <w:lang w:eastAsia="en-GB"/>
          <w14:ligatures w14:val="none"/>
        </w:rPr>
        <w:t xml:space="preserve"> — the same economic functions banks perform — but </w:t>
      </w:r>
      <w:r w:rsidRPr="0032251D">
        <w:rPr>
          <w:rFonts w:ascii="Aptos" w:eastAsia="Times New Roman" w:hAnsi="Aptos" w:cs="Times New Roman"/>
          <w:i/>
          <w:iCs/>
          <w:kern w:val="0"/>
          <w:sz w:val="22"/>
          <w:szCs w:val="22"/>
          <w:lang w:eastAsia="en-GB"/>
          <w14:ligatures w14:val="none"/>
        </w:rPr>
        <w:t>without direct access to central bank backstops</w:t>
      </w:r>
      <w:r w:rsidRPr="0032251D">
        <w:rPr>
          <w:rFonts w:ascii="Aptos" w:eastAsia="Times New Roman" w:hAnsi="Aptos" w:cs="Times New Roman"/>
          <w:kern w:val="0"/>
          <w:sz w:val="22"/>
          <w:szCs w:val="22"/>
          <w:lang w:eastAsia="en-GB"/>
          <w14:ligatures w14:val="none"/>
        </w:rPr>
        <w:t>. Post-2008, NBFI assets grew rapidly as Basel III tightened bank regulation and risk migrated outward. Per FSB Global Monitoring Report data, NBFIs now hold roughly half of global financial assets — comparable to banks. This is the structural transformation of the financial system that the post-2008 regulatory architecture largely missed.</w:t>
      </w:r>
    </w:p>
    <w:p w14:paraId="47665E7E"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7A389A08">
          <v:rect id="_x0000_i1094" alt="" style="width:451.3pt;height:.05pt;mso-width-percent:0;mso-height-percent:0;mso-width-percent:0;mso-height-percent:0" o:hralign="center" o:hrstd="t" o:hr="t" fillcolor="#a0a0a0" stroked="f"/>
        </w:pict>
      </w:r>
    </w:p>
    <w:p w14:paraId="3D43DBD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Theory</w:t>
      </w:r>
    </w:p>
    <w:p w14:paraId="6F55BFA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Several theoretical foundations underpin NBFI as a distinct node.</w:t>
      </w:r>
    </w:p>
    <w:p w14:paraId="47A6C09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The Diamond-Dybvig logic extends to NBFIs.</w:t>
      </w:r>
      <w:r w:rsidRPr="0032251D">
        <w:rPr>
          <w:rFonts w:ascii="Aptos" w:eastAsia="Times New Roman" w:hAnsi="Aptos" w:cs="Times New Roman"/>
          <w:kern w:val="0"/>
          <w:sz w:val="22"/>
          <w:szCs w:val="22"/>
          <w:lang w:eastAsia="en-GB"/>
          <w14:ligatures w14:val="none"/>
        </w:rPr>
        <w:t xml:space="preserve"> Any institution doing maturity or liquidity transformation faces run risk. MMFs are the clearest case — they offer daily redemption against assets that may not be sellable at par in stress. Open-ended bond funds have similar dynamics </w:t>
      </w:r>
      <w:r w:rsidRPr="0032251D">
        <w:rPr>
          <w:rFonts w:ascii="Aptos" w:eastAsia="Times New Roman" w:hAnsi="Aptos" w:cs="Times New Roman"/>
          <w:kern w:val="0"/>
          <w:sz w:val="22"/>
          <w:szCs w:val="22"/>
          <w:lang w:eastAsia="en-GB"/>
          <w14:ligatures w14:val="none"/>
        </w:rPr>
        <w:lastRenderedPageBreak/>
        <w:t>with longer redemption windows. The 2020 dash for cash and 2008 SIV collapses are textbook Diamond-Dybvig run dynamics outside the banking system.</w:t>
      </w:r>
    </w:p>
    <w:p w14:paraId="63362C0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Shadow banking (</w:t>
      </w:r>
      <w:proofErr w:type="spellStart"/>
      <w:r w:rsidRPr="0032251D">
        <w:rPr>
          <w:rFonts w:ascii="Aptos" w:eastAsia="Times New Roman" w:hAnsi="Aptos" w:cs="Times New Roman"/>
          <w:i/>
          <w:iCs/>
          <w:kern w:val="0"/>
          <w:sz w:val="22"/>
          <w:szCs w:val="22"/>
          <w:lang w:eastAsia="en-GB"/>
          <w14:ligatures w14:val="none"/>
        </w:rPr>
        <w:t>Pozsar</w:t>
      </w:r>
      <w:proofErr w:type="spellEnd"/>
      <w:r w:rsidRPr="0032251D">
        <w:rPr>
          <w:rFonts w:ascii="Aptos" w:eastAsia="Times New Roman" w:hAnsi="Aptos" w:cs="Times New Roman"/>
          <w:i/>
          <w:iCs/>
          <w:kern w:val="0"/>
          <w:sz w:val="22"/>
          <w:szCs w:val="22"/>
          <w:lang w:eastAsia="en-GB"/>
          <w14:ligatures w14:val="none"/>
        </w:rPr>
        <w:t>-Adrian-Ashcraft-Boesky 2010).</w:t>
      </w:r>
      <w:r w:rsidRPr="0032251D">
        <w:rPr>
          <w:rFonts w:ascii="Aptos" w:eastAsia="Times New Roman" w:hAnsi="Aptos" w:cs="Times New Roman"/>
          <w:kern w:val="0"/>
          <w:sz w:val="22"/>
          <w:szCs w:val="22"/>
          <w:lang w:eastAsia="en-GB"/>
          <w14:ligatures w14:val="none"/>
        </w:rPr>
        <w:t xml:space="preserve"> The seminal mapping of the shadow banking system as a parallel financial architecture performing the same functions as banks — credit intermediation, maturity transformation, leverage — but outside the perimeter of bank regulation. The framework identifies the supply chain: cash investors fund MMFs, MMFs fund repo and CP markets, repo funds dealers, dealers fund hedge funds, hedge funds hold credit assets. Each link is fragile in different ways.</w:t>
      </w:r>
    </w:p>
    <w:p w14:paraId="3044E37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Regulatory arbitrage.</w:t>
      </w:r>
      <w:r w:rsidRPr="0032251D">
        <w:rPr>
          <w:rFonts w:ascii="Aptos" w:eastAsia="Times New Roman" w:hAnsi="Aptos" w:cs="Times New Roman"/>
          <w:kern w:val="0"/>
          <w:sz w:val="22"/>
          <w:szCs w:val="22"/>
          <w:lang w:eastAsia="en-GB"/>
          <w14:ligatures w14:val="none"/>
        </w:rPr>
        <w:t xml:space="preserve"> NBFIs grew partly because they could perform bank-like functions with less regulatory capital and oversight. Post-2008 regulation on banks accelerated the migration. This is not pathological — it reflects market participants finding the cheapest way to provide intermediation services — but it relocates risk rather than eliminating it.</w:t>
      </w:r>
    </w:p>
    <w:p w14:paraId="5DD6FF8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Fire-sale externalities (Shleifer-</w:t>
      </w:r>
      <w:proofErr w:type="spellStart"/>
      <w:r w:rsidRPr="0032251D">
        <w:rPr>
          <w:rFonts w:ascii="Aptos" w:eastAsia="Times New Roman" w:hAnsi="Aptos" w:cs="Times New Roman"/>
          <w:i/>
          <w:iCs/>
          <w:kern w:val="0"/>
          <w:sz w:val="22"/>
          <w:szCs w:val="22"/>
          <w:lang w:eastAsia="en-GB"/>
          <w14:ligatures w14:val="none"/>
        </w:rPr>
        <w:t>Vishny</w:t>
      </w:r>
      <w:proofErr w:type="spellEnd"/>
      <w:r w:rsidRPr="0032251D">
        <w:rPr>
          <w:rFonts w:ascii="Aptos" w:eastAsia="Times New Roman" w:hAnsi="Aptos" w:cs="Times New Roman"/>
          <w:i/>
          <w:iCs/>
          <w:kern w:val="0"/>
          <w:sz w:val="22"/>
          <w:szCs w:val="22"/>
          <w:lang w:eastAsia="en-GB"/>
          <w14:ligatures w14:val="none"/>
        </w:rPr>
        <w:t xml:space="preserve"> 1992; Allen-Carletti 2008).</w:t>
      </w:r>
      <w:r w:rsidRPr="0032251D">
        <w:rPr>
          <w:rFonts w:ascii="Aptos" w:eastAsia="Times New Roman" w:hAnsi="Aptos" w:cs="Times New Roman"/>
          <w:kern w:val="0"/>
          <w:sz w:val="22"/>
          <w:szCs w:val="22"/>
          <w:lang w:eastAsia="en-GB"/>
          <w14:ligatures w14:val="none"/>
        </w:rPr>
        <w:t xml:space="preserve"> NBFIs holding similar assets face joint risk when prices fall. Each NBFI's deleveraging hits prices for all others. The externality is unpriced; individual NBFIs do not internalise the system-wide consequences of their selling.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on NBFI is structurally complicated by jurisdictional and definitional limits.</w:t>
      </w:r>
    </w:p>
    <w:p w14:paraId="1C16D4B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Intermediary asset pricing (He-Krishnamurthy 2013; Adrian-</w:t>
      </w:r>
      <w:proofErr w:type="spellStart"/>
      <w:r w:rsidRPr="0032251D">
        <w:rPr>
          <w:rFonts w:ascii="Aptos" w:eastAsia="Times New Roman" w:hAnsi="Aptos" w:cs="Times New Roman"/>
          <w:i/>
          <w:iCs/>
          <w:kern w:val="0"/>
          <w:sz w:val="22"/>
          <w:szCs w:val="22"/>
          <w:lang w:eastAsia="en-GB"/>
          <w14:ligatures w14:val="none"/>
        </w:rPr>
        <w:t>Etula</w:t>
      </w:r>
      <w:proofErr w:type="spellEnd"/>
      <w:r w:rsidRPr="0032251D">
        <w:rPr>
          <w:rFonts w:ascii="Aptos" w:eastAsia="Times New Roman" w:hAnsi="Aptos" w:cs="Times New Roman"/>
          <w:i/>
          <w:iCs/>
          <w:kern w:val="0"/>
          <w:sz w:val="22"/>
          <w:szCs w:val="22"/>
          <w:lang w:eastAsia="en-GB"/>
          <w14:ligatures w14:val="none"/>
        </w:rPr>
        <w:t>-Muir 2014).</w:t>
      </w:r>
      <w:r w:rsidRPr="0032251D">
        <w:rPr>
          <w:rFonts w:ascii="Aptos" w:eastAsia="Times New Roman" w:hAnsi="Aptos" w:cs="Times New Roman"/>
          <w:kern w:val="0"/>
          <w:sz w:val="22"/>
          <w:szCs w:val="22"/>
          <w:lang w:eastAsia="en-GB"/>
          <w14:ligatures w14:val="none"/>
        </w:rPr>
        <w:t xml:space="preserve"> NBFI balance sheet constraints affect asset prices. Risk premia depend on intermediary capacity, not just on aggregate risk. When NBFI capacity is constrained (high leverage, margin calls, redemption pressure), risk premia widen even without a change in fundamentals. This is one of the most influential post-2008 asset pricing frameworks.</w:t>
      </w:r>
    </w:p>
    <w:p w14:paraId="32EA1F35"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Procyclicality through leverage and mark-to-market.</w:t>
      </w:r>
      <w:r w:rsidRPr="0032251D">
        <w:rPr>
          <w:rFonts w:ascii="Aptos" w:eastAsia="Times New Roman" w:hAnsi="Aptos" w:cs="Times New Roman"/>
          <w:kern w:val="0"/>
          <w:sz w:val="22"/>
          <w:szCs w:val="22"/>
          <w:lang w:eastAsia="en-GB"/>
          <w14:ligatures w14:val="none"/>
        </w:rPr>
        <w:t xml:space="preserve"> NBFIs use mark-to-market accounting and dynamic leverage. Both create procyclicality — vol rises → leverage limits bind → forced selling → prices fall → vol rises further. The mechanism is mechanical and self-reinforcing. The 2022 UK LDI episode is the canonical recent case: rising long gilt yields forced pension fund margin calls, triggering forced selling of gilts, raising yields further, requiring BoE intervention.</w:t>
      </w:r>
    </w:p>
    <w:p w14:paraId="5ABC01B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Run dynamics in NBFI (Schmidt-Timmermann-Wermers 2016).</w:t>
      </w:r>
      <w:r w:rsidRPr="0032251D">
        <w:rPr>
          <w:rFonts w:ascii="Aptos" w:eastAsia="Times New Roman" w:hAnsi="Aptos" w:cs="Times New Roman"/>
          <w:kern w:val="0"/>
          <w:sz w:val="22"/>
          <w:szCs w:val="22"/>
          <w:lang w:eastAsia="en-GB"/>
          <w14:ligatures w14:val="none"/>
        </w:rPr>
        <w:t xml:space="preserve"> MMF run risk has been formally modelled and partially regulated (2014 SEC reforms, 2023 post-Banking-Crisis MMF reform proposals). Open-ended fund redemption risk under stress is increasingly an FSB concern. Hedge fund redemption gates, </w:t>
      </w:r>
      <w:proofErr w:type="gramStart"/>
      <w:r w:rsidRPr="0032251D">
        <w:rPr>
          <w:rFonts w:ascii="Aptos" w:eastAsia="Times New Roman" w:hAnsi="Aptos" w:cs="Times New Roman"/>
          <w:kern w:val="0"/>
          <w:sz w:val="22"/>
          <w:szCs w:val="22"/>
          <w:lang w:eastAsia="en-GB"/>
          <w14:ligatures w14:val="none"/>
        </w:rPr>
        <w:t>lock-ups</w:t>
      </w:r>
      <w:proofErr w:type="gramEnd"/>
      <w:r w:rsidRPr="0032251D">
        <w:rPr>
          <w:rFonts w:ascii="Aptos" w:eastAsia="Times New Roman" w:hAnsi="Aptos" w:cs="Times New Roman"/>
          <w:kern w:val="0"/>
          <w:sz w:val="22"/>
          <w:szCs w:val="22"/>
          <w:lang w:eastAsia="en-GB"/>
          <w14:ligatures w14:val="none"/>
        </w:rPr>
        <w:t>, and side pockets are designed to slow runs but cannot prevent them when conditions are severe enough.</w:t>
      </w:r>
    </w:p>
    <w:p w14:paraId="799B35BA"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5311F9F2">
          <v:rect id="_x0000_i1095" alt="" style="width:451.3pt;height:.05pt;mso-width-percent:0;mso-height-percent:0;mso-width-percent:0;mso-height-percent:0" o:hralign="center" o:hrstd="t" o:hr="t" fillcolor="#a0a0a0" stroked="f"/>
        </w:pict>
      </w:r>
    </w:p>
    <w:p w14:paraId="526915C2"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Canonical specifications and parameters</w:t>
      </w:r>
    </w:p>
    <w:p w14:paraId="2474909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NBFI is heterogeneous; parameters differ by sub-type.</w:t>
      </w:r>
    </w:p>
    <w:p w14:paraId="26DCA86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Money Market Funds.</w:t>
      </w:r>
    </w:p>
    <w:p w14:paraId="7A3581A8" w14:textId="77777777" w:rsidR="0032251D" w:rsidRPr="0032251D" w:rsidRDefault="0032251D">
      <w:pPr>
        <w:numPr>
          <w:ilvl w:val="0"/>
          <w:numId w:val="6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Net Asset Value (NAV)</w:t>
      </w:r>
      <w:r w:rsidRPr="0032251D">
        <w:rPr>
          <w:rFonts w:ascii="Aptos" w:eastAsia="Times New Roman" w:hAnsi="Aptos" w:cs="Times New Roman"/>
          <w:kern w:val="0"/>
          <w:sz w:val="22"/>
          <w:szCs w:val="22"/>
          <w:lang w:eastAsia="en-GB"/>
          <w14:ligatures w14:val="none"/>
        </w:rPr>
        <w:t>: floating vs constant ($1 "break-the-buck" risk for prime MMFs)</w:t>
      </w:r>
    </w:p>
    <w:p w14:paraId="71BC0F1A" w14:textId="77777777" w:rsidR="0032251D" w:rsidRPr="0032251D" w:rsidRDefault="0032251D">
      <w:pPr>
        <w:numPr>
          <w:ilvl w:val="0"/>
          <w:numId w:val="6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Weighted Average Maturity (WAM)</w:t>
      </w:r>
      <w:r w:rsidRPr="0032251D">
        <w:rPr>
          <w:rFonts w:ascii="Aptos" w:eastAsia="Times New Roman" w:hAnsi="Aptos" w:cs="Times New Roman"/>
          <w:kern w:val="0"/>
          <w:sz w:val="22"/>
          <w:szCs w:val="22"/>
          <w:lang w:eastAsia="en-GB"/>
          <w14:ligatures w14:val="none"/>
        </w:rPr>
        <w:t>: typically capped at 60 days</w:t>
      </w:r>
    </w:p>
    <w:p w14:paraId="569C4910" w14:textId="77777777" w:rsidR="0032251D" w:rsidRPr="0032251D" w:rsidRDefault="0032251D">
      <w:pPr>
        <w:numPr>
          <w:ilvl w:val="0"/>
          <w:numId w:val="6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Weighted Average Life (WAL)</w:t>
      </w:r>
      <w:r w:rsidRPr="0032251D">
        <w:rPr>
          <w:rFonts w:ascii="Aptos" w:eastAsia="Times New Roman" w:hAnsi="Aptos" w:cs="Times New Roman"/>
          <w:kern w:val="0"/>
          <w:sz w:val="22"/>
          <w:szCs w:val="22"/>
          <w:lang w:eastAsia="en-GB"/>
          <w14:ligatures w14:val="none"/>
        </w:rPr>
        <w:t>: typically capped at 120 days</w:t>
      </w:r>
    </w:p>
    <w:p w14:paraId="44ABC4F4" w14:textId="77777777" w:rsidR="0032251D" w:rsidRPr="0032251D" w:rsidRDefault="0032251D">
      <w:pPr>
        <w:numPr>
          <w:ilvl w:val="0"/>
          <w:numId w:val="6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Daily liquid assets (DLA)</w:t>
      </w:r>
      <w:r w:rsidRPr="0032251D">
        <w:rPr>
          <w:rFonts w:ascii="Aptos" w:eastAsia="Times New Roman" w:hAnsi="Aptos" w:cs="Times New Roman"/>
          <w:kern w:val="0"/>
          <w:sz w:val="22"/>
          <w:szCs w:val="22"/>
          <w:lang w:eastAsia="en-GB"/>
          <w14:ligatures w14:val="none"/>
        </w:rPr>
        <w:t xml:space="preserve"> and </w:t>
      </w:r>
      <w:r w:rsidRPr="0032251D">
        <w:rPr>
          <w:rFonts w:ascii="Aptos" w:eastAsia="Times New Roman" w:hAnsi="Aptos" w:cs="Times New Roman"/>
          <w:b/>
          <w:bCs/>
          <w:kern w:val="0"/>
          <w:sz w:val="22"/>
          <w:szCs w:val="22"/>
          <w:lang w:eastAsia="en-GB"/>
          <w14:ligatures w14:val="none"/>
        </w:rPr>
        <w:t>weekly liquid assets (WLA)</w:t>
      </w:r>
      <w:r w:rsidRPr="0032251D">
        <w:rPr>
          <w:rFonts w:ascii="Aptos" w:eastAsia="Times New Roman" w:hAnsi="Aptos" w:cs="Times New Roman"/>
          <w:kern w:val="0"/>
          <w:sz w:val="22"/>
          <w:szCs w:val="22"/>
          <w:lang w:eastAsia="en-GB"/>
          <w14:ligatures w14:val="none"/>
        </w:rPr>
        <w:t xml:space="preserve"> ratios</w:t>
      </w:r>
    </w:p>
    <w:p w14:paraId="0CAF8BD3" w14:textId="77777777" w:rsidR="0032251D" w:rsidRPr="0032251D" w:rsidRDefault="0032251D">
      <w:pPr>
        <w:numPr>
          <w:ilvl w:val="0"/>
          <w:numId w:val="6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lastRenderedPageBreak/>
        <w:t>Concentration limits</w:t>
      </w:r>
      <w:r w:rsidRPr="0032251D">
        <w:rPr>
          <w:rFonts w:ascii="Aptos" w:eastAsia="Times New Roman" w:hAnsi="Aptos" w:cs="Times New Roman"/>
          <w:kern w:val="0"/>
          <w:sz w:val="22"/>
          <w:szCs w:val="22"/>
          <w:lang w:eastAsia="en-GB"/>
          <w14:ligatures w14:val="none"/>
        </w:rPr>
        <w:t xml:space="preserve"> by issuer</w:t>
      </w:r>
    </w:p>
    <w:p w14:paraId="4593E68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Hedge Funds.</w:t>
      </w:r>
    </w:p>
    <w:p w14:paraId="5600CBAC" w14:textId="77777777" w:rsidR="0032251D" w:rsidRPr="0032251D" w:rsidRDefault="0032251D">
      <w:pPr>
        <w:numPr>
          <w:ilvl w:val="0"/>
          <w:numId w:val="6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Gross leverage</w:t>
      </w:r>
      <w:r w:rsidRPr="0032251D">
        <w:rPr>
          <w:rFonts w:ascii="Aptos" w:eastAsia="Times New Roman" w:hAnsi="Aptos" w:cs="Times New Roman"/>
          <w:kern w:val="0"/>
          <w:sz w:val="22"/>
          <w:szCs w:val="22"/>
          <w:lang w:eastAsia="en-GB"/>
          <w14:ligatures w14:val="none"/>
        </w:rPr>
        <w:t>: assets / equity</w:t>
      </w:r>
    </w:p>
    <w:p w14:paraId="77926983" w14:textId="77777777" w:rsidR="0032251D" w:rsidRPr="0032251D" w:rsidRDefault="0032251D">
      <w:pPr>
        <w:numPr>
          <w:ilvl w:val="0"/>
          <w:numId w:val="6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Net leverage</w:t>
      </w:r>
      <w:r w:rsidRPr="0032251D">
        <w:rPr>
          <w:rFonts w:ascii="Aptos" w:eastAsia="Times New Roman" w:hAnsi="Aptos" w:cs="Times New Roman"/>
          <w:kern w:val="0"/>
          <w:sz w:val="22"/>
          <w:szCs w:val="22"/>
          <w:lang w:eastAsia="en-GB"/>
          <w14:ligatures w14:val="none"/>
        </w:rPr>
        <w:t>: net of offsetting positions</w:t>
      </w:r>
    </w:p>
    <w:p w14:paraId="46E6B33C" w14:textId="77777777" w:rsidR="0032251D" w:rsidRPr="0032251D" w:rsidRDefault="0032251D">
      <w:pPr>
        <w:numPr>
          <w:ilvl w:val="0"/>
          <w:numId w:val="6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Strategy concentration</w:t>
      </w:r>
      <w:r w:rsidRPr="0032251D">
        <w:rPr>
          <w:rFonts w:ascii="Aptos" w:eastAsia="Times New Roman" w:hAnsi="Aptos" w:cs="Times New Roman"/>
          <w:kern w:val="0"/>
          <w:sz w:val="22"/>
          <w:szCs w:val="22"/>
          <w:lang w:eastAsia="en-GB"/>
          <w14:ligatures w14:val="none"/>
        </w:rPr>
        <w:t>: long/short equity, fixed income arb, global macro, distressed, etc.</w:t>
      </w:r>
    </w:p>
    <w:p w14:paraId="1B76ED2D" w14:textId="77777777" w:rsidR="0032251D" w:rsidRPr="0032251D" w:rsidRDefault="0032251D">
      <w:pPr>
        <w:numPr>
          <w:ilvl w:val="0"/>
          <w:numId w:val="6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Redemption terms</w:t>
      </w:r>
      <w:r w:rsidRPr="0032251D">
        <w:rPr>
          <w:rFonts w:ascii="Aptos" w:eastAsia="Times New Roman" w:hAnsi="Aptos" w:cs="Times New Roman"/>
          <w:kern w:val="0"/>
          <w:sz w:val="22"/>
          <w:szCs w:val="22"/>
          <w:lang w:eastAsia="en-GB"/>
          <w14:ligatures w14:val="none"/>
        </w:rPr>
        <w:t xml:space="preserve">: gates, </w:t>
      </w:r>
      <w:proofErr w:type="gramStart"/>
      <w:r w:rsidRPr="0032251D">
        <w:rPr>
          <w:rFonts w:ascii="Aptos" w:eastAsia="Times New Roman" w:hAnsi="Aptos" w:cs="Times New Roman"/>
          <w:kern w:val="0"/>
          <w:sz w:val="22"/>
          <w:szCs w:val="22"/>
          <w:lang w:eastAsia="en-GB"/>
          <w14:ligatures w14:val="none"/>
        </w:rPr>
        <w:t>lock-ups</w:t>
      </w:r>
      <w:proofErr w:type="gramEnd"/>
      <w:r w:rsidRPr="0032251D">
        <w:rPr>
          <w:rFonts w:ascii="Aptos" w:eastAsia="Times New Roman" w:hAnsi="Aptos" w:cs="Times New Roman"/>
          <w:kern w:val="0"/>
          <w:sz w:val="22"/>
          <w:szCs w:val="22"/>
          <w:lang w:eastAsia="en-GB"/>
          <w14:ligatures w14:val="none"/>
        </w:rPr>
        <w:t>, notice periods</w:t>
      </w:r>
    </w:p>
    <w:p w14:paraId="3C758BCC" w14:textId="77777777" w:rsidR="0032251D" w:rsidRPr="0032251D" w:rsidRDefault="0032251D">
      <w:pPr>
        <w:numPr>
          <w:ilvl w:val="0"/>
          <w:numId w:val="6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Margin levels</w:t>
      </w:r>
      <w:r w:rsidRPr="0032251D">
        <w:rPr>
          <w:rFonts w:ascii="Aptos" w:eastAsia="Times New Roman" w:hAnsi="Aptos" w:cs="Times New Roman"/>
          <w:kern w:val="0"/>
          <w:sz w:val="22"/>
          <w:szCs w:val="22"/>
          <w:lang w:eastAsia="en-GB"/>
          <w14:ligatures w14:val="none"/>
        </w:rPr>
        <w:t>: prime brokerage margin requirements</w:t>
      </w:r>
    </w:p>
    <w:p w14:paraId="0480F0A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Insurance Companies.</w:t>
      </w:r>
    </w:p>
    <w:p w14:paraId="619CB41E" w14:textId="77777777" w:rsidR="0032251D" w:rsidRPr="0032251D" w:rsidRDefault="0032251D">
      <w:pPr>
        <w:numPr>
          <w:ilvl w:val="0"/>
          <w:numId w:val="6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Liability duration</w:t>
      </w:r>
      <w:r w:rsidRPr="0032251D">
        <w:rPr>
          <w:rFonts w:ascii="Aptos" w:eastAsia="Times New Roman" w:hAnsi="Aptos" w:cs="Times New Roman"/>
          <w:kern w:val="0"/>
          <w:sz w:val="22"/>
          <w:szCs w:val="22"/>
          <w:lang w:eastAsia="en-GB"/>
          <w14:ligatures w14:val="none"/>
        </w:rPr>
        <w:t>: long for life insurers (15-30y), shorter for property/casualty</w:t>
      </w:r>
    </w:p>
    <w:p w14:paraId="53B6DC5B" w14:textId="77777777" w:rsidR="0032251D" w:rsidRPr="0032251D" w:rsidRDefault="0032251D">
      <w:pPr>
        <w:numPr>
          <w:ilvl w:val="0"/>
          <w:numId w:val="6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Asset duration</w:t>
      </w:r>
      <w:r w:rsidRPr="0032251D">
        <w:rPr>
          <w:rFonts w:ascii="Aptos" w:eastAsia="Times New Roman" w:hAnsi="Aptos" w:cs="Times New Roman"/>
          <w:kern w:val="0"/>
          <w:sz w:val="22"/>
          <w:szCs w:val="22"/>
          <w:lang w:eastAsia="en-GB"/>
          <w14:ligatures w14:val="none"/>
        </w:rPr>
        <w:t xml:space="preserve">: </w:t>
      </w:r>
      <w:proofErr w:type="gramStart"/>
      <w:r w:rsidRPr="0032251D">
        <w:rPr>
          <w:rFonts w:ascii="Aptos" w:eastAsia="Times New Roman" w:hAnsi="Aptos" w:cs="Times New Roman"/>
          <w:kern w:val="0"/>
          <w:sz w:val="22"/>
          <w:szCs w:val="22"/>
          <w:lang w:eastAsia="en-GB"/>
          <w14:ligatures w14:val="none"/>
        </w:rPr>
        <w:t>typically</w:t>
      </w:r>
      <w:proofErr w:type="gramEnd"/>
      <w:r w:rsidRPr="0032251D">
        <w:rPr>
          <w:rFonts w:ascii="Aptos" w:eastAsia="Times New Roman" w:hAnsi="Aptos" w:cs="Times New Roman"/>
          <w:kern w:val="0"/>
          <w:sz w:val="22"/>
          <w:szCs w:val="22"/>
          <w:lang w:eastAsia="en-GB"/>
          <w14:ligatures w14:val="none"/>
        </w:rPr>
        <w:t xml:space="preserve"> shorter than liabilities</w:t>
      </w:r>
    </w:p>
    <w:p w14:paraId="293079C2" w14:textId="77777777" w:rsidR="0032251D" w:rsidRPr="0032251D" w:rsidRDefault="0032251D">
      <w:pPr>
        <w:numPr>
          <w:ilvl w:val="0"/>
          <w:numId w:val="6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Duration gap</w:t>
      </w:r>
      <w:r w:rsidRPr="0032251D">
        <w:rPr>
          <w:rFonts w:ascii="Aptos" w:eastAsia="Times New Roman" w:hAnsi="Aptos" w:cs="Times New Roman"/>
          <w:kern w:val="0"/>
          <w:sz w:val="22"/>
          <w:szCs w:val="22"/>
          <w:lang w:eastAsia="en-GB"/>
          <w14:ligatures w14:val="none"/>
        </w:rPr>
        <w:t>: structural exposure to rate moves</w:t>
      </w:r>
    </w:p>
    <w:p w14:paraId="43BBD421" w14:textId="77777777" w:rsidR="0032251D" w:rsidRPr="0032251D" w:rsidRDefault="0032251D">
      <w:pPr>
        <w:numPr>
          <w:ilvl w:val="0"/>
          <w:numId w:val="6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Solvency II ratios</w:t>
      </w:r>
      <w:r w:rsidRPr="0032251D">
        <w:rPr>
          <w:rFonts w:ascii="Aptos" w:eastAsia="Times New Roman" w:hAnsi="Aptos" w:cs="Times New Roman"/>
          <w:kern w:val="0"/>
          <w:sz w:val="22"/>
          <w:szCs w:val="22"/>
          <w:lang w:eastAsia="en-GB"/>
          <w14:ligatures w14:val="none"/>
        </w:rPr>
        <w:t xml:space="preserve"> (Europe), </w:t>
      </w:r>
      <w:r w:rsidRPr="0032251D">
        <w:rPr>
          <w:rFonts w:ascii="Aptos" w:eastAsia="Times New Roman" w:hAnsi="Aptos" w:cs="Times New Roman"/>
          <w:b/>
          <w:bCs/>
          <w:kern w:val="0"/>
          <w:sz w:val="22"/>
          <w:szCs w:val="22"/>
          <w:lang w:eastAsia="en-GB"/>
          <w14:ligatures w14:val="none"/>
        </w:rPr>
        <w:t>RBC ratios</w:t>
      </w:r>
      <w:r w:rsidRPr="0032251D">
        <w:rPr>
          <w:rFonts w:ascii="Aptos" w:eastAsia="Times New Roman" w:hAnsi="Aptos" w:cs="Times New Roman"/>
          <w:kern w:val="0"/>
          <w:sz w:val="22"/>
          <w:szCs w:val="22"/>
          <w:lang w:eastAsia="en-GB"/>
          <w14:ligatures w14:val="none"/>
        </w:rPr>
        <w:t xml:space="preserve"> (US): capital adequacy</w:t>
      </w:r>
    </w:p>
    <w:p w14:paraId="17C5C8DD" w14:textId="77777777" w:rsidR="0032251D" w:rsidRPr="0032251D" w:rsidRDefault="0032251D">
      <w:pPr>
        <w:numPr>
          <w:ilvl w:val="0"/>
          <w:numId w:val="6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Investment portfolio composition</w:t>
      </w:r>
      <w:r w:rsidRPr="0032251D">
        <w:rPr>
          <w:rFonts w:ascii="Aptos" w:eastAsia="Times New Roman" w:hAnsi="Aptos" w:cs="Times New Roman"/>
          <w:kern w:val="0"/>
          <w:sz w:val="22"/>
          <w:szCs w:val="22"/>
          <w:lang w:eastAsia="en-GB"/>
          <w14:ligatures w14:val="none"/>
        </w:rPr>
        <w:t>: government bonds, corporate credit, equity, alternatives</w:t>
      </w:r>
    </w:p>
    <w:p w14:paraId="19B775B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Pension Funds.</w:t>
      </w:r>
    </w:p>
    <w:p w14:paraId="2E2BC67F" w14:textId="77777777" w:rsidR="0032251D" w:rsidRPr="0032251D" w:rsidRDefault="0032251D">
      <w:pPr>
        <w:numPr>
          <w:ilvl w:val="0"/>
          <w:numId w:val="6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Funded status</w:t>
      </w:r>
      <w:r w:rsidRPr="0032251D">
        <w:rPr>
          <w:rFonts w:ascii="Aptos" w:eastAsia="Times New Roman" w:hAnsi="Aptos" w:cs="Times New Roman"/>
          <w:kern w:val="0"/>
          <w:sz w:val="22"/>
          <w:szCs w:val="22"/>
          <w:lang w:eastAsia="en-GB"/>
          <w14:ligatures w14:val="none"/>
        </w:rPr>
        <w:t>: assets / liability present value</w:t>
      </w:r>
    </w:p>
    <w:p w14:paraId="606AC7E2" w14:textId="77777777" w:rsidR="0032251D" w:rsidRPr="0032251D" w:rsidRDefault="0032251D">
      <w:pPr>
        <w:numPr>
          <w:ilvl w:val="0"/>
          <w:numId w:val="6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Liability discount rate</w:t>
      </w:r>
      <w:r w:rsidRPr="0032251D">
        <w:rPr>
          <w:rFonts w:ascii="Aptos" w:eastAsia="Times New Roman" w:hAnsi="Aptos" w:cs="Times New Roman"/>
          <w:kern w:val="0"/>
          <w:sz w:val="22"/>
          <w:szCs w:val="22"/>
          <w:lang w:eastAsia="en-GB"/>
          <w14:ligatures w14:val="none"/>
        </w:rPr>
        <w:t>: corporate AA in some regimes, government in others</w:t>
      </w:r>
    </w:p>
    <w:p w14:paraId="7B830975" w14:textId="77777777" w:rsidR="0032251D" w:rsidRPr="0032251D" w:rsidRDefault="0032251D">
      <w:pPr>
        <w:numPr>
          <w:ilvl w:val="0"/>
          <w:numId w:val="6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Asset allocation</w:t>
      </w:r>
      <w:r w:rsidRPr="0032251D">
        <w:rPr>
          <w:rFonts w:ascii="Aptos" w:eastAsia="Times New Roman" w:hAnsi="Aptos" w:cs="Times New Roman"/>
          <w:kern w:val="0"/>
          <w:sz w:val="22"/>
          <w:szCs w:val="22"/>
          <w:lang w:eastAsia="en-GB"/>
          <w14:ligatures w14:val="none"/>
        </w:rPr>
        <w:t>: across asset classes</w:t>
      </w:r>
    </w:p>
    <w:p w14:paraId="6D0EBDF8" w14:textId="77777777" w:rsidR="0032251D" w:rsidRPr="0032251D" w:rsidRDefault="0032251D">
      <w:pPr>
        <w:numPr>
          <w:ilvl w:val="0"/>
          <w:numId w:val="6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Hedge ratio</w:t>
      </w:r>
      <w:r w:rsidRPr="0032251D">
        <w:rPr>
          <w:rFonts w:ascii="Aptos" w:eastAsia="Times New Roman" w:hAnsi="Aptos" w:cs="Times New Roman"/>
          <w:kern w:val="0"/>
          <w:sz w:val="22"/>
          <w:szCs w:val="22"/>
          <w:lang w:eastAsia="en-GB"/>
          <w14:ligatures w14:val="none"/>
        </w:rPr>
        <w:t>: extent to which interest rate and inflation risk are hedged (LDI strategies)</w:t>
      </w:r>
    </w:p>
    <w:p w14:paraId="699AC5A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Private Credit.</w:t>
      </w:r>
    </w:p>
    <w:p w14:paraId="719DB3E4" w14:textId="77777777" w:rsidR="0032251D" w:rsidRPr="0032251D" w:rsidRDefault="0032251D">
      <w:pPr>
        <w:numPr>
          <w:ilvl w:val="0"/>
          <w:numId w:val="6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Loan-to-value ratios</w:t>
      </w:r>
    </w:p>
    <w:p w14:paraId="4A0B2751" w14:textId="77777777" w:rsidR="0032251D" w:rsidRPr="0032251D" w:rsidRDefault="0032251D">
      <w:pPr>
        <w:numPr>
          <w:ilvl w:val="0"/>
          <w:numId w:val="6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Sector concentration</w:t>
      </w:r>
    </w:p>
    <w:p w14:paraId="28F02113" w14:textId="77777777" w:rsidR="0032251D" w:rsidRPr="0032251D" w:rsidRDefault="0032251D">
      <w:pPr>
        <w:numPr>
          <w:ilvl w:val="0"/>
          <w:numId w:val="6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Underwriting standards</w:t>
      </w:r>
      <w:r w:rsidRPr="0032251D">
        <w:rPr>
          <w:rFonts w:ascii="Aptos" w:eastAsia="Times New Roman" w:hAnsi="Aptos" w:cs="Times New Roman"/>
          <w:kern w:val="0"/>
          <w:sz w:val="22"/>
          <w:szCs w:val="22"/>
          <w:lang w:eastAsia="en-GB"/>
          <w14:ligatures w14:val="none"/>
        </w:rPr>
        <w:t>: covenant strength</w:t>
      </w:r>
    </w:p>
    <w:p w14:paraId="1F3196CB" w14:textId="77777777" w:rsidR="0032251D" w:rsidRPr="0032251D" w:rsidRDefault="0032251D">
      <w:pPr>
        <w:numPr>
          <w:ilvl w:val="0"/>
          <w:numId w:val="6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Default and recovery rates</w:t>
      </w:r>
    </w:p>
    <w:p w14:paraId="4C72A8C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Cross-cutting metrics.</w:t>
      </w:r>
      <w:r w:rsidRPr="0032251D">
        <w:rPr>
          <w:rFonts w:ascii="Aptos" w:eastAsia="Times New Roman" w:hAnsi="Aptos" w:cs="Times New Roman"/>
          <w:kern w:val="0"/>
          <w:sz w:val="22"/>
          <w:szCs w:val="22"/>
          <w:lang w:eastAsia="en-GB"/>
          <w14:ligatures w14:val="none"/>
        </w:rPr>
        <w:t xml:space="preserve"> Four economic dimensions describe any NBFI:</w:t>
      </w:r>
    </w:p>
    <w:p w14:paraId="65C11176" w14:textId="77777777" w:rsidR="0032251D" w:rsidRPr="0032251D" w:rsidRDefault="0032251D">
      <w:pPr>
        <w:numPr>
          <w:ilvl w:val="0"/>
          <w:numId w:val="6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Maturity transformation</w:t>
      </w:r>
      <w:r w:rsidRPr="0032251D">
        <w:rPr>
          <w:rFonts w:ascii="Aptos" w:eastAsia="Times New Roman" w:hAnsi="Aptos" w:cs="Times New Roman"/>
          <w:kern w:val="0"/>
          <w:sz w:val="22"/>
          <w:szCs w:val="22"/>
          <w:lang w:eastAsia="en-GB"/>
          <w14:ligatures w14:val="none"/>
        </w:rPr>
        <w:t>: short liabilities financing long assets</w:t>
      </w:r>
    </w:p>
    <w:p w14:paraId="3AC7C6CA" w14:textId="77777777" w:rsidR="0032251D" w:rsidRPr="0032251D" w:rsidRDefault="0032251D">
      <w:pPr>
        <w:numPr>
          <w:ilvl w:val="0"/>
          <w:numId w:val="6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Liquidity transformation</w:t>
      </w:r>
      <w:r w:rsidRPr="0032251D">
        <w:rPr>
          <w:rFonts w:ascii="Aptos" w:eastAsia="Times New Roman" w:hAnsi="Aptos" w:cs="Times New Roman"/>
          <w:kern w:val="0"/>
          <w:sz w:val="22"/>
          <w:szCs w:val="22"/>
          <w:lang w:eastAsia="en-GB"/>
          <w14:ligatures w14:val="none"/>
        </w:rPr>
        <w:t>: redeemable claims against less liquid holdings</w:t>
      </w:r>
    </w:p>
    <w:p w14:paraId="1D2214F1" w14:textId="77777777" w:rsidR="0032251D" w:rsidRPr="0032251D" w:rsidRDefault="0032251D">
      <w:pPr>
        <w:numPr>
          <w:ilvl w:val="0"/>
          <w:numId w:val="6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Credit transformation</w:t>
      </w:r>
      <w:r w:rsidRPr="0032251D">
        <w:rPr>
          <w:rFonts w:ascii="Aptos" w:eastAsia="Times New Roman" w:hAnsi="Aptos" w:cs="Times New Roman"/>
          <w:kern w:val="0"/>
          <w:sz w:val="22"/>
          <w:szCs w:val="22"/>
          <w:lang w:eastAsia="en-GB"/>
          <w14:ligatures w14:val="none"/>
        </w:rPr>
        <w:t xml:space="preserve">: pooling and </w:t>
      </w:r>
      <w:proofErr w:type="spellStart"/>
      <w:r w:rsidRPr="0032251D">
        <w:rPr>
          <w:rFonts w:ascii="Aptos" w:eastAsia="Times New Roman" w:hAnsi="Aptos" w:cs="Times New Roman"/>
          <w:kern w:val="0"/>
          <w:sz w:val="22"/>
          <w:szCs w:val="22"/>
          <w:lang w:eastAsia="en-GB"/>
          <w14:ligatures w14:val="none"/>
        </w:rPr>
        <w:t>tranching</w:t>
      </w:r>
      <w:proofErr w:type="spellEnd"/>
      <w:r w:rsidRPr="0032251D">
        <w:rPr>
          <w:rFonts w:ascii="Aptos" w:eastAsia="Times New Roman" w:hAnsi="Aptos" w:cs="Times New Roman"/>
          <w:kern w:val="0"/>
          <w:sz w:val="22"/>
          <w:szCs w:val="22"/>
          <w:lang w:eastAsia="en-GB"/>
          <w14:ligatures w14:val="none"/>
        </w:rPr>
        <w:t xml:space="preserve"> credit risk</w:t>
      </w:r>
    </w:p>
    <w:p w14:paraId="3F8A280F" w14:textId="77777777" w:rsidR="0032251D" w:rsidRPr="0032251D" w:rsidRDefault="0032251D">
      <w:pPr>
        <w:numPr>
          <w:ilvl w:val="0"/>
          <w:numId w:val="6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Leverage</w:t>
      </w:r>
      <w:r w:rsidRPr="0032251D">
        <w:rPr>
          <w:rFonts w:ascii="Aptos" w:eastAsia="Times New Roman" w:hAnsi="Aptos" w:cs="Times New Roman"/>
          <w:kern w:val="0"/>
          <w:sz w:val="22"/>
          <w:szCs w:val="22"/>
          <w:lang w:eastAsia="en-GB"/>
          <w14:ligatures w14:val="none"/>
        </w:rPr>
        <w:t>: assets exceeding equity</w:t>
      </w:r>
    </w:p>
    <w:p w14:paraId="322F9E5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FSB Non-Bank Financial Intermediation Monitoring Universe (NBFI MUNI) provides the standard cross-country measurement framework. The "narrow measure" — institutions performing bank-like functions and posing financial stability risks — is the analytically important subset.</w:t>
      </w:r>
    </w:p>
    <w:p w14:paraId="67DB4A99"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1020B83D">
          <v:rect id="_x0000_i1096" alt="" style="width:451.3pt;height:.05pt;mso-width-percent:0;mso-height-percent:0;mso-width-percent:0;mso-height-percent:0" o:hralign="center" o:hrstd="t" o:hr="t" fillcolor="#a0a0a0" stroked="f"/>
        </w:pict>
      </w:r>
    </w:p>
    <w:p w14:paraId="62C9B03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Why this matters for asset prices</w:t>
      </w:r>
    </w:p>
    <w:p w14:paraId="6E7AFA2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NBFI is consequential through seven channels.</w:t>
      </w:r>
    </w:p>
    <w:p w14:paraId="7EDAF2B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Marginal price-setter in many markets.</w:t>
      </w:r>
      <w:r w:rsidRPr="0032251D">
        <w:rPr>
          <w:rFonts w:ascii="Aptos" w:eastAsia="Times New Roman" w:hAnsi="Aptos" w:cs="Times New Roman"/>
          <w:kern w:val="0"/>
          <w:sz w:val="22"/>
          <w:szCs w:val="22"/>
          <w:lang w:eastAsia="en-GB"/>
          <w14:ligatures w14:val="none"/>
        </w:rPr>
        <w:t xml:space="preserve"> NBFIs are now the marginal buyer/seller in significant portions of fixed income — corporate credit, structured products, parts of sovereign debt markets. Bank withdrawal from market-making post-2008 made this more acute. When NBFI positioning shifts, prices move.</w:t>
      </w:r>
    </w:p>
    <w:p w14:paraId="309E6D2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Forced selling in stress.</w:t>
      </w:r>
      <w:r w:rsidRPr="0032251D">
        <w:rPr>
          <w:rFonts w:ascii="Aptos" w:eastAsia="Times New Roman" w:hAnsi="Aptos" w:cs="Times New Roman"/>
          <w:kern w:val="0"/>
          <w:sz w:val="22"/>
          <w:szCs w:val="22"/>
          <w:lang w:eastAsia="en-GB"/>
          <w14:ligatures w14:val="none"/>
        </w:rPr>
        <w:t xml:space="preserve"> NBFI redemption pressure or margin calls drive forced selling. Recent canonical episodes: March 2020 dash for cash (MMFs and open-end bond funds); September 2022 UK LDI (pension fund forced gilt selling); November 2008 SIV unwind. The mechanism is procyclical and self-reinforcing.</w:t>
      </w:r>
    </w:p>
    <w:p w14:paraId="48CEA28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Risk premium determination.</w:t>
      </w:r>
      <w:r w:rsidRPr="0032251D">
        <w:rPr>
          <w:rFonts w:ascii="Aptos" w:eastAsia="Times New Roman" w:hAnsi="Aptos" w:cs="Times New Roman"/>
          <w:kern w:val="0"/>
          <w:sz w:val="22"/>
          <w:szCs w:val="22"/>
          <w:lang w:eastAsia="en-GB"/>
          <w14:ligatures w14:val="none"/>
        </w:rPr>
        <w:t xml:space="preserve"> Per intermediary asset pricing, risk premia depend on NBFI balance sheet capacity. When capacity is abundant, premia are compressed; when capacity is constrained, premia widen — sometimes dramatically. The 2020 corporate credit spread widening was a clean NBFI capacity event before being a fundamentals event.</w:t>
      </w:r>
    </w:p>
    <w:p w14:paraId="3A3DC65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Credit availability shifts.</w:t>
      </w:r>
      <w:r w:rsidRPr="0032251D">
        <w:rPr>
          <w:rFonts w:ascii="Aptos" w:eastAsia="Times New Roman" w:hAnsi="Aptos" w:cs="Times New Roman"/>
          <w:kern w:val="0"/>
          <w:sz w:val="22"/>
          <w:szCs w:val="22"/>
          <w:lang w:eastAsia="en-GB"/>
          <w14:ligatures w14:val="none"/>
        </w:rPr>
        <w:t xml:space="preserve"> NBFIs lend to corporates (private credit), real estate (mortgage REITs), and structured exposures. Bank credit tightening can be offset by NBFI credit expansion — and vice versa. The post-2008 emergence of private credit is the most significant structural shift in corporate financing in decades.</w:t>
      </w:r>
    </w:p>
    <w:p w14:paraId="6EEF0BB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Volatility regime determinants.</w:t>
      </w:r>
      <w:r w:rsidRPr="0032251D">
        <w:rPr>
          <w:rFonts w:ascii="Aptos" w:eastAsia="Times New Roman" w:hAnsi="Aptos" w:cs="Times New Roman"/>
          <w:kern w:val="0"/>
          <w:sz w:val="22"/>
          <w:szCs w:val="22"/>
          <w:lang w:eastAsia="en-GB"/>
          <w14:ligatures w14:val="none"/>
        </w:rPr>
        <w:t xml:space="preserve"> NBFI leverage and positioning influence volatility regimes. Persistent low vol invites NBFI leverage; vol spikes force unwind. The vol-control fund universe is large enough to be itself a vol-determining flow at certain thresholds.</w:t>
      </w:r>
    </w:p>
    <w:p w14:paraId="63A22F7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Funding market dynamics.</w:t>
      </w:r>
      <w:r w:rsidRPr="0032251D">
        <w:rPr>
          <w:rFonts w:ascii="Aptos" w:eastAsia="Times New Roman" w:hAnsi="Aptos" w:cs="Times New Roman"/>
          <w:kern w:val="0"/>
          <w:sz w:val="22"/>
          <w:szCs w:val="22"/>
          <w:lang w:eastAsia="en-GB"/>
          <w14:ligatures w14:val="none"/>
        </w:rPr>
        <w:t xml:space="preserve"> NBFIs are major repo and prime brokerage clients. Their funding stress flows to dealer balance sheets and onward into market functioning. The September 2019 repo spike was a funding-market event in which NBFI dynamics interacted with dealer balance sheet constraints.</w:t>
      </w:r>
    </w:p>
    <w:p w14:paraId="6003F85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Cross-asset correlation in stress.</w:t>
      </w:r>
      <w:r w:rsidRPr="0032251D">
        <w:rPr>
          <w:rFonts w:ascii="Aptos" w:eastAsia="Times New Roman" w:hAnsi="Aptos" w:cs="Times New Roman"/>
          <w:kern w:val="0"/>
          <w:sz w:val="22"/>
          <w:szCs w:val="22"/>
          <w:lang w:eastAsia="en-GB"/>
          <w14:ligatures w14:val="none"/>
        </w:rPr>
        <w:t xml:space="preserve"> NBFI portfolios are diversified across asset classes; forced selling propagates stress cross-asset. The "everything correlates in a crisis" pattern is partially an NBFI-rebalancing phenomenon.</w:t>
      </w:r>
    </w:p>
    <w:p w14:paraId="135A2095"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For investment managers four practitioner points dominate. First, identifying NBFI positioning is an alpha source — knowing where hedge funds, LDI managers, or insurance companies are concentrated helps anticipate forced moves. Second, NBFI stress predicts dislocation opportunities (the 2020 dash for cash created enduring opportunities in corporate credit for those with capacity). Third, LDI dynamics in the UK created the 2022 episode where central bank intervention was required — and similar dynamics exist elsewhere. Fourth, private credit growth is creating a new layer of credit cycle exposure that public markets do not fully see — exposures and defaults emerge with lag.</w:t>
      </w:r>
    </w:p>
    <w:p w14:paraId="03A0AFDA"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2DBD3558">
          <v:rect id="_x0000_i1097" alt="" style="width:451.3pt;height:.05pt;mso-width-percent:0;mso-height-percent:0;mso-width-percent:0;mso-height-percent:0" o:hralign="center" o:hrstd="t" o:hr="t" fillcolor="#a0a0a0" stroked="f"/>
        </w:pict>
      </w:r>
    </w:p>
    <w:p w14:paraId="4686E8C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Regime and EM variation</w:t>
      </w:r>
    </w:p>
    <w:p w14:paraId="409C148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NBFI development varies enormously across the panel.</w:t>
      </w:r>
    </w:p>
    <w:p w14:paraId="3ECD0FE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DM NBFI.</w:t>
      </w:r>
      <w:r w:rsidRPr="0032251D">
        <w:rPr>
          <w:rFonts w:ascii="Aptos" w:eastAsia="Times New Roman" w:hAnsi="Aptos" w:cs="Times New Roman"/>
          <w:kern w:val="0"/>
          <w:sz w:val="22"/>
          <w:szCs w:val="22"/>
          <w:lang w:eastAsia="en-GB"/>
          <w14:ligatures w14:val="none"/>
        </w:rPr>
        <w:t xml:space="preserve"> Large, diverse, sophisticated. The US has the deepest NBFI sector globally — ~$100tn+ in assets across the full universe. Diverse sub-sectors: MMFs ($6tn+), open-ended bond funds, hedge funds, insurance, pensions, private credit. The UK, Europe, and Japan have </w:t>
      </w:r>
      <w:r w:rsidRPr="0032251D">
        <w:rPr>
          <w:rFonts w:ascii="Aptos" w:eastAsia="Times New Roman" w:hAnsi="Aptos" w:cs="Times New Roman"/>
          <w:kern w:val="0"/>
          <w:sz w:val="22"/>
          <w:szCs w:val="22"/>
          <w:lang w:eastAsia="en-GB"/>
          <w14:ligatures w14:val="none"/>
        </w:rPr>
        <w:lastRenderedPageBreak/>
        <w:t>substantial NBFI sectors with different compositions (Europe: insurance and pensions weighted; UK: large pension and LDI; Japan: insurance dominant).</w:t>
      </w:r>
    </w:p>
    <w:p w14:paraId="5BE90BD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EM NBFI.</w:t>
      </w:r>
      <w:r w:rsidRPr="0032251D">
        <w:rPr>
          <w:rFonts w:ascii="Aptos" w:eastAsia="Times New Roman" w:hAnsi="Aptos" w:cs="Times New Roman"/>
          <w:kern w:val="0"/>
          <w:sz w:val="22"/>
          <w:szCs w:val="22"/>
          <w:lang w:eastAsia="en-GB"/>
          <w14:ligatures w14:val="none"/>
        </w:rPr>
        <w:t xml:space="preserve"> Smaller, less diverse, often more concentrated. Mutual funds dominant in many EMs; hedge funds smaller; private credit nascent. Pension fund development varies — Chile, Mexico, and Singapore have developed pension systems; many EMs do not.</w:t>
      </w:r>
    </w:p>
    <w:p w14:paraId="1677B33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EM-specific dynamics.</w:t>
      </w:r>
    </w:p>
    <w:p w14:paraId="0922E760" w14:textId="77777777" w:rsidR="0032251D" w:rsidRPr="0032251D" w:rsidRDefault="0032251D">
      <w:pPr>
        <w:numPr>
          <w:ilvl w:val="0"/>
          <w:numId w:val="6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Foreign NBFI participation</w:t>
      </w:r>
      <w:r w:rsidRPr="0032251D">
        <w:rPr>
          <w:rFonts w:ascii="Aptos" w:eastAsia="Times New Roman" w:hAnsi="Aptos" w:cs="Times New Roman"/>
          <w:kern w:val="0"/>
          <w:sz w:val="22"/>
          <w:szCs w:val="22"/>
          <w:lang w:eastAsia="en-GB"/>
          <w14:ligatures w14:val="none"/>
        </w:rPr>
        <w:t xml:space="preserve"> in EM markets is structurally important. Global hedge funds, EM-dedicated mutual funds, sovereign wealth funds, and global pension funds with EM allocations drive EM asset prices.</w:t>
      </w:r>
    </w:p>
    <w:p w14:paraId="1B130FAA" w14:textId="77777777" w:rsidR="0032251D" w:rsidRPr="0032251D" w:rsidRDefault="0032251D">
      <w:pPr>
        <w:numPr>
          <w:ilvl w:val="0"/>
          <w:numId w:val="6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Local NBFI</w:t>
      </w:r>
      <w:r w:rsidRPr="0032251D">
        <w:rPr>
          <w:rFonts w:ascii="Aptos" w:eastAsia="Times New Roman" w:hAnsi="Aptos" w:cs="Times New Roman"/>
          <w:kern w:val="0"/>
          <w:sz w:val="22"/>
          <w:szCs w:val="22"/>
          <w:lang w:eastAsia="en-GB"/>
          <w14:ligatures w14:val="none"/>
        </w:rPr>
        <w:t xml:space="preserve"> (domestic mutual funds, insurance, pensions) provides domestic flow stability.</w:t>
      </w:r>
    </w:p>
    <w:p w14:paraId="454CB2AA" w14:textId="77777777" w:rsidR="0032251D" w:rsidRPr="0032251D" w:rsidRDefault="0032251D">
      <w:pPr>
        <w:numPr>
          <w:ilvl w:val="0"/>
          <w:numId w:val="6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Crisis dynamics</w:t>
      </w:r>
      <w:r w:rsidRPr="0032251D">
        <w:rPr>
          <w:rFonts w:ascii="Aptos" w:eastAsia="Times New Roman" w:hAnsi="Aptos" w:cs="Times New Roman"/>
          <w:kern w:val="0"/>
          <w:sz w:val="22"/>
          <w:szCs w:val="22"/>
          <w:lang w:eastAsia="en-GB"/>
          <w14:ligatures w14:val="none"/>
        </w:rPr>
        <w:t>: foreign NBFIs flee EM in global risk-off (the 2013 taper tantrum, 2018 EM selloff, 2020 dash for cash); local NBFIs may be forced sellers due to margin or redemption.</w:t>
      </w:r>
    </w:p>
    <w:p w14:paraId="2A6F0FA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Specific EMs.</w:t>
      </w:r>
    </w:p>
    <w:p w14:paraId="01B86917" w14:textId="77777777" w:rsidR="0032251D" w:rsidRPr="0032251D" w:rsidRDefault="0032251D">
      <w:pPr>
        <w:numPr>
          <w:ilvl w:val="0"/>
          <w:numId w:val="6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Brazil</w:t>
      </w:r>
      <w:r w:rsidRPr="0032251D">
        <w:rPr>
          <w:rFonts w:ascii="Aptos" w:eastAsia="Times New Roman" w:hAnsi="Aptos" w:cs="Times New Roman"/>
          <w:kern w:val="0"/>
          <w:sz w:val="22"/>
          <w:szCs w:val="22"/>
          <w:lang w:eastAsia="en-GB"/>
          <w14:ligatures w14:val="none"/>
        </w:rPr>
        <w:t xml:space="preserve">: large local mutual fund industry (FI </w:t>
      </w:r>
      <w:proofErr w:type="spellStart"/>
      <w:r w:rsidRPr="0032251D">
        <w:rPr>
          <w:rFonts w:ascii="Aptos" w:eastAsia="Times New Roman" w:hAnsi="Aptos" w:cs="Times New Roman"/>
          <w:kern w:val="0"/>
          <w:sz w:val="22"/>
          <w:szCs w:val="22"/>
          <w:lang w:eastAsia="en-GB"/>
          <w14:ligatures w14:val="none"/>
        </w:rPr>
        <w:t>fundos</w:t>
      </w:r>
      <w:proofErr w:type="spellEnd"/>
      <w:r w:rsidRPr="0032251D">
        <w:rPr>
          <w:rFonts w:ascii="Aptos" w:eastAsia="Times New Roman" w:hAnsi="Aptos" w:cs="Times New Roman"/>
          <w:kern w:val="0"/>
          <w:sz w:val="22"/>
          <w:szCs w:val="22"/>
          <w:lang w:eastAsia="en-GB"/>
          <w14:ligatures w14:val="none"/>
        </w:rPr>
        <w:t>); significant private credit growth post-2018; FIPs (private equity funds) growing. Local mutual fund industry holds a large share of local fixed income.</w:t>
      </w:r>
    </w:p>
    <w:p w14:paraId="1AA44EA8" w14:textId="77777777" w:rsidR="0032251D" w:rsidRPr="0032251D" w:rsidRDefault="0032251D">
      <w:pPr>
        <w:numPr>
          <w:ilvl w:val="0"/>
          <w:numId w:val="6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India</w:t>
      </w:r>
      <w:r w:rsidRPr="0032251D">
        <w:rPr>
          <w:rFonts w:ascii="Aptos" w:eastAsia="Times New Roman" w:hAnsi="Aptos" w:cs="Times New Roman"/>
          <w:kern w:val="0"/>
          <w:sz w:val="22"/>
          <w:szCs w:val="22"/>
          <w:lang w:eastAsia="en-GB"/>
          <w14:ligatures w14:val="none"/>
        </w:rPr>
        <w:t>: mutual fund industry rapidly growing; private credit emerging; NBFC (non-banking finance company) sector is structurally important and faced significant stress in 2018-2020.</w:t>
      </w:r>
    </w:p>
    <w:p w14:paraId="2C6A3876" w14:textId="77777777" w:rsidR="0032251D" w:rsidRPr="0032251D" w:rsidRDefault="0032251D">
      <w:pPr>
        <w:numPr>
          <w:ilvl w:val="0"/>
          <w:numId w:val="6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China</w:t>
      </w:r>
      <w:r w:rsidRPr="0032251D">
        <w:rPr>
          <w:rFonts w:ascii="Aptos" w:eastAsia="Times New Roman" w:hAnsi="Aptos" w:cs="Times New Roman"/>
          <w:kern w:val="0"/>
          <w:sz w:val="22"/>
          <w:szCs w:val="22"/>
          <w:lang w:eastAsia="en-GB"/>
          <w14:ligatures w14:val="none"/>
        </w:rPr>
        <w:t>: trust and shadow banking sector was historically massive and opaque; subject to ongoing regulatory action since 2017; concerns about leverage and concentration in real estate exposure.</w:t>
      </w:r>
    </w:p>
    <w:p w14:paraId="0204BE8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SA specifically.</w:t>
      </w:r>
      <w:r w:rsidRPr="0032251D">
        <w:rPr>
          <w:rFonts w:ascii="Aptos" w:eastAsia="Times New Roman" w:hAnsi="Aptos" w:cs="Times New Roman"/>
          <w:kern w:val="0"/>
          <w:sz w:val="22"/>
          <w:szCs w:val="22"/>
          <w:lang w:eastAsia="en-GB"/>
          <w14:ligatures w14:val="none"/>
        </w:rPr>
        <w:t xml:space="preserve"> The dominant NBFI feature is </w:t>
      </w:r>
      <w:r w:rsidRPr="0032251D">
        <w:rPr>
          <w:rFonts w:ascii="Aptos" w:eastAsia="Times New Roman" w:hAnsi="Aptos" w:cs="Times New Roman"/>
          <w:i/>
          <w:iCs/>
          <w:kern w:val="0"/>
          <w:sz w:val="22"/>
          <w:szCs w:val="22"/>
          <w:lang w:eastAsia="en-GB"/>
          <w14:ligatures w14:val="none"/>
        </w:rPr>
        <w:t>the Public Investment Corporation (PIC)</w:t>
      </w:r>
      <w:r w:rsidRPr="0032251D">
        <w:rPr>
          <w:rFonts w:ascii="Aptos" w:eastAsia="Times New Roman" w:hAnsi="Aptos" w:cs="Times New Roman"/>
          <w:kern w:val="0"/>
          <w:sz w:val="22"/>
          <w:szCs w:val="22"/>
          <w:lang w:eastAsia="en-GB"/>
          <w14:ligatures w14:val="none"/>
        </w:rPr>
        <w:t xml:space="preserve"> — manages government employee pensions and is the single largest holder of SAGB and JSE equities. PIC is technically a state-owned asset manager but functions as an NBFI of significant size, with significant policy and political sensitivity. The PIC's behaviour during stress is structurally important for SA market dynamics. Other significant NBFIs: Old Mutual, Sanlam, Discovery (insurance and asset management groups); </w:t>
      </w:r>
      <w:proofErr w:type="spellStart"/>
      <w:r w:rsidRPr="0032251D">
        <w:rPr>
          <w:rFonts w:ascii="Aptos" w:eastAsia="Times New Roman" w:hAnsi="Aptos" w:cs="Times New Roman"/>
          <w:kern w:val="0"/>
          <w:sz w:val="22"/>
          <w:szCs w:val="22"/>
          <w:lang w:eastAsia="en-GB"/>
          <w14:ligatures w14:val="none"/>
        </w:rPr>
        <w:t>Sygnia</w:t>
      </w:r>
      <w:proofErr w:type="spellEnd"/>
      <w:r w:rsidRPr="0032251D">
        <w:rPr>
          <w:rFonts w:ascii="Aptos" w:eastAsia="Times New Roman" w:hAnsi="Aptos" w:cs="Times New Roman"/>
          <w:kern w:val="0"/>
          <w:sz w:val="22"/>
          <w:szCs w:val="22"/>
          <w:lang w:eastAsia="en-GB"/>
          <w14:ligatures w14:val="none"/>
        </w:rPr>
        <w:t xml:space="preserve">, Coronation, Allan Gray, and the user's institution </w:t>
      </w:r>
      <w:proofErr w:type="gramStart"/>
      <w:r w:rsidRPr="0032251D">
        <w:rPr>
          <w:rFonts w:ascii="Aptos" w:eastAsia="Times New Roman" w:hAnsi="Aptos" w:cs="Times New Roman"/>
          <w:kern w:val="0"/>
          <w:sz w:val="22"/>
          <w:szCs w:val="22"/>
          <w:lang w:eastAsia="en-GB"/>
          <w14:ligatures w14:val="none"/>
        </w:rPr>
        <w:t>Ninety One</w:t>
      </w:r>
      <w:proofErr w:type="gramEnd"/>
      <w:r w:rsidRPr="0032251D">
        <w:rPr>
          <w:rFonts w:ascii="Aptos" w:eastAsia="Times New Roman" w:hAnsi="Aptos" w:cs="Times New Roman"/>
          <w:kern w:val="0"/>
          <w:sz w:val="22"/>
          <w:szCs w:val="22"/>
          <w:lang w:eastAsia="en-GB"/>
          <w14:ligatures w14:val="none"/>
        </w:rPr>
        <w:t xml:space="preserve"> (asset managers). The private credit sector is growing but small relative to traded debt markets. SARB monitors NBFI activity but the Prudential Authority focuses on banks. Regulation 28 of the Pension Funds Act limits asset allocation choices, which constrains pension fund behaviour. The 2024 two-pot retirement system changed retirement saving dynamics significantly. SA NBFI risk is therefore both </w:t>
      </w:r>
      <w:r w:rsidRPr="0032251D">
        <w:rPr>
          <w:rFonts w:ascii="Aptos" w:eastAsia="Times New Roman" w:hAnsi="Aptos" w:cs="Times New Roman"/>
          <w:i/>
          <w:iCs/>
          <w:kern w:val="0"/>
          <w:sz w:val="22"/>
          <w:szCs w:val="22"/>
          <w:lang w:eastAsia="en-GB"/>
          <w14:ligatures w14:val="none"/>
        </w:rPr>
        <w:t>concentrated</w:t>
      </w:r>
      <w:r w:rsidRPr="0032251D">
        <w:rPr>
          <w:rFonts w:ascii="Aptos" w:eastAsia="Times New Roman" w:hAnsi="Aptos" w:cs="Times New Roman"/>
          <w:kern w:val="0"/>
          <w:sz w:val="22"/>
          <w:szCs w:val="22"/>
          <w:lang w:eastAsia="en-GB"/>
          <w14:ligatures w14:val="none"/>
        </w:rPr>
        <w:t xml:space="preserve"> (PIC dominance) and </w:t>
      </w:r>
      <w:r w:rsidRPr="0032251D">
        <w:rPr>
          <w:rFonts w:ascii="Aptos" w:eastAsia="Times New Roman" w:hAnsi="Aptos" w:cs="Times New Roman"/>
          <w:i/>
          <w:iCs/>
          <w:kern w:val="0"/>
          <w:sz w:val="22"/>
          <w:szCs w:val="22"/>
          <w:lang w:eastAsia="en-GB"/>
          <w14:ligatures w14:val="none"/>
        </w:rPr>
        <w:t>foreign-flow-sensitive</w:t>
      </w:r>
      <w:r w:rsidRPr="0032251D">
        <w:rPr>
          <w:rFonts w:ascii="Aptos" w:eastAsia="Times New Roman" w:hAnsi="Aptos" w:cs="Times New Roman"/>
          <w:kern w:val="0"/>
          <w:sz w:val="22"/>
          <w:szCs w:val="22"/>
          <w:lang w:eastAsia="en-GB"/>
          <w14:ligatures w14:val="none"/>
        </w:rPr>
        <w:t xml:space="preserve"> (offshore EM investors driving bond and equity flows).</w:t>
      </w:r>
    </w:p>
    <w:p w14:paraId="0B0E8C67"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65875128">
          <v:rect id="_x0000_i1098" alt="" style="width:451.3pt;height:.05pt;mso-width-percent:0;mso-height-percent:0;mso-width-percent:0;mso-height-percent:0" o:hralign="center" o:hrstd="t" o:hr="t" fillcolor="#a0a0a0" stroked="f"/>
        </w:pict>
      </w:r>
    </w:p>
    <w:p w14:paraId="482CFDD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Empirical pitfalls</w:t>
      </w:r>
    </w:p>
    <w:p w14:paraId="011341A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Definitional ambiguity.</w:t>
      </w:r>
      <w:r w:rsidRPr="0032251D">
        <w:rPr>
          <w:rFonts w:ascii="Aptos" w:eastAsia="Times New Roman" w:hAnsi="Aptos" w:cs="Times New Roman"/>
          <w:kern w:val="0"/>
          <w:sz w:val="22"/>
          <w:szCs w:val="22"/>
          <w:lang w:eastAsia="en-GB"/>
          <w14:ligatures w14:val="none"/>
        </w:rPr>
        <w:t xml:space="preserve"> What counts as NBFI? The FSB distinguishes a "narrow measure" (institutions performing bank-like functions and posing financial stability risks) and a "broad measure" (all non-bank financial institutions). The difference matters for analysis — the broad measure includes pure equity funds and other low-fragility institutions.</w:t>
      </w:r>
    </w:p>
    <w:p w14:paraId="5ACB117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Limited disclosure.</w:t>
      </w:r>
      <w:r w:rsidRPr="0032251D">
        <w:rPr>
          <w:rFonts w:ascii="Aptos" w:eastAsia="Times New Roman" w:hAnsi="Aptos" w:cs="Times New Roman"/>
          <w:kern w:val="0"/>
          <w:sz w:val="22"/>
          <w:szCs w:val="22"/>
          <w:lang w:eastAsia="en-GB"/>
          <w14:ligatures w14:val="none"/>
        </w:rPr>
        <w:t xml:space="preserve"> Many NBFIs — especially hedge funds, private credit, family offices — have minimal public disclosure. Form PF in the US, AIFMD in Europe provide some regulatory disclosure but data is lagged (typically quarterly with </w:t>
      </w:r>
      <w:proofErr w:type="gramStart"/>
      <w:r w:rsidRPr="0032251D">
        <w:rPr>
          <w:rFonts w:ascii="Aptos" w:eastAsia="Times New Roman" w:hAnsi="Aptos" w:cs="Times New Roman"/>
          <w:kern w:val="0"/>
          <w:sz w:val="22"/>
          <w:szCs w:val="22"/>
          <w:lang w:eastAsia="en-GB"/>
          <w14:ligatures w14:val="none"/>
        </w:rPr>
        <w:t>60-90 day</w:t>
      </w:r>
      <w:proofErr w:type="gramEnd"/>
      <w:r w:rsidRPr="0032251D">
        <w:rPr>
          <w:rFonts w:ascii="Aptos" w:eastAsia="Times New Roman" w:hAnsi="Aptos" w:cs="Times New Roman"/>
          <w:kern w:val="0"/>
          <w:sz w:val="22"/>
          <w:szCs w:val="22"/>
          <w:lang w:eastAsia="en-GB"/>
          <w14:ligatures w14:val="none"/>
        </w:rPr>
        <w:t xml:space="preserve"> lag) and aggregated.</w:t>
      </w:r>
    </w:p>
    <w:p w14:paraId="3B6AD67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Cross-border activity.</w:t>
      </w:r>
      <w:r w:rsidRPr="0032251D">
        <w:rPr>
          <w:rFonts w:ascii="Aptos" w:eastAsia="Times New Roman" w:hAnsi="Aptos" w:cs="Times New Roman"/>
          <w:kern w:val="0"/>
          <w:sz w:val="22"/>
          <w:szCs w:val="22"/>
          <w:lang w:eastAsia="en-GB"/>
          <w14:ligatures w14:val="none"/>
        </w:rPr>
        <w:t xml:space="preserve"> NBFIs often operate across jurisdictions. Cayman-domiciled hedge funds, Luxembourg AIFs, Dublin-based funds. Determining where the "real" activity sits — fund domicile, manager location, asset location — is non-trivial.</w:t>
      </w:r>
    </w:p>
    <w:p w14:paraId="0CB30B7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Look-through to ultimate exposures.</w:t>
      </w:r>
      <w:r w:rsidRPr="0032251D">
        <w:rPr>
          <w:rFonts w:ascii="Aptos" w:eastAsia="Times New Roman" w:hAnsi="Aptos" w:cs="Times New Roman"/>
          <w:kern w:val="0"/>
          <w:sz w:val="22"/>
          <w:szCs w:val="22"/>
          <w:lang w:eastAsia="en-GB"/>
          <w14:ligatures w14:val="none"/>
        </w:rPr>
        <w:t xml:space="preserve"> Fund-of-funds structures obscure ultimate exposures. Synthetic exposures via derivatives further complicate. The 2008 SIV crisis revealed that exposures aggregated across vehicles were larger than disclosed for any individual vehicle.</w:t>
      </w:r>
    </w:p>
    <w:p w14:paraId="4BCBCBD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Frequency mismatch.</w:t>
      </w:r>
      <w:r w:rsidRPr="0032251D">
        <w:rPr>
          <w:rFonts w:ascii="Aptos" w:eastAsia="Times New Roman" w:hAnsi="Aptos" w:cs="Times New Roman"/>
          <w:kern w:val="0"/>
          <w:sz w:val="22"/>
          <w:szCs w:val="22"/>
          <w:lang w:eastAsia="en-GB"/>
          <w14:ligatures w14:val="none"/>
        </w:rPr>
        <w:t xml:space="preserve"> NBFI data is typically quarterly or annual with significant lag. Markets move faster. Real-time NBFI stress indicators must be inferred from market data (CDS, fund prices, redemption patterns where disclosed).</w:t>
      </w:r>
    </w:p>
    <w:p w14:paraId="6456E6D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 xml:space="preserve">Aggregate vs </w:t>
      </w:r>
      <w:proofErr w:type="gramStart"/>
      <w:r w:rsidRPr="0032251D">
        <w:rPr>
          <w:rFonts w:ascii="Aptos" w:eastAsia="Times New Roman" w:hAnsi="Aptos" w:cs="Times New Roman"/>
          <w:i/>
          <w:iCs/>
          <w:kern w:val="0"/>
          <w:sz w:val="22"/>
          <w:szCs w:val="22"/>
          <w:lang w:eastAsia="en-GB"/>
          <w14:ligatures w14:val="none"/>
        </w:rPr>
        <w:t>entity-specific</w:t>
      </w:r>
      <w:proofErr w:type="gramEnd"/>
      <w:r w:rsidRPr="0032251D">
        <w:rPr>
          <w:rFonts w:ascii="Aptos" w:eastAsia="Times New Roman" w:hAnsi="Aptos" w:cs="Times New Roman"/>
          <w:i/>
          <w:iCs/>
          <w:kern w:val="0"/>
          <w:sz w:val="22"/>
          <w:szCs w:val="22"/>
          <w:lang w:eastAsia="en-GB"/>
          <w14:ligatures w14:val="none"/>
        </w:rPr>
        <w:t>.</w:t>
      </w:r>
      <w:r w:rsidRPr="0032251D">
        <w:rPr>
          <w:rFonts w:ascii="Aptos" w:eastAsia="Times New Roman" w:hAnsi="Aptos" w:cs="Times New Roman"/>
          <w:kern w:val="0"/>
          <w:sz w:val="22"/>
          <w:szCs w:val="22"/>
          <w:lang w:eastAsia="en-GB"/>
          <w14:ligatures w14:val="none"/>
        </w:rPr>
        <w:t xml:space="preserve"> Aggregate NBFI metrics may look fine while specific entities are stressed. The pre-LTCM aggregate hedge fund picture in 1998 was uneventful; LTCM specifically was catastrophic.</w:t>
      </w:r>
    </w:p>
    <w:p w14:paraId="74E3B99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Run risk identification ex-ante.</w:t>
      </w:r>
      <w:r w:rsidRPr="0032251D">
        <w:rPr>
          <w:rFonts w:ascii="Aptos" w:eastAsia="Times New Roman" w:hAnsi="Aptos" w:cs="Times New Roman"/>
          <w:kern w:val="0"/>
          <w:sz w:val="22"/>
          <w:szCs w:val="22"/>
          <w:lang w:eastAsia="en-GB"/>
          <w14:ligatures w14:val="none"/>
        </w:rPr>
        <w:t xml:space="preserve"> Distinguishing temporary outflows from systemic runs is hard before the run completes. Post-event identification is easier but less useful.</w:t>
      </w:r>
    </w:p>
    <w:p w14:paraId="5F54127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Private market valuations.</w:t>
      </w:r>
      <w:r w:rsidRPr="0032251D">
        <w:rPr>
          <w:rFonts w:ascii="Aptos" w:eastAsia="Times New Roman" w:hAnsi="Aptos" w:cs="Times New Roman"/>
          <w:kern w:val="0"/>
          <w:sz w:val="22"/>
          <w:szCs w:val="22"/>
          <w:lang w:eastAsia="en-GB"/>
          <w14:ligatures w14:val="none"/>
        </w:rPr>
        <w:t xml:space="preserve"> Private credit and private equity use stale or smoothed valuations. Reported NAVs may not reflect true mark-to-market. The 2008 private equity NAV </w:t>
      </w:r>
      <w:proofErr w:type="spellStart"/>
      <w:r w:rsidRPr="0032251D">
        <w:rPr>
          <w:rFonts w:ascii="Aptos" w:eastAsia="Times New Roman" w:hAnsi="Aptos" w:cs="Times New Roman"/>
          <w:kern w:val="0"/>
          <w:sz w:val="22"/>
          <w:szCs w:val="22"/>
          <w:lang w:eastAsia="en-GB"/>
          <w14:ligatures w14:val="none"/>
        </w:rPr>
        <w:t>writedowns</w:t>
      </w:r>
      <w:proofErr w:type="spellEnd"/>
      <w:r w:rsidRPr="0032251D">
        <w:rPr>
          <w:rFonts w:ascii="Aptos" w:eastAsia="Times New Roman" w:hAnsi="Aptos" w:cs="Times New Roman"/>
          <w:kern w:val="0"/>
          <w:sz w:val="22"/>
          <w:szCs w:val="22"/>
          <w:lang w:eastAsia="en-GB"/>
          <w14:ligatures w14:val="none"/>
        </w:rPr>
        <w:t xml:space="preserve"> lagged listed equity by 6-12 months; private credit may have similar lag dynamics in the current cycle.</w:t>
      </w:r>
    </w:p>
    <w:p w14:paraId="3754A6F6"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35FB38FE">
          <v:rect id="_x0000_i1099" alt="" style="width:451.3pt;height:.05pt;mso-width-percent:0;mso-height-percent:0;mso-width-percent:0;mso-height-percent:0" o:hralign="center" o:hrstd="t" o:hr="t" fillcolor="#a0a0a0" stroked="f"/>
        </w:pict>
      </w:r>
    </w:p>
    <w:p w14:paraId="4595F565"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Where dissonance lives</w:t>
      </w:r>
    </w:p>
    <w:p w14:paraId="24F40F3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Within L5b:</w:t>
      </w:r>
    </w:p>
    <w:p w14:paraId="41F87D8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Intra-node.</w:t>
      </w:r>
      <w:r w:rsidRPr="0032251D">
        <w:rPr>
          <w:rFonts w:ascii="Aptos" w:eastAsia="Times New Roman" w:hAnsi="Aptos" w:cs="Times New Roman"/>
          <w:kern w:val="0"/>
          <w:sz w:val="22"/>
          <w:szCs w:val="22"/>
          <w:lang w:eastAsia="en-GB"/>
          <w14:ligatures w14:val="none"/>
        </w:rPr>
        <w:t xml:space="preserve"> Different NBFI sub-types should jointly imply the same stress reading, given their respective vulnerabilities.</w:t>
      </w:r>
    </w:p>
    <w:p w14:paraId="74F5A2D9" w14:textId="77777777" w:rsidR="0032251D" w:rsidRPr="0032251D" w:rsidRDefault="0032251D">
      <w:pPr>
        <w:numPr>
          <w:ilvl w:val="0"/>
          <w:numId w:val="7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Dissonance: one sub-sector calm while another shows acute stress. March 2020 MMF runs occurred while hedge fund basis trades were collapsing; the joint stress was </w:t>
      </w:r>
      <w:proofErr w:type="gramStart"/>
      <w:r w:rsidRPr="0032251D">
        <w:rPr>
          <w:rFonts w:ascii="Aptos" w:eastAsia="Times New Roman" w:hAnsi="Aptos" w:cs="Times New Roman"/>
          <w:kern w:val="0"/>
          <w:sz w:val="22"/>
          <w:szCs w:val="22"/>
          <w:lang w:eastAsia="en-GB"/>
          <w14:ligatures w14:val="none"/>
        </w:rPr>
        <w:t>clear</w:t>
      </w:r>
      <w:proofErr w:type="gramEnd"/>
      <w:r w:rsidRPr="0032251D">
        <w:rPr>
          <w:rFonts w:ascii="Aptos" w:eastAsia="Times New Roman" w:hAnsi="Aptos" w:cs="Times New Roman"/>
          <w:kern w:val="0"/>
          <w:sz w:val="22"/>
          <w:szCs w:val="22"/>
          <w:lang w:eastAsia="en-GB"/>
          <w14:ligatures w14:val="none"/>
        </w:rPr>
        <w:t xml:space="preserve"> but the channels were distinct.</w:t>
      </w:r>
    </w:p>
    <w:p w14:paraId="0E755F1D" w14:textId="77777777" w:rsidR="0032251D" w:rsidRPr="0032251D" w:rsidRDefault="0032251D">
      <w:pPr>
        <w:numPr>
          <w:ilvl w:val="0"/>
          <w:numId w:val="7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Dissonance: aggregate NBFI metrics fine while specific entity or strategy concentration shows stress (the LTCM pattern; the LDI pattern).</w:t>
      </w:r>
    </w:p>
    <w:p w14:paraId="47CE8DD0" w14:textId="77777777" w:rsidR="0032251D" w:rsidRPr="0032251D" w:rsidRDefault="0032251D">
      <w:pPr>
        <w:numPr>
          <w:ilvl w:val="0"/>
          <w:numId w:val="7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Dissonance: leverage metrics calm while redemption pressure rising (or vice versa) — different fragility dimensions decoupling.</w:t>
      </w:r>
    </w:p>
    <w:p w14:paraId="5A2339D4" w14:textId="77777777" w:rsidR="0032251D" w:rsidRPr="0032251D" w:rsidRDefault="0032251D">
      <w:pPr>
        <w:numPr>
          <w:ilvl w:val="0"/>
          <w:numId w:val="7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Dissonance: private market reported NAVs steady while public market equivalents reprice — valuation smoothing masking stress.</w:t>
      </w:r>
    </w:p>
    <w:p w14:paraId="146E6EF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upward.</w:t>
      </w:r>
    </w:p>
    <w:p w14:paraId="6BA45B6A" w14:textId="77777777" w:rsidR="0032251D" w:rsidRPr="0032251D" w:rsidRDefault="0032251D">
      <w:pPr>
        <w:numPr>
          <w:ilvl w:val="0"/>
          <w:numId w:val="7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lastRenderedPageBreak/>
        <w:t>L1 → L5b: NBFI behaviour should be consistent with monetary stance. Dissonance: NBFI leverage builds during tightening (carry hunting); NBFI funding stress emerges that the rule didn't anticipate.</w:t>
      </w:r>
    </w:p>
    <w:p w14:paraId="1B53CF3F" w14:textId="77777777" w:rsidR="0032251D" w:rsidRPr="0032251D" w:rsidRDefault="0032251D">
      <w:pPr>
        <w:numPr>
          <w:ilvl w:val="0"/>
          <w:numId w:val="7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L3a → L5b: rate affects NBFI funding costs and carry trades. Dissonance: rate moves producing disproportionate NBFI stress (MMF outflows, hedge fund deleveraging at smaller-than-expected rate changes).</w:t>
      </w:r>
    </w:p>
    <w:p w14:paraId="7942605A" w14:textId="77777777" w:rsidR="0032251D" w:rsidRPr="0032251D" w:rsidRDefault="0032251D">
      <w:pPr>
        <w:numPr>
          <w:ilvl w:val="0"/>
          <w:numId w:val="7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L3b → L5b: QE supports NBFI risk-taking via lower yields and reach for yield. Dissonance: NBFI stress emerging during QE — risk migration outpacing supervision.</w:t>
      </w:r>
    </w:p>
    <w:p w14:paraId="02774CF1" w14:textId="77777777" w:rsidR="0032251D" w:rsidRPr="0032251D" w:rsidRDefault="0032251D">
      <w:pPr>
        <w:numPr>
          <w:ilvl w:val="0"/>
          <w:numId w:val="7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L3e → L5b: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on banks shifts risk to NBFI (the structural post-2008 dynamic). Dissonance: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tightening on banks while NBFI risk builds — risk migration as expected, but at scales not anticipated.</w:t>
      </w:r>
    </w:p>
    <w:p w14:paraId="35CF70C6" w14:textId="77777777" w:rsidR="0032251D" w:rsidRPr="0032251D" w:rsidRDefault="0032251D">
      <w:pPr>
        <w:numPr>
          <w:ilvl w:val="0"/>
          <w:numId w:val="7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L3f → L5b: most facilities exclude NBFIs. Dissonance: NBFI stress without facility access — structural coverage gap, the most important standing weakness of post-2008 architecture.</w:t>
      </w:r>
    </w:p>
    <w:p w14:paraId="722630C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peer.</w:t>
      </w:r>
    </w:p>
    <w:p w14:paraId="3E2917E8" w14:textId="77777777" w:rsidR="0032251D" w:rsidRPr="0032251D" w:rsidRDefault="0032251D">
      <w:pPr>
        <w:numPr>
          <w:ilvl w:val="0"/>
          <w:numId w:val="7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L5a ↔ L5b: banks fund NBFIs (prime brokerage, securities financing, repo). Bank stress without NBFI stress = effective separation; NBFI stress without bank stress = risk migration containing.</w:t>
      </w:r>
    </w:p>
    <w:p w14:paraId="4986F72C" w14:textId="77777777" w:rsidR="0032251D" w:rsidRPr="0032251D" w:rsidRDefault="0032251D">
      <w:pPr>
        <w:numPr>
          <w:ilvl w:val="0"/>
          <w:numId w:val="7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L5c ↔ L5b: dealers fund NBFI positions; NBFI deleveraging without dealer balance sheet relief = forced unwinds.</w:t>
      </w:r>
    </w:p>
    <w:p w14:paraId="59C52F4B" w14:textId="77777777" w:rsidR="0032251D" w:rsidRPr="0032251D" w:rsidRDefault="0032251D">
      <w:pPr>
        <w:numPr>
          <w:ilvl w:val="0"/>
          <w:numId w:val="7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L4 ↔ L5b: market moves drive NBFI margin and redemption dynamics; large market moves without NBFI position changes suggest hidden positioning or extended </w:t>
      </w:r>
      <w:proofErr w:type="gramStart"/>
      <w:r w:rsidRPr="0032251D">
        <w:rPr>
          <w:rFonts w:ascii="Aptos" w:eastAsia="Times New Roman" w:hAnsi="Aptos" w:cs="Times New Roman"/>
          <w:kern w:val="0"/>
          <w:sz w:val="22"/>
          <w:szCs w:val="22"/>
          <w:lang w:eastAsia="en-GB"/>
          <w14:ligatures w14:val="none"/>
        </w:rPr>
        <w:t>lock-ups</w:t>
      </w:r>
      <w:proofErr w:type="gramEnd"/>
      <w:r w:rsidRPr="0032251D">
        <w:rPr>
          <w:rFonts w:ascii="Aptos" w:eastAsia="Times New Roman" w:hAnsi="Aptos" w:cs="Times New Roman"/>
          <w:kern w:val="0"/>
          <w:sz w:val="22"/>
          <w:szCs w:val="22"/>
          <w:lang w:eastAsia="en-GB"/>
          <w14:ligatures w14:val="none"/>
        </w:rPr>
        <w:t>.</w:t>
      </w:r>
    </w:p>
    <w:p w14:paraId="7CB4480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w:t>
      </w:r>
    </w:p>
    <w:p w14:paraId="2B3D2BEF" w14:textId="77777777" w:rsidR="0032251D" w:rsidRPr="0032251D" w:rsidRDefault="0032251D">
      <w:pPr>
        <w:numPr>
          <w:ilvl w:val="0"/>
          <w:numId w:val="7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L5b → L6: NBFI positioning embeds expectations; positioning misaligned with survey expectations = behavioural beliefs vs stated beliefs diverging.</w:t>
      </w:r>
    </w:p>
    <w:p w14:paraId="64CB4A69" w14:textId="77777777" w:rsidR="0032251D" w:rsidRPr="0032251D" w:rsidRDefault="0032251D">
      <w:pPr>
        <w:numPr>
          <w:ilvl w:val="0"/>
          <w:numId w:val="7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L5b → L7: NBFI stress feeds spreads and FCI; NBFI stress without FCI response = NBFI under-represented in FCI construction.</w:t>
      </w:r>
    </w:p>
    <w:p w14:paraId="65F28F22" w14:textId="77777777" w:rsidR="0032251D" w:rsidRPr="0032251D" w:rsidRDefault="0032251D">
      <w:pPr>
        <w:numPr>
          <w:ilvl w:val="0"/>
          <w:numId w:val="7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L5b → L8: NBFI risk-bearing affects risk premia (intermediary asset pricing). Dissonance: NBFI deleveraging without risk-premium response — repricing lagging stress.</w:t>
      </w:r>
    </w:p>
    <w:p w14:paraId="256A0842" w14:textId="77777777" w:rsidR="0032251D" w:rsidRPr="0032251D" w:rsidRDefault="0032251D">
      <w:pPr>
        <w:numPr>
          <w:ilvl w:val="0"/>
          <w:numId w:val="7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L5b → L9: NBFI flows move asset prices. Dissonance: NBFI flows without expected asset-price impact — flows absorbed by other buyers.</w:t>
      </w:r>
    </w:p>
    <w:p w14:paraId="6FCB9DF2" w14:textId="77777777" w:rsidR="0032251D" w:rsidRPr="0032251D" w:rsidRDefault="0032251D">
      <w:pPr>
        <w:numPr>
          <w:ilvl w:val="0"/>
          <w:numId w:val="7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L5b → L10b: NBFI fragility is the post-2008 stability concern. Most recent crisis episodes — 2019 repo, March 2020 Treasury dysfunction, 2022 UK LDI, 2023 regional bank stress — were NBFI-driven, not bank-driven. NBFI metrics calm with stability concerns rising = NBFI under-monitored.</w:t>
      </w:r>
    </w:p>
    <w:p w14:paraId="7177422D" w14:textId="77777777" w:rsidR="0032251D" w:rsidRPr="0032251D" w:rsidRDefault="0032251D">
      <w:pPr>
        <w:numPr>
          <w:ilvl w:val="0"/>
          <w:numId w:val="7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L5b → L10c: NBFI flows cross-border; NBFI flows without spillover = domestic flow recycling.</w:t>
      </w:r>
    </w:p>
    <w:p w14:paraId="07329C8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The L5b node is the </w:t>
      </w:r>
      <w:r w:rsidRPr="0032251D">
        <w:rPr>
          <w:rFonts w:ascii="Aptos" w:eastAsia="Times New Roman" w:hAnsi="Aptos" w:cs="Times New Roman"/>
          <w:i/>
          <w:iCs/>
          <w:kern w:val="0"/>
          <w:sz w:val="22"/>
          <w:szCs w:val="22"/>
          <w:lang w:eastAsia="en-GB"/>
          <w14:ligatures w14:val="none"/>
        </w:rPr>
        <w:t>post-2008 risk migration node</w:t>
      </w:r>
      <w:r w:rsidRPr="0032251D">
        <w:rPr>
          <w:rFonts w:ascii="Aptos" w:eastAsia="Times New Roman" w:hAnsi="Aptos" w:cs="Times New Roman"/>
          <w:kern w:val="0"/>
          <w:sz w:val="22"/>
          <w:szCs w:val="22"/>
          <w:lang w:eastAsia="en-GB"/>
          <w14:ligatures w14:val="none"/>
        </w:rPr>
        <w:t>. It is structurally where risk has accumulated as Basel III tightened bank regulation. The defining feature is the asymmetry between functional importance (NBFIs perform bank-like intermediation at scale) and regulatory coverage (limited access to backstops, limited prudential oversight). Dissonance at L5b means NBFI stress is building outside the regulatory perimeter — typically the leading indicator of a financial stability event, because by the time stress shows up at L5a banks the contagion has already propagated.</w:t>
      </w:r>
    </w:p>
    <w:p w14:paraId="3BABBB5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lastRenderedPageBreak/>
        <w:t xml:space="preserve">For the framework, NBFI is uniquely important because it is the node where </w:t>
      </w:r>
      <w:r w:rsidRPr="0032251D">
        <w:rPr>
          <w:rFonts w:ascii="Aptos" w:eastAsia="Times New Roman" w:hAnsi="Aptos" w:cs="Times New Roman"/>
          <w:i/>
          <w:iCs/>
          <w:kern w:val="0"/>
          <w:sz w:val="22"/>
          <w:szCs w:val="22"/>
          <w:lang w:eastAsia="en-GB"/>
          <w14:ligatures w14:val="none"/>
        </w:rPr>
        <w:t xml:space="preserve">most modern crisis dynamics </w:t>
      </w:r>
      <w:proofErr w:type="gramStart"/>
      <w:r w:rsidRPr="0032251D">
        <w:rPr>
          <w:rFonts w:ascii="Aptos" w:eastAsia="Times New Roman" w:hAnsi="Aptos" w:cs="Times New Roman"/>
          <w:i/>
          <w:iCs/>
          <w:kern w:val="0"/>
          <w:sz w:val="22"/>
          <w:szCs w:val="22"/>
          <w:lang w:eastAsia="en-GB"/>
          <w14:ligatures w14:val="none"/>
        </w:rPr>
        <w:t>actually live</w:t>
      </w:r>
      <w:proofErr w:type="gramEnd"/>
      <w:r w:rsidRPr="0032251D">
        <w:rPr>
          <w:rFonts w:ascii="Aptos" w:eastAsia="Times New Roman" w:hAnsi="Aptos" w:cs="Times New Roman"/>
          <w:kern w:val="0"/>
          <w:sz w:val="22"/>
          <w:szCs w:val="22"/>
          <w:lang w:eastAsia="en-GB"/>
          <w14:ligatures w14:val="none"/>
        </w:rPr>
        <w:t>. The textbook bank-centric transmission map (L1 → L3 → L5a → L10a) misses where risk now sits. A framework that only monitors L5a will be systematically late to crises — which is the most important methodological implication of the post-2008 structural transformation.</w:t>
      </w:r>
    </w:p>
    <w:p w14:paraId="463EB95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For SA specifically, the L5b node is concentrated in PIC and the major insurance/asset management groups, with foreign NBFI participation driving short-term flow dynamics. PIC behaviour during sovereign stress episodes is structurally important because of its size and political sensitivity — it is simultaneously a buyer-of-last-resort of SAGB and a politically-sensitive institution that cannot be expected to behave like a fully market-driven NBFI. This dual nature is itself a source of analytical complexity for L5b in SA — the largest NBFI does not behave like a private-sector NBFI, and the framework needs to accommodate that.</w:t>
      </w:r>
    </w:p>
    <w:p w14:paraId="12CEFA2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Level 5c — Dealers</w:t>
      </w:r>
    </w:p>
    <w:p w14:paraId="295FE1E5"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Definition.</w:t>
      </w:r>
      <w:r w:rsidRPr="0032251D">
        <w:rPr>
          <w:rFonts w:ascii="Aptos" w:eastAsia="Times New Roman" w:hAnsi="Aptos" w:cs="Times New Roman"/>
          <w:kern w:val="0"/>
          <w:sz w:val="22"/>
          <w:szCs w:val="22"/>
          <w:lang w:eastAsia="en-GB"/>
          <w14:ligatures w14:val="none"/>
        </w:rPr>
        <w:t xml:space="preserve"> Dealers are the institutions that make markets in securities — they quote bids and offers, warehouse inventory, and intermediate between buyers and sellers. They are the plumbing of fixed-income, derivatives, repo, and FX markets. Major dealers are typically within global systemically important banks (G-SIBs): Goldman Sachs, JPMorgan, Citi, Bank of America, Morgan Stanley, Deutsche Bank, Barclays, BNP Paribas, UBS, and a smaller number of standalone broker-dealers. </w:t>
      </w:r>
      <w:r w:rsidRPr="0032251D">
        <w:rPr>
          <w:rFonts w:ascii="Aptos" w:eastAsia="Times New Roman" w:hAnsi="Aptos" w:cs="Times New Roman"/>
          <w:i/>
          <w:iCs/>
          <w:kern w:val="0"/>
          <w:sz w:val="22"/>
          <w:szCs w:val="22"/>
          <w:lang w:eastAsia="en-GB"/>
          <w14:ligatures w14:val="none"/>
        </w:rPr>
        <w:t>Primary dealers</w:t>
      </w:r>
      <w:r w:rsidRPr="0032251D">
        <w:rPr>
          <w:rFonts w:ascii="Aptos" w:eastAsia="Times New Roman" w:hAnsi="Aptos" w:cs="Times New Roman"/>
          <w:kern w:val="0"/>
          <w:sz w:val="22"/>
          <w:szCs w:val="22"/>
          <w:lang w:eastAsia="en-GB"/>
          <w14:ligatures w14:val="none"/>
        </w:rPr>
        <w:t xml:space="preserve"> have a specific role in sovereign debt markets — they bid in primary auctions and make markets in the secondary market under designation by the central bank or treasury. Dealer functions: market-making in cash bonds, derivatives, FX, and repo; primary dealer activity in sovereign auctions; prime brokerage for hedge funds; repo intermediation between cash lenders and borrowers; securities financing transactions; derivative market-making (swaps, options, FX forwards). Unlike L5a banks (credit intermediaries) and L5b NBFIs (varied intermediaries), the dealer node is specifically about </w:t>
      </w:r>
      <w:r w:rsidRPr="0032251D">
        <w:rPr>
          <w:rFonts w:ascii="Aptos" w:eastAsia="Times New Roman" w:hAnsi="Aptos" w:cs="Times New Roman"/>
          <w:i/>
          <w:iCs/>
          <w:kern w:val="0"/>
          <w:sz w:val="22"/>
          <w:szCs w:val="22"/>
          <w:lang w:eastAsia="en-GB"/>
          <w14:ligatures w14:val="none"/>
        </w:rPr>
        <w:t>market intermediation</w:t>
      </w:r>
      <w:r w:rsidRPr="0032251D">
        <w:rPr>
          <w:rFonts w:ascii="Aptos" w:eastAsia="Times New Roman" w:hAnsi="Aptos" w:cs="Times New Roman"/>
          <w:kern w:val="0"/>
          <w:sz w:val="22"/>
          <w:szCs w:val="22"/>
          <w:lang w:eastAsia="en-GB"/>
          <w14:ligatures w14:val="none"/>
        </w:rPr>
        <w:t xml:space="preserve"> — the conversion of demand-to-buy into demand-to-sell at observable prices. When dealer capacity is constrained, markets cannot function smoothly even when no fundamental reason for stress exists. The 2020 Treasury market dislocation, the 2019 repo spike, and the persistent post-2008 CIP basis are all </w:t>
      </w:r>
      <w:r w:rsidRPr="0032251D">
        <w:rPr>
          <w:rFonts w:ascii="Aptos" w:eastAsia="Times New Roman" w:hAnsi="Aptos" w:cs="Times New Roman"/>
          <w:i/>
          <w:iCs/>
          <w:kern w:val="0"/>
          <w:sz w:val="22"/>
          <w:szCs w:val="22"/>
          <w:lang w:eastAsia="en-GB"/>
          <w14:ligatures w14:val="none"/>
        </w:rPr>
        <w:t>dealer balance sheet stories</w:t>
      </w:r>
      <w:r w:rsidRPr="0032251D">
        <w:rPr>
          <w:rFonts w:ascii="Aptos" w:eastAsia="Times New Roman" w:hAnsi="Aptos" w:cs="Times New Roman"/>
          <w:kern w:val="0"/>
          <w:sz w:val="22"/>
          <w:szCs w:val="22"/>
          <w:lang w:eastAsia="en-GB"/>
          <w14:ligatures w14:val="none"/>
        </w:rPr>
        <w:t>, not stories about underlying credit or solvency.</w:t>
      </w:r>
    </w:p>
    <w:p w14:paraId="5E69D05A"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0755A721">
          <v:rect id="_x0000_i1100" alt="" style="width:451.3pt;height:.05pt;mso-width-percent:0;mso-height-percent:0;mso-width-percent:0;mso-height-percent:0" o:hralign="center" o:hrstd="t" o:hr="t" fillcolor="#a0a0a0" stroked="f"/>
        </w:pict>
      </w:r>
    </w:p>
    <w:p w14:paraId="1C6AF57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Theory</w:t>
      </w:r>
    </w:p>
    <w:p w14:paraId="4E56EDB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Several theoretical foundations underpin the dealer node.</w:t>
      </w:r>
    </w:p>
    <w:p w14:paraId="77EA03A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Inventory management.</w:t>
      </w:r>
      <w:r w:rsidRPr="0032251D">
        <w:rPr>
          <w:rFonts w:ascii="Aptos" w:eastAsia="Times New Roman" w:hAnsi="Aptos" w:cs="Times New Roman"/>
          <w:kern w:val="0"/>
          <w:sz w:val="22"/>
          <w:szCs w:val="22"/>
          <w:lang w:eastAsia="en-GB"/>
          <w14:ligatures w14:val="none"/>
        </w:rPr>
        <w:t xml:space="preserve"> Dealers do not just match buyers and sellers — they warehouse risk temporarily. When a customer wants to sell, the dealer buys and holds until a buyer arrives; when a customer wants to buy, the dealer sells from inventory or shorts. Inventory management is the core dealer function. The optimal inventory level depends on expected order flow, holding cost (capital + funding), and risk of price moves while warehousing.</w:t>
      </w:r>
    </w:p>
    <w:p w14:paraId="679C1CA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The bid-ask spread.</w:t>
      </w:r>
      <w:r w:rsidRPr="0032251D">
        <w:rPr>
          <w:rFonts w:ascii="Aptos" w:eastAsia="Times New Roman" w:hAnsi="Aptos" w:cs="Times New Roman"/>
          <w:kern w:val="0"/>
          <w:sz w:val="22"/>
          <w:szCs w:val="22"/>
          <w:lang w:eastAsia="en-GB"/>
          <w14:ligatures w14:val="none"/>
        </w:rPr>
        <w:t xml:space="preserve"> Compensates dealers for holding inventory risk. Wider spreads = higher cost of liquidity provision to end-users. The spread reflects: order flow uncertainty, inventory carry cost, capital tied up, and adverse selection risk (informed traders). When any of these rises, spreads widen.</w:t>
      </w:r>
    </w:p>
    <w:p w14:paraId="6B030E0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Intermediary asset pricing (He-Krishnamurthy 2013; Adrian-</w:t>
      </w:r>
      <w:proofErr w:type="spellStart"/>
      <w:r w:rsidRPr="0032251D">
        <w:rPr>
          <w:rFonts w:ascii="Aptos" w:eastAsia="Times New Roman" w:hAnsi="Aptos" w:cs="Times New Roman"/>
          <w:i/>
          <w:iCs/>
          <w:kern w:val="0"/>
          <w:sz w:val="22"/>
          <w:szCs w:val="22"/>
          <w:lang w:eastAsia="en-GB"/>
          <w14:ligatures w14:val="none"/>
        </w:rPr>
        <w:t>Etula</w:t>
      </w:r>
      <w:proofErr w:type="spellEnd"/>
      <w:r w:rsidRPr="0032251D">
        <w:rPr>
          <w:rFonts w:ascii="Aptos" w:eastAsia="Times New Roman" w:hAnsi="Aptos" w:cs="Times New Roman"/>
          <w:i/>
          <w:iCs/>
          <w:kern w:val="0"/>
          <w:sz w:val="22"/>
          <w:szCs w:val="22"/>
          <w:lang w:eastAsia="en-GB"/>
          <w14:ligatures w14:val="none"/>
        </w:rPr>
        <w:t>-Muir 2014).</w:t>
      </w:r>
      <w:r w:rsidRPr="0032251D">
        <w:rPr>
          <w:rFonts w:ascii="Aptos" w:eastAsia="Times New Roman" w:hAnsi="Aptos" w:cs="Times New Roman"/>
          <w:kern w:val="0"/>
          <w:sz w:val="22"/>
          <w:szCs w:val="22"/>
          <w:lang w:eastAsia="en-GB"/>
          <w14:ligatures w14:val="none"/>
        </w:rPr>
        <w:t xml:space="preserve"> The same framework that applies to NBFIs applies — perhaps even more directly — to dealers. Dealer balance sheet constraints affect risk premia across asset classes. Adrian-</w:t>
      </w:r>
      <w:proofErr w:type="spellStart"/>
      <w:r w:rsidRPr="0032251D">
        <w:rPr>
          <w:rFonts w:ascii="Aptos" w:eastAsia="Times New Roman" w:hAnsi="Aptos" w:cs="Times New Roman"/>
          <w:kern w:val="0"/>
          <w:sz w:val="22"/>
          <w:szCs w:val="22"/>
          <w:lang w:eastAsia="en-GB"/>
          <w14:ligatures w14:val="none"/>
        </w:rPr>
        <w:t>Etula</w:t>
      </w:r>
      <w:proofErr w:type="spellEnd"/>
      <w:r w:rsidRPr="0032251D">
        <w:rPr>
          <w:rFonts w:ascii="Aptos" w:eastAsia="Times New Roman" w:hAnsi="Aptos" w:cs="Times New Roman"/>
          <w:kern w:val="0"/>
          <w:sz w:val="22"/>
          <w:szCs w:val="22"/>
          <w:lang w:eastAsia="en-GB"/>
          <w14:ligatures w14:val="none"/>
        </w:rPr>
        <w:t>-Muir show that primary dealer broker-dealer leverage is a pricing factor that explains cross-sectional returns. When dealer leverage is high, risk premia are compressed; when dealer leverage is constrained, risk premia widen.</w:t>
      </w:r>
    </w:p>
    <w:p w14:paraId="6F3EE01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Limits to arbitrage (Shleifer-</w:t>
      </w:r>
      <w:proofErr w:type="spellStart"/>
      <w:r w:rsidRPr="0032251D">
        <w:rPr>
          <w:rFonts w:ascii="Aptos" w:eastAsia="Times New Roman" w:hAnsi="Aptos" w:cs="Times New Roman"/>
          <w:i/>
          <w:iCs/>
          <w:kern w:val="0"/>
          <w:sz w:val="22"/>
          <w:szCs w:val="22"/>
          <w:lang w:eastAsia="en-GB"/>
          <w14:ligatures w14:val="none"/>
        </w:rPr>
        <w:t>Vishny</w:t>
      </w:r>
      <w:proofErr w:type="spellEnd"/>
      <w:r w:rsidRPr="0032251D">
        <w:rPr>
          <w:rFonts w:ascii="Aptos" w:eastAsia="Times New Roman" w:hAnsi="Aptos" w:cs="Times New Roman"/>
          <w:i/>
          <w:iCs/>
          <w:kern w:val="0"/>
          <w:sz w:val="22"/>
          <w:szCs w:val="22"/>
          <w:lang w:eastAsia="en-GB"/>
          <w14:ligatures w14:val="none"/>
        </w:rPr>
        <w:t xml:space="preserve"> 1997; </w:t>
      </w:r>
      <w:proofErr w:type="spellStart"/>
      <w:r w:rsidRPr="0032251D">
        <w:rPr>
          <w:rFonts w:ascii="Aptos" w:eastAsia="Times New Roman" w:hAnsi="Aptos" w:cs="Times New Roman"/>
          <w:i/>
          <w:iCs/>
          <w:kern w:val="0"/>
          <w:sz w:val="22"/>
          <w:szCs w:val="22"/>
          <w:lang w:eastAsia="en-GB"/>
          <w14:ligatures w14:val="none"/>
        </w:rPr>
        <w:t>Gromb-Vayanos</w:t>
      </w:r>
      <w:proofErr w:type="spellEnd"/>
      <w:r w:rsidRPr="0032251D">
        <w:rPr>
          <w:rFonts w:ascii="Aptos" w:eastAsia="Times New Roman" w:hAnsi="Aptos" w:cs="Times New Roman"/>
          <w:i/>
          <w:iCs/>
          <w:kern w:val="0"/>
          <w:sz w:val="22"/>
          <w:szCs w:val="22"/>
          <w:lang w:eastAsia="en-GB"/>
          <w14:ligatures w14:val="none"/>
        </w:rPr>
        <w:t xml:space="preserve"> 2002).</w:t>
      </w:r>
      <w:r w:rsidRPr="0032251D">
        <w:rPr>
          <w:rFonts w:ascii="Aptos" w:eastAsia="Times New Roman" w:hAnsi="Aptos" w:cs="Times New Roman"/>
          <w:kern w:val="0"/>
          <w:sz w:val="22"/>
          <w:szCs w:val="22"/>
          <w:lang w:eastAsia="en-GB"/>
          <w14:ligatures w14:val="none"/>
        </w:rPr>
        <w:t xml:space="preserve"> Even when arbitrage opportunities exist, dealers' capacity to deploy capital against them is limited. Capital constraints, risk limits, funding constraints, and career-risk concerns all limit how much arbitrage capital can flow to obvious mispricing. The result: persistent deviations from fundamentals can exist when limits to arbitrage bind.</w:t>
      </w:r>
    </w:p>
    <w:p w14:paraId="5A27A44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CIP basis failure (Du-Tepper-</w:t>
      </w:r>
      <w:proofErr w:type="spellStart"/>
      <w:r w:rsidRPr="0032251D">
        <w:rPr>
          <w:rFonts w:ascii="Aptos" w:eastAsia="Times New Roman" w:hAnsi="Aptos" w:cs="Times New Roman"/>
          <w:i/>
          <w:iCs/>
          <w:kern w:val="0"/>
          <w:sz w:val="22"/>
          <w:szCs w:val="22"/>
          <w:lang w:eastAsia="en-GB"/>
          <w14:ligatures w14:val="none"/>
        </w:rPr>
        <w:t>Verdelhan</w:t>
      </w:r>
      <w:proofErr w:type="spellEnd"/>
      <w:r w:rsidRPr="0032251D">
        <w:rPr>
          <w:rFonts w:ascii="Aptos" w:eastAsia="Times New Roman" w:hAnsi="Aptos" w:cs="Times New Roman"/>
          <w:i/>
          <w:iCs/>
          <w:kern w:val="0"/>
          <w:sz w:val="22"/>
          <w:szCs w:val="22"/>
          <w:lang w:eastAsia="en-GB"/>
          <w14:ligatures w14:val="none"/>
        </w:rPr>
        <w:t xml:space="preserve"> 2018).</w:t>
      </w:r>
      <w:r w:rsidRPr="0032251D">
        <w:rPr>
          <w:rFonts w:ascii="Aptos" w:eastAsia="Times New Roman" w:hAnsi="Aptos" w:cs="Times New Roman"/>
          <w:kern w:val="0"/>
          <w:sz w:val="22"/>
          <w:szCs w:val="22"/>
          <w:lang w:eastAsia="en-GB"/>
          <w14:ligatures w14:val="none"/>
        </w:rPr>
        <w:t xml:space="preserve"> Covered interest parity used to hold tightly because dealers could </w:t>
      </w:r>
      <w:proofErr w:type="spellStart"/>
      <w:r w:rsidRPr="0032251D">
        <w:rPr>
          <w:rFonts w:ascii="Aptos" w:eastAsia="Times New Roman" w:hAnsi="Aptos" w:cs="Times New Roman"/>
          <w:kern w:val="0"/>
          <w:sz w:val="22"/>
          <w:szCs w:val="22"/>
          <w:lang w:eastAsia="en-GB"/>
          <w14:ligatures w14:val="none"/>
        </w:rPr>
        <w:t>costlessly</w:t>
      </w:r>
      <w:proofErr w:type="spellEnd"/>
      <w:r w:rsidRPr="0032251D">
        <w:rPr>
          <w:rFonts w:ascii="Aptos" w:eastAsia="Times New Roman" w:hAnsi="Aptos" w:cs="Times New Roman"/>
          <w:kern w:val="0"/>
          <w:sz w:val="22"/>
          <w:szCs w:val="22"/>
          <w:lang w:eastAsia="en-GB"/>
          <w14:ligatures w14:val="none"/>
        </w:rPr>
        <w:t xml:space="preserve"> arbitrage. Post-2008, CIP fails systematically because dealer balance sheet expansion is costly — SLR, G-SIB surcharges, and leverage ratio constraints all create explicit balance sheet costs for dealers. The CIP basis is therefore </w:t>
      </w:r>
      <w:r w:rsidRPr="0032251D">
        <w:rPr>
          <w:rFonts w:ascii="Aptos" w:eastAsia="Times New Roman" w:hAnsi="Aptos" w:cs="Times New Roman"/>
          <w:i/>
          <w:iCs/>
          <w:kern w:val="0"/>
          <w:sz w:val="22"/>
          <w:szCs w:val="22"/>
          <w:lang w:eastAsia="en-GB"/>
          <w14:ligatures w14:val="none"/>
        </w:rPr>
        <w:t>itself</w:t>
      </w:r>
      <w:r w:rsidRPr="0032251D">
        <w:rPr>
          <w:rFonts w:ascii="Aptos" w:eastAsia="Times New Roman" w:hAnsi="Aptos" w:cs="Times New Roman"/>
          <w:kern w:val="0"/>
          <w:sz w:val="22"/>
          <w:szCs w:val="22"/>
          <w:lang w:eastAsia="en-GB"/>
          <w14:ligatures w14:val="none"/>
        </w:rPr>
        <w:t xml:space="preserve"> a measure of dealer balance sheet constraint, priced in basis points. The basis varies systematically with quarter-end reporting dates (window-dressing), with stress regimes, and with regulatory cycles.</w:t>
      </w:r>
    </w:p>
    <w:p w14:paraId="3DD5199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Regulatory drivers of dealer constraint.</w:t>
      </w:r>
    </w:p>
    <w:p w14:paraId="3344B198" w14:textId="77777777" w:rsidR="0032251D" w:rsidRPr="0032251D" w:rsidRDefault="0032251D">
      <w:pPr>
        <w:numPr>
          <w:ilvl w:val="0"/>
          <w:numId w:val="7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SLR (Supplementary Leverage Ratio)</w:t>
      </w:r>
      <w:r w:rsidRPr="0032251D">
        <w:rPr>
          <w:rFonts w:ascii="Aptos" w:eastAsia="Times New Roman" w:hAnsi="Aptos" w:cs="Times New Roman"/>
          <w:kern w:val="0"/>
          <w:sz w:val="22"/>
          <w:szCs w:val="22"/>
          <w:lang w:eastAsia="en-GB"/>
          <w14:ligatures w14:val="none"/>
        </w:rPr>
        <w:t>: non-risk-weighted leverage cap. Binds dealer Treasury holdings specifically because Treasuries have zero risk weight but still consume leverage capacity.</w:t>
      </w:r>
    </w:p>
    <w:p w14:paraId="6D5DDCF9" w14:textId="77777777" w:rsidR="0032251D" w:rsidRPr="0032251D" w:rsidRDefault="0032251D">
      <w:pPr>
        <w:numPr>
          <w:ilvl w:val="0"/>
          <w:numId w:val="7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G-SIB surcharges</w:t>
      </w:r>
      <w:r w:rsidRPr="0032251D">
        <w:rPr>
          <w:rFonts w:ascii="Aptos" w:eastAsia="Times New Roman" w:hAnsi="Aptos" w:cs="Times New Roman"/>
          <w:kern w:val="0"/>
          <w:sz w:val="22"/>
          <w:szCs w:val="22"/>
          <w:lang w:eastAsia="en-GB"/>
          <w14:ligatures w14:val="none"/>
        </w:rPr>
        <w:t>: additional capital charge for systemically important banks; measured quarterly with year-end emphasis, creating predictable balance sheet shrinkage at period-end.</w:t>
      </w:r>
    </w:p>
    <w:p w14:paraId="44F3249B" w14:textId="77777777" w:rsidR="0032251D" w:rsidRPr="0032251D" w:rsidRDefault="0032251D">
      <w:pPr>
        <w:numPr>
          <w:ilvl w:val="0"/>
          <w:numId w:val="7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Volcker Rule (US)</w:t>
      </w:r>
      <w:r w:rsidRPr="0032251D">
        <w:rPr>
          <w:rFonts w:ascii="Aptos" w:eastAsia="Times New Roman" w:hAnsi="Aptos" w:cs="Times New Roman"/>
          <w:kern w:val="0"/>
          <w:sz w:val="22"/>
          <w:szCs w:val="22"/>
          <w:lang w:eastAsia="en-GB"/>
          <w14:ligatures w14:val="none"/>
        </w:rPr>
        <w:t>: limits proprietary trading; constrains dealer position-taking that is not customer-driven.</w:t>
      </w:r>
    </w:p>
    <w:p w14:paraId="3ED03A95" w14:textId="77777777" w:rsidR="0032251D" w:rsidRPr="0032251D" w:rsidRDefault="0032251D">
      <w:pPr>
        <w:numPr>
          <w:ilvl w:val="0"/>
          <w:numId w:val="7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Basel III leverage ratio</w:t>
      </w:r>
      <w:r w:rsidRPr="0032251D">
        <w:rPr>
          <w:rFonts w:ascii="Aptos" w:eastAsia="Times New Roman" w:hAnsi="Aptos" w:cs="Times New Roman"/>
          <w:kern w:val="0"/>
          <w:sz w:val="22"/>
          <w:szCs w:val="22"/>
          <w:lang w:eastAsia="en-GB"/>
          <w14:ligatures w14:val="none"/>
        </w:rPr>
        <w:t>: parallel constraint to SLR for non-US dealers.</w:t>
      </w:r>
    </w:p>
    <w:p w14:paraId="55642BA9" w14:textId="77777777" w:rsidR="0032251D" w:rsidRPr="0032251D" w:rsidRDefault="0032251D">
      <w:pPr>
        <w:numPr>
          <w:ilvl w:val="0"/>
          <w:numId w:val="7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LCR</w:t>
      </w:r>
      <w:r w:rsidRPr="0032251D">
        <w:rPr>
          <w:rFonts w:ascii="Aptos" w:eastAsia="Times New Roman" w:hAnsi="Aptos" w:cs="Times New Roman"/>
          <w:kern w:val="0"/>
          <w:sz w:val="22"/>
          <w:szCs w:val="22"/>
          <w:lang w:eastAsia="en-GB"/>
          <w14:ligatures w14:val="none"/>
        </w:rPr>
        <w:t>: liquidity ratios affect what dealers can hold in inventory.</w:t>
      </w:r>
    </w:p>
    <w:p w14:paraId="7EEBE1C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These regulatory frameworks collectively created the post-2008 dealer constraint environment that is now structurally embedded in markets.</w:t>
      </w:r>
    </w:p>
    <w:p w14:paraId="3A42C63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Repo market structure.</w:t>
      </w:r>
      <w:r w:rsidRPr="0032251D">
        <w:rPr>
          <w:rFonts w:ascii="Aptos" w:eastAsia="Times New Roman" w:hAnsi="Aptos" w:cs="Times New Roman"/>
          <w:kern w:val="0"/>
          <w:sz w:val="22"/>
          <w:szCs w:val="22"/>
          <w:lang w:eastAsia="en-GB"/>
          <w14:ligatures w14:val="none"/>
        </w:rPr>
        <w:t xml:space="preserve"> Dealers are central to repo. The 2019 September repo spike showed that dealer balance sheet constraints can disrupt repo even in normal-looking economic conditions — when Treasury issuance surges and dealer absorption capacity is limited, repo rates can spike to multiples of the policy rate. The Fed introduced the Standing Repo Facility (SRF) in 2021 partly to address this dealer balance sheet binding.</w:t>
      </w:r>
    </w:p>
    <w:p w14:paraId="2EBB547F"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443D4029">
          <v:rect id="_x0000_i1101" alt="" style="width:451.3pt;height:.05pt;mso-width-percent:0;mso-height-percent:0;mso-width-percent:0;mso-height-percent:0" o:hralign="center" o:hrstd="t" o:hr="t" fillcolor="#a0a0a0" stroked="f"/>
        </w:pict>
      </w:r>
    </w:p>
    <w:p w14:paraId="63A5532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Canonical specifications and parameters</w:t>
      </w:r>
    </w:p>
    <w:p w14:paraId="587479F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dealer node has rich measurable structure across four parameter families.</w:t>
      </w:r>
    </w:p>
    <w:p w14:paraId="07775D9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Inventory and positioning metrics.</w:t>
      </w:r>
    </w:p>
    <w:p w14:paraId="094EE698" w14:textId="77777777" w:rsidR="0032251D" w:rsidRPr="0032251D" w:rsidRDefault="0032251D">
      <w:pPr>
        <w:numPr>
          <w:ilvl w:val="0"/>
          <w:numId w:val="7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lastRenderedPageBreak/>
        <w:t>Net inventory positions</w:t>
      </w:r>
      <w:r w:rsidRPr="0032251D">
        <w:rPr>
          <w:rFonts w:ascii="Aptos" w:eastAsia="Times New Roman" w:hAnsi="Aptos" w:cs="Times New Roman"/>
          <w:kern w:val="0"/>
          <w:sz w:val="22"/>
          <w:szCs w:val="22"/>
          <w:lang w:eastAsia="en-GB"/>
          <w14:ligatures w14:val="none"/>
        </w:rPr>
        <w:t xml:space="preserve"> in cash bonds (Treasury, corporate, MBS, agency). Reported weekly by the NY Fed for US primary dealers — the FR 2004 data series.</w:t>
      </w:r>
    </w:p>
    <w:p w14:paraId="32F0FC2F" w14:textId="77777777" w:rsidR="0032251D" w:rsidRPr="0032251D" w:rsidRDefault="0032251D">
      <w:pPr>
        <w:numPr>
          <w:ilvl w:val="0"/>
          <w:numId w:val="7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Repo book size and composition</w:t>
      </w:r>
      <w:r w:rsidRPr="0032251D">
        <w:rPr>
          <w:rFonts w:ascii="Aptos" w:eastAsia="Times New Roman" w:hAnsi="Aptos" w:cs="Times New Roman"/>
          <w:kern w:val="0"/>
          <w:sz w:val="22"/>
          <w:szCs w:val="22"/>
          <w:lang w:eastAsia="en-GB"/>
          <w14:ligatures w14:val="none"/>
        </w:rPr>
        <w:t>: matched book (offsetting positions), net financing book.</w:t>
      </w:r>
    </w:p>
    <w:p w14:paraId="62075BEE" w14:textId="77777777" w:rsidR="0032251D" w:rsidRPr="0032251D" w:rsidRDefault="0032251D">
      <w:pPr>
        <w:numPr>
          <w:ilvl w:val="0"/>
          <w:numId w:val="7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Securities financing transactions (SFTs)</w:t>
      </w:r>
      <w:r w:rsidRPr="0032251D">
        <w:rPr>
          <w:rFonts w:ascii="Aptos" w:eastAsia="Times New Roman" w:hAnsi="Aptos" w:cs="Times New Roman"/>
          <w:kern w:val="0"/>
          <w:sz w:val="22"/>
          <w:szCs w:val="22"/>
          <w:lang w:eastAsia="en-GB"/>
          <w14:ligatures w14:val="none"/>
        </w:rPr>
        <w:t>: aggregate volumes and concentration.</w:t>
      </w:r>
    </w:p>
    <w:p w14:paraId="4F5EB6E4" w14:textId="77777777" w:rsidR="0032251D" w:rsidRPr="0032251D" w:rsidRDefault="0032251D">
      <w:pPr>
        <w:numPr>
          <w:ilvl w:val="0"/>
          <w:numId w:val="7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Auction take-up</w:t>
      </w:r>
      <w:r w:rsidRPr="0032251D">
        <w:rPr>
          <w:rFonts w:ascii="Aptos" w:eastAsia="Times New Roman" w:hAnsi="Aptos" w:cs="Times New Roman"/>
          <w:kern w:val="0"/>
          <w:sz w:val="22"/>
          <w:szCs w:val="22"/>
          <w:lang w:eastAsia="en-GB"/>
          <w14:ligatures w14:val="none"/>
        </w:rPr>
        <w:t>: dealer share of Treasury auction allotments.</w:t>
      </w:r>
    </w:p>
    <w:p w14:paraId="7F9B2536" w14:textId="77777777" w:rsidR="0032251D" w:rsidRPr="0032251D" w:rsidRDefault="0032251D">
      <w:pPr>
        <w:numPr>
          <w:ilvl w:val="0"/>
          <w:numId w:val="7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Inventory turnover</w:t>
      </w:r>
      <w:r w:rsidRPr="0032251D">
        <w:rPr>
          <w:rFonts w:ascii="Aptos" w:eastAsia="Times New Roman" w:hAnsi="Aptos" w:cs="Times New Roman"/>
          <w:kern w:val="0"/>
          <w:sz w:val="22"/>
          <w:szCs w:val="22"/>
          <w:lang w:eastAsia="en-GB"/>
          <w14:ligatures w14:val="none"/>
        </w:rPr>
        <w:t>: how quickly positions are flipped vs warehoused.</w:t>
      </w:r>
    </w:p>
    <w:p w14:paraId="7DEF876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Regulatory constraint metrics.</w:t>
      </w:r>
    </w:p>
    <w:p w14:paraId="692A146A" w14:textId="77777777" w:rsidR="0032251D" w:rsidRPr="0032251D" w:rsidRDefault="0032251D">
      <w:pPr>
        <w:numPr>
          <w:ilvl w:val="0"/>
          <w:numId w:val="7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SLR ratio</w:t>
      </w:r>
      <w:r w:rsidRPr="0032251D">
        <w:rPr>
          <w:rFonts w:ascii="Aptos" w:eastAsia="Times New Roman" w:hAnsi="Aptos" w:cs="Times New Roman"/>
          <w:kern w:val="0"/>
          <w:sz w:val="22"/>
          <w:szCs w:val="22"/>
          <w:lang w:eastAsia="en-GB"/>
          <w14:ligatures w14:val="none"/>
        </w:rPr>
        <w:t xml:space="preserve"> and headroom against minimum.</w:t>
      </w:r>
    </w:p>
    <w:p w14:paraId="0E5E27EA" w14:textId="77777777" w:rsidR="0032251D" w:rsidRPr="0032251D" w:rsidRDefault="0032251D">
      <w:pPr>
        <w:numPr>
          <w:ilvl w:val="0"/>
          <w:numId w:val="7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G-SIB score</w:t>
      </w:r>
      <w:r w:rsidRPr="0032251D">
        <w:rPr>
          <w:rFonts w:ascii="Aptos" w:eastAsia="Times New Roman" w:hAnsi="Aptos" w:cs="Times New Roman"/>
          <w:kern w:val="0"/>
          <w:sz w:val="22"/>
          <w:szCs w:val="22"/>
          <w:lang w:eastAsia="en-GB"/>
          <w14:ligatures w14:val="none"/>
        </w:rPr>
        <w:t xml:space="preserve"> components and total score (size, interconnectedness, complexity, cross-jurisdictional activity, substitutability).</w:t>
      </w:r>
    </w:p>
    <w:p w14:paraId="4D2DE3B8" w14:textId="77777777" w:rsidR="0032251D" w:rsidRPr="0032251D" w:rsidRDefault="0032251D">
      <w:pPr>
        <w:numPr>
          <w:ilvl w:val="0"/>
          <w:numId w:val="7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G-SIB surcharge</w:t>
      </w:r>
      <w:r w:rsidRPr="0032251D">
        <w:rPr>
          <w:rFonts w:ascii="Aptos" w:eastAsia="Times New Roman" w:hAnsi="Aptos" w:cs="Times New Roman"/>
          <w:kern w:val="0"/>
          <w:sz w:val="22"/>
          <w:szCs w:val="22"/>
          <w:lang w:eastAsia="en-GB"/>
          <w14:ligatures w14:val="none"/>
        </w:rPr>
        <w:t>: from 1% to 3.5% of RWA depending on score.</w:t>
      </w:r>
    </w:p>
    <w:p w14:paraId="7485EE05" w14:textId="77777777" w:rsidR="0032251D" w:rsidRPr="0032251D" w:rsidRDefault="0032251D">
      <w:pPr>
        <w:numPr>
          <w:ilvl w:val="0"/>
          <w:numId w:val="7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Leverage ratio</w:t>
      </w:r>
      <w:r w:rsidRPr="0032251D">
        <w:rPr>
          <w:rFonts w:ascii="Aptos" w:eastAsia="Times New Roman" w:hAnsi="Aptos" w:cs="Times New Roman"/>
          <w:kern w:val="0"/>
          <w:sz w:val="22"/>
          <w:szCs w:val="22"/>
          <w:lang w:eastAsia="en-GB"/>
          <w14:ligatures w14:val="none"/>
        </w:rPr>
        <w:t xml:space="preserve"> under Basel III.</w:t>
      </w:r>
    </w:p>
    <w:p w14:paraId="51093066" w14:textId="77777777" w:rsidR="0032251D" w:rsidRPr="0032251D" w:rsidRDefault="0032251D">
      <w:pPr>
        <w:numPr>
          <w:ilvl w:val="0"/>
          <w:numId w:val="7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Volcker compliance</w:t>
      </w:r>
      <w:r w:rsidRPr="0032251D">
        <w:rPr>
          <w:rFonts w:ascii="Aptos" w:eastAsia="Times New Roman" w:hAnsi="Aptos" w:cs="Times New Roman"/>
          <w:kern w:val="0"/>
          <w:sz w:val="22"/>
          <w:szCs w:val="22"/>
          <w:lang w:eastAsia="en-GB"/>
          <w14:ligatures w14:val="none"/>
        </w:rPr>
        <w:t>: market-making vs proprietary classification.</w:t>
      </w:r>
    </w:p>
    <w:p w14:paraId="6892992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Funding and basis metrics.</w:t>
      </w:r>
    </w:p>
    <w:p w14:paraId="5B0BA200" w14:textId="77777777" w:rsidR="0032251D" w:rsidRPr="0032251D" w:rsidRDefault="0032251D">
      <w:pPr>
        <w:numPr>
          <w:ilvl w:val="0"/>
          <w:numId w:val="7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Tri-party repo balances</w:t>
      </w:r>
      <w:r w:rsidRPr="0032251D">
        <w:rPr>
          <w:rFonts w:ascii="Aptos" w:eastAsia="Times New Roman" w:hAnsi="Aptos" w:cs="Times New Roman"/>
          <w:kern w:val="0"/>
          <w:sz w:val="22"/>
          <w:szCs w:val="22"/>
          <w:lang w:eastAsia="en-GB"/>
          <w14:ligatures w14:val="none"/>
        </w:rPr>
        <w:t>: aggregate funding through tri-party.</w:t>
      </w:r>
    </w:p>
    <w:p w14:paraId="6852B27D" w14:textId="77777777" w:rsidR="0032251D" w:rsidRPr="0032251D" w:rsidRDefault="0032251D">
      <w:pPr>
        <w:numPr>
          <w:ilvl w:val="0"/>
          <w:numId w:val="7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Bilateral repo activity</w:t>
      </w:r>
      <w:r w:rsidRPr="0032251D">
        <w:rPr>
          <w:rFonts w:ascii="Aptos" w:eastAsia="Times New Roman" w:hAnsi="Aptos" w:cs="Times New Roman"/>
          <w:kern w:val="0"/>
          <w:sz w:val="22"/>
          <w:szCs w:val="22"/>
          <w:lang w:eastAsia="en-GB"/>
          <w14:ligatures w14:val="none"/>
        </w:rPr>
        <w:t>: harder to measure but increasingly tracked.</w:t>
      </w:r>
    </w:p>
    <w:p w14:paraId="4796531B" w14:textId="77777777" w:rsidR="0032251D" w:rsidRPr="0032251D" w:rsidRDefault="0032251D">
      <w:pPr>
        <w:numPr>
          <w:ilvl w:val="0"/>
          <w:numId w:val="7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Sponsored repo</w:t>
      </w:r>
      <w:r w:rsidRPr="0032251D">
        <w:rPr>
          <w:rFonts w:ascii="Aptos" w:eastAsia="Times New Roman" w:hAnsi="Aptos" w:cs="Times New Roman"/>
          <w:kern w:val="0"/>
          <w:sz w:val="22"/>
          <w:szCs w:val="22"/>
          <w:lang w:eastAsia="en-GB"/>
          <w14:ligatures w14:val="none"/>
        </w:rPr>
        <w:t>: post-2017 innovation that allows some dealer balance sheet relief.</w:t>
      </w:r>
    </w:p>
    <w:p w14:paraId="6CFF09A6" w14:textId="77777777" w:rsidR="0032251D" w:rsidRPr="0032251D" w:rsidRDefault="0032251D">
      <w:pPr>
        <w:numPr>
          <w:ilvl w:val="0"/>
          <w:numId w:val="7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CIP basis</w:t>
      </w:r>
      <w:r w:rsidRPr="0032251D">
        <w:rPr>
          <w:rFonts w:ascii="Aptos" w:eastAsia="Times New Roman" w:hAnsi="Aptos" w:cs="Times New Roman"/>
          <w:kern w:val="0"/>
          <w:sz w:val="22"/>
          <w:szCs w:val="22"/>
          <w:lang w:eastAsia="en-GB"/>
          <w14:ligatures w14:val="none"/>
        </w:rPr>
        <w:t>: cross-currency basis across major currencies, at multiple tenors. Du-Tepper-</w:t>
      </w:r>
      <w:proofErr w:type="spellStart"/>
      <w:r w:rsidRPr="0032251D">
        <w:rPr>
          <w:rFonts w:ascii="Aptos" w:eastAsia="Times New Roman" w:hAnsi="Aptos" w:cs="Times New Roman"/>
          <w:kern w:val="0"/>
          <w:sz w:val="22"/>
          <w:szCs w:val="22"/>
          <w:lang w:eastAsia="en-GB"/>
          <w14:ligatures w14:val="none"/>
        </w:rPr>
        <w:t>Verdelhan</w:t>
      </w:r>
      <w:proofErr w:type="spellEnd"/>
      <w:r w:rsidRPr="0032251D">
        <w:rPr>
          <w:rFonts w:ascii="Aptos" w:eastAsia="Times New Roman" w:hAnsi="Aptos" w:cs="Times New Roman"/>
          <w:kern w:val="0"/>
          <w:sz w:val="22"/>
          <w:szCs w:val="22"/>
          <w:lang w:eastAsia="en-GB"/>
          <w14:ligatures w14:val="none"/>
        </w:rPr>
        <w:t xml:space="preserve"> methodology is the canonical measure.</w:t>
      </w:r>
    </w:p>
    <w:p w14:paraId="0F221327" w14:textId="77777777" w:rsidR="0032251D" w:rsidRPr="0032251D" w:rsidRDefault="0032251D">
      <w:pPr>
        <w:numPr>
          <w:ilvl w:val="0"/>
          <w:numId w:val="7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Fed RRP and SRF usage</w:t>
      </w:r>
      <w:r w:rsidRPr="0032251D">
        <w:rPr>
          <w:rFonts w:ascii="Aptos" w:eastAsia="Times New Roman" w:hAnsi="Aptos" w:cs="Times New Roman"/>
          <w:kern w:val="0"/>
          <w:sz w:val="22"/>
          <w:szCs w:val="22"/>
          <w:lang w:eastAsia="en-GB"/>
          <w14:ligatures w14:val="none"/>
        </w:rPr>
        <w:t>: indicators of repo market stress on either direction.</w:t>
      </w:r>
    </w:p>
    <w:p w14:paraId="29457D9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Market quality metrics.</w:t>
      </w:r>
    </w:p>
    <w:p w14:paraId="69EFA2BB" w14:textId="77777777" w:rsidR="0032251D" w:rsidRPr="0032251D" w:rsidRDefault="0032251D">
      <w:pPr>
        <w:numPr>
          <w:ilvl w:val="0"/>
          <w:numId w:val="7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Bid-ask spreads</w:t>
      </w:r>
      <w:r w:rsidRPr="0032251D">
        <w:rPr>
          <w:rFonts w:ascii="Aptos" w:eastAsia="Times New Roman" w:hAnsi="Aptos" w:cs="Times New Roman"/>
          <w:kern w:val="0"/>
          <w:sz w:val="22"/>
          <w:szCs w:val="22"/>
          <w:lang w:eastAsia="en-GB"/>
          <w14:ligatures w14:val="none"/>
        </w:rPr>
        <w:t xml:space="preserve"> in benchmark instruments (on-the-run Treasuries, IG corporate bonds, major FX pairs).</w:t>
      </w:r>
    </w:p>
    <w:p w14:paraId="2942C577" w14:textId="77777777" w:rsidR="0032251D" w:rsidRPr="0032251D" w:rsidRDefault="0032251D">
      <w:pPr>
        <w:numPr>
          <w:ilvl w:val="0"/>
          <w:numId w:val="7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On-the-run vs off-the-run spreads</w:t>
      </w:r>
      <w:r w:rsidRPr="0032251D">
        <w:rPr>
          <w:rFonts w:ascii="Aptos" w:eastAsia="Times New Roman" w:hAnsi="Aptos" w:cs="Times New Roman"/>
          <w:kern w:val="0"/>
          <w:sz w:val="22"/>
          <w:szCs w:val="22"/>
          <w:lang w:eastAsia="en-GB"/>
          <w14:ligatures w14:val="none"/>
        </w:rPr>
        <w:t>: liquidity premium for benchmark issues.</w:t>
      </w:r>
    </w:p>
    <w:p w14:paraId="019E1E6E" w14:textId="77777777" w:rsidR="0032251D" w:rsidRPr="0032251D" w:rsidRDefault="0032251D">
      <w:pPr>
        <w:numPr>
          <w:ilvl w:val="0"/>
          <w:numId w:val="7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Auction tails</w:t>
      </w:r>
      <w:r w:rsidRPr="0032251D">
        <w:rPr>
          <w:rFonts w:ascii="Aptos" w:eastAsia="Times New Roman" w:hAnsi="Aptos" w:cs="Times New Roman"/>
          <w:kern w:val="0"/>
          <w:sz w:val="22"/>
          <w:szCs w:val="22"/>
          <w:lang w:eastAsia="en-GB"/>
          <w14:ligatures w14:val="none"/>
        </w:rPr>
        <w:t>: difference between auction yield and pre-auction trading; indicator of dealer absorption capacity.</w:t>
      </w:r>
    </w:p>
    <w:p w14:paraId="2A021E48" w14:textId="77777777" w:rsidR="0032251D" w:rsidRPr="0032251D" w:rsidRDefault="0032251D">
      <w:pPr>
        <w:numPr>
          <w:ilvl w:val="0"/>
          <w:numId w:val="7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Treasury market depth</w:t>
      </w:r>
      <w:r w:rsidRPr="0032251D">
        <w:rPr>
          <w:rFonts w:ascii="Aptos" w:eastAsia="Times New Roman" w:hAnsi="Aptos" w:cs="Times New Roman"/>
          <w:kern w:val="0"/>
          <w:sz w:val="22"/>
          <w:szCs w:val="22"/>
          <w:lang w:eastAsia="en-GB"/>
          <w14:ligatures w14:val="none"/>
        </w:rPr>
        <w:t>: electronic depth at top of book; deteriorated significantly post-2008.</w:t>
      </w:r>
    </w:p>
    <w:p w14:paraId="2E506C1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Most of these metrics are available for the US dealer system in good detail (NY Fed primary dealer data, OFR repo data). For other jurisdictions disclosure is sparser. Cross-country comparison of dealer constraint is therefore harder than cross-country comparison of bank constraint.</w:t>
      </w:r>
    </w:p>
    <w:p w14:paraId="5E4FEC69"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05E7E610">
          <v:rect id="_x0000_i1102" alt="" style="width:451.3pt;height:.05pt;mso-width-percent:0;mso-height-percent:0;mso-width-percent:0;mso-height-percent:0" o:hralign="center" o:hrstd="t" o:hr="t" fillcolor="#a0a0a0" stroked="f"/>
        </w:pict>
      </w:r>
    </w:p>
    <w:p w14:paraId="3B2D5AD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Why this matters for asset prices</w:t>
      </w:r>
    </w:p>
    <w:p w14:paraId="5603A2E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Dealers affect asset prices through six channels.</w:t>
      </w:r>
    </w:p>
    <w:p w14:paraId="648E6BB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Liquidity provision and transaction costs.</w:t>
      </w:r>
      <w:r w:rsidRPr="0032251D">
        <w:rPr>
          <w:rFonts w:ascii="Aptos" w:eastAsia="Times New Roman" w:hAnsi="Aptos" w:cs="Times New Roman"/>
          <w:kern w:val="0"/>
          <w:sz w:val="22"/>
          <w:szCs w:val="22"/>
          <w:lang w:eastAsia="en-GB"/>
          <w14:ligatures w14:val="none"/>
        </w:rPr>
        <w:t xml:space="preserve"> Bid-ask spreads, market depth, and execution capacity determine the cost of moving between cash and securities. For institutional investors trading in size, dealer capacity is the binding constraint on execution. Treasury market depth at </w:t>
      </w:r>
      <w:r w:rsidRPr="0032251D">
        <w:rPr>
          <w:rFonts w:ascii="Aptos" w:eastAsia="Times New Roman" w:hAnsi="Aptos" w:cs="Times New Roman"/>
          <w:kern w:val="0"/>
          <w:sz w:val="22"/>
          <w:szCs w:val="22"/>
          <w:lang w:eastAsia="en-GB"/>
          <w14:ligatures w14:val="none"/>
        </w:rPr>
        <w:lastRenderedPageBreak/>
        <w:t>the top of book has degraded by roughly an order of magnitude since pre-2008, meaning the same trade now incurs more slippage.</w:t>
      </w:r>
    </w:p>
    <w:p w14:paraId="46C70A7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Cross-asset arbitrage.</w:t>
      </w:r>
      <w:r w:rsidRPr="0032251D">
        <w:rPr>
          <w:rFonts w:ascii="Aptos" w:eastAsia="Times New Roman" w:hAnsi="Aptos" w:cs="Times New Roman"/>
          <w:kern w:val="0"/>
          <w:sz w:val="22"/>
          <w:szCs w:val="22"/>
          <w:lang w:eastAsia="en-GB"/>
          <w14:ligatures w14:val="none"/>
        </w:rPr>
        <w:t xml:space="preserve"> When dealer arbitrage works, prices converge to fundamental relationships. When dealer arbitrage is constrained, persistent mispricing develops. CIP basis is the textbook case — it exists because dealers cannot </w:t>
      </w:r>
      <w:proofErr w:type="spellStart"/>
      <w:r w:rsidRPr="0032251D">
        <w:rPr>
          <w:rFonts w:ascii="Aptos" w:eastAsia="Times New Roman" w:hAnsi="Aptos" w:cs="Times New Roman"/>
          <w:kern w:val="0"/>
          <w:sz w:val="22"/>
          <w:szCs w:val="22"/>
          <w:lang w:eastAsia="en-GB"/>
          <w14:ligatures w14:val="none"/>
        </w:rPr>
        <w:t>costlessly</w:t>
      </w:r>
      <w:proofErr w:type="spellEnd"/>
      <w:r w:rsidRPr="0032251D">
        <w:rPr>
          <w:rFonts w:ascii="Aptos" w:eastAsia="Times New Roman" w:hAnsi="Aptos" w:cs="Times New Roman"/>
          <w:kern w:val="0"/>
          <w:sz w:val="22"/>
          <w:szCs w:val="22"/>
          <w:lang w:eastAsia="en-GB"/>
          <w14:ligatures w14:val="none"/>
        </w:rPr>
        <w:t xml:space="preserve"> arbitrage. ETF-NAV basis, futures-cash basis, and on-the-run/off-the-run basis all exhibit similar dynamics.</w:t>
      </w:r>
    </w:p>
    <w:p w14:paraId="5CEA7AC2"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CIP basis directly.</w:t>
      </w:r>
      <w:r w:rsidRPr="0032251D">
        <w:rPr>
          <w:rFonts w:ascii="Aptos" w:eastAsia="Times New Roman" w:hAnsi="Aptos" w:cs="Times New Roman"/>
          <w:kern w:val="0"/>
          <w:sz w:val="22"/>
          <w:szCs w:val="22"/>
          <w:lang w:eastAsia="en-GB"/>
          <w14:ligatures w14:val="none"/>
        </w:rPr>
        <w:t xml:space="preserve"> The basis is a price — and a major one for global FX funding. Non-US dealers and corporates pay the basis to access dollar funding through FX swaps. Basis widening directly raises dollar funding costs globally and is a critical transmission channel for Fed policy.</w:t>
      </w:r>
    </w:p>
    <w:p w14:paraId="2A744F6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Repo plumbing.</w:t>
      </w:r>
      <w:r w:rsidRPr="0032251D">
        <w:rPr>
          <w:rFonts w:ascii="Aptos" w:eastAsia="Times New Roman" w:hAnsi="Aptos" w:cs="Times New Roman"/>
          <w:kern w:val="0"/>
          <w:sz w:val="22"/>
          <w:szCs w:val="22"/>
          <w:lang w:eastAsia="en-GB"/>
          <w14:ligatures w14:val="none"/>
        </w:rPr>
        <w:t xml:space="preserve"> Dealers are the central node in repo markets. Their balance sheet capacity determines repo rates, repo spreads, and the willingness to fund leveraged positions. Repo functioning is a precondition for fixed-income market functioning generally.</w:t>
      </w:r>
    </w:p>
    <w:p w14:paraId="4B16DD9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Forced unwinds.</w:t>
      </w:r>
      <w:r w:rsidRPr="0032251D">
        <w:rPr>
          <w:rFonts w:ascii="Aptos" w:eastAsia="Times New Roman" w:hAnsi="Aptos" w:cs="Times New Roman"/>
          <w:kern w:val="0"/>
          <w:sz w:val="22"/>
          <w:szCs w:val="22"/>
          <w:lang w:eastAsia="en-GB"/>
          <w14:ligatures w14:val="none"/>
        </w:rPr>
        <w:t xml:space="preserve"> Dealer balance sheet stress propagates through forced unwinds. Dealer position reductions hit prices for assets the dealer holds. The mechanism is the same as for NBFIs but with potentially larger scale because </w:t>
      </w:r>
      <w:proofErr w:type="gramStart"/>
      <w:r w:rsidRPr="0032251D">
        <w:rPr>
          <w:rFonts w:ascii="Aptos" w:eastAsia="Times New Roman" w:hAnsi="Aptos" w:cs="Times New Roman"/>
          <w:kern w:val="0"/>
          <w:sz w:val="22"/>
          <w:szCs w:val="22"/>
          <w:lang w:eastAsia="en-GB"/>
          <w14:ligatures w14:val="none"/>
        </w:rPr>
        <w:t>dealers</w:t>
      </w:r>
      <w:proofErr w:type="gramEnd"/>
      <w:r w:rsidRPr="0032251D">
        <w:rPr>
          <w:rFonts w:ascii="Aptos" w:eastAsia="Times New Roman" w:hAnsi="Aptos" w:cs="Times New Roman"/>
          <w:kern w:val="0"/>
          <w:sz w:val="22"/>
          <w:szCs w:val="22"/>
          <w:lang w:eastAsia="en-GB"/>
          <w14:ligatures w14:val="none"/>
        </w:rPr>
        <w:t xml:space="preserve"> warehouse large inventories.</w:t>
      </w:r>
    </w:p>
    <w:p w14:paraId="4740968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Risk premium determination.</w:t>
      </w:r>
      <w:r w:rsidRPr="0032251D">
        <w:rPr>
          <w:rFonts w:ascii="Aptos" w:eastAsia="Times New Roman" w:hAnsi="Aptos" w:cs="Times New Roman"/>
          <w:kern w:val="0"/>
          <w:sz w:val="22"/>
          <w:szCs w:val="22"/>
          <w:lang w:eastAsia="en-GB"/>
          <w14:ligatures w14:val="none"/>
        </w:rPr>
        <w:t xml:space="preserve"> Per intermediary asset pricing, dealer balance sheet state is a pricing factor across asset classes. When dealer leverage is constrained, expected returns rise — meaning risk premia widen.</w:t>
      </w:r>
    </w:p>
    <w:p w14:paraId="13DC296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For investment managers four practitioner points dominate. First, dealer constraint creates persistent arbitrage opportunities for those with stable capital — the post-2008 CIP basis has been a steady source of return for those who can hold it. Second, episodes of dealer stress create dislocation trading opportunities; the 2020 Treasury dislocation and the 2019 repo episode both compressed visibly after policy intervention. Third, Treasury market depth has structurally degraded — execution costs in size are systematically higher than they were pre-2008, which matters for both transaction cost modelling and benchmark replication. Fourth, monitoring quarter-end and year-end dealer balance sheet dynamics is informative — predictable window-dressing creates predictable basis moves.</w:t>
      </w:r>
    </w:p>
    <w:p w14:paraId="002D95F6"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68F27677">
          <v:rect id="_x0000_i1103" alt="" style="width:451.3pt;height:.05pt;mso-width-percent:0;mso-height-percent:0;mso-width-percent:0;mso-height-percent:0" o:hralign="center" o:hrstd="t" o:hr="t" fillcolor="#a0a0a0" stroked="f"/>
        </w:pict>
      </w:r>
    </w:p>
    <w:p w14:paraId="6FDEB8A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Regime and EM variation</w:t>
      </w:r>
    </w:p>
    <w:p w14:paraId="4E5F115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DM dealers.</w:t>
      </w:r>
      <w:r w:rsidRPr="0032251D">
        <w:rPr>
          <w:rFonts w:ascii="Aptos" w:eastAsia="Times New Roman" w:hAnsi="Aptos" w:cs="Times New Roman"/>
          <w:kern w:val="0"/>
          <w:sz w:val="22"/>
          <w:szCs w:val="22"/>
          <w:lang w:eastAsia="en-GB"/>
          <w14:ligatures w14:val="none"/>
        </w:rPr>
        <w:t xml:space="preserve"> Largely consolidated within G-SIBs. Subject to Basel III, SLR, G-SIB surcharges, Volcker Rule (US), and various local frameworks. Significant balance sheet allocated to Treasury, GSE, corporate credit, and FX market-making. US dealer system is the most regulated and the most extensively documented. European dealers face similar Basel constraints but different jurisdictional overlays.</w:t>
      </w:r>
    </w:p>
    <w:p w14:paraId="302A59D5"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EM dealers.</w:t>
      </w:r>
      <w:r w:rsidRPr="0032251D">
        <w:rPr>
          <w:rFonts w:ascii="Aptos" w:eastAsia="Times New Roman" w:hAnsi="Aptos" w:cs="Times New Roman"/>
          <w:kern w:val="0"/>
          <w:sz w:val="22"/>
          <w:szCs w:val="22"/>
          <w:lang w:eastAsia="en-GB"/>
          <w14:ligatures w14:val="none"/>
        </w:rPr>
        <w:t xml:space="preserve"> Often local banks acting as primary dealers in domestic sovereign markets; foreign G-SIBs also active in cross-border EM dealing. Less regulatory pressure on balance sheet (SLR-equivalent constraints exist but are typically less binding) but smaller capital base overall. Less developed repo and securities financing markets. Bid-ask spreads structurally wider — partly reflecting smaller capital, partly reflecting lower turnover.</w:t>
      </w:r>
    </w:p>
    <w:p w14:paraId="63C4FE9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EM-specific dynamics.</w:t>
      </w:r>
    </w:p>
    <w:p w14:paraId="1766F7BD" w14:textId="77777777" w:rsidR="0032251D" w:rsidRPr="0032251D" w:rsidRDefault="0032251D">
      <w:pPr>
        <w:numPr>
          <w:ilvl w:val="0"/>
          <w:numId w:val="7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lastRenderedPageBreak/>
        <w:t>Foreign bank participation in local dealing is structurally important — global G-SIBs run local-currency desks and provide significant secondary market liquidity.</w:t>
      </w:r>
    </w:p>
    <w:p w14:paraId="643AD930" w14:textId="77777777" w:rsidR="0032251D" w:rsidRPr="0032251D" w:rsidRDefault="0032251D">
      <w:pPr>
        <w:numPr>
          <w:ilvl w:val="0"/>
          <w:numId w:val="7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During global stress, foreign dealers tend to withdraw EM balance sheet allocation, compressing local market depth precisely when stress is highest. This is a procyclical liquidity dynamic specific to EM.</w:t>
      </w:r>
    </w:p>
    <w:p w14:paraId="40AAE3E0" w14:textId="77777777" w:rsidR="0032251D" w:rsidRPr="0032251D" w:rsidRDefault="0032251D">
      <w:pPr>
        <w:numPr>
          <w:ilvl w:val="0"/>
          <w:numId w:val="7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Local repo markets are typically less sophisticated — sponsored repo, tri-party arrangements, and SFTs are less developed.</w:t>
      </w:r>
    </w:p>
    <w:p w14:paraId="76F4CF41" w14:textId="77777777" w:rsidR="0032251D" w:rsidRPr="0032251D" w:rsidRDefault="0032251D">
      <w:pPr>
        <w:numPr>
          <w:ilvl w:val="0"/>
          <w:numId w:val="7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Cross-currency basis for EM currencies often more extreme and more volatile than for G10 pairs.</w:t>
      </w:r>
    </w:p>
    <w:p w14:paraId="28BFEA6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SA specifically.</w:t>
      </w:r>
      <w:r w:rsidRPr="0032251D">
        <w:rPr>
          <w:rFonts w:ascii="Aptos" w:eastAsia="Times New Roman" w:hAnsi="Aptos" w:cs="Times New Roman"/>
          <w:kern w:val="0"/>
          <w:sz w:val="22"/>
          <w:szCs w:val="22"/>
          <w:lang w:eastAsia="en-GB"/>
          <w14:ligatures w14:val="none"/>
        </w:rPr>
        <w:t xml:space="preserve"> The SAGB primary dealer system includes the Big Four SA banks (Standard Bank, FirstRand, Absa, Nedbank) plus several international banks (RMB, BNP Paribas, Deutsche, Standard Chartered, Citi, JPM). Bond market liquidity is concentrated in benchmark R-bonds (R2030, R2035, R2040, R2048); off-the-run liquidity is significantly thinner. The 2018-2024 foreign holder share decline in SAGBs changed dealer dynamics — less foreign turnover means less daily two-way flow for dealers to monetise, structurally compressing local liquidity. SA does not have a deep tri-party repo system; bilateral repo dominates. Cross-currency basis for ZAR can be substantial and volatile — particularly relevant for SA banks and corporates with USD funding needs. The dealer constraint dimension of SA risk is less developed analytically than the bank or sovereign dimensions; this is partly because dealer-specific data is less available, and partly because dealer constraints are less central to SA's stress dynamics than they are to US or European market stress.</w:t>
      </w:r>
    </w:p>
    <w:p w14:paraId="658F1ECB"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4ACAB794">
          <v:rect id="_x0000_i1104" alt="" style="width:451.3pt;height:.05pt;mso-width-percent:0;mso-height-percent:0;mso-width-percent:0;mso-height-percent:0" o:hralign="center" o:hrstd="t" o:hr="t" fillcolor="#a0a0a0" stroked="f"/>
        </w:pict>
      </w:r>
    </w:p>
    <w:p w14:paraId="3E9D3B3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Empirical pitfalls</w:t>
      </w:r>
    </w:p>
    <w:p w14:paraId="30F6B02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Disclosure gaps.</w:t>
      </w:r>
      <w:r w:rsidRPr="0032251D">
        <w:rPr>
          <w:rFonts w:ascii="Aptos" w:eastAsia="Times New Roman" w:hAnsi="Aptos" w:cs="Times New Roman"/>
          <w:kern w:val="0"/>
          <w:sz w:val="22"/>
          <w:szCs w:val="22"/>
          <w:lang w:eastAsia="en-GB"/>
          <w14:ligatures w14:val="none"/>
        </w:rPr>
        <w:t xml:space="preserve"> Dealer-specific positions have limited public disclosure outside the US. Even in the US, FR 2004 data aggregates across primary dealers — individual dealer positioning is not public.</w:t>
      </w:r>
    </w:p>
    <w:p w14:paraId="02CFF6C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Cross-border activity.</w:t>
      </w:r>
      <w:r w:rsidRPr="0032251D">
        <w:rPr>
          <w:rFonts w:ascii="Aptos" w:eastAsia="Times New Roman" w:hAnsi="Aptos" w:cs="Times New Roman"/>
          <w:kern w:val="0"/>
          <w:sz w:val="22"/>
          <w:szCs w:val="22"/>
          <w:lang w:eastAsia="en-GB"/>
          <w14:ligatures w14:val="none"/>
        </w:rPr>
        <w:t xml:space="preserve"> Dealer activity is booked across multiple jurisdictions. A G-SIB might warehouse Treasury risk in its US broker-dealer, fund it through its London entity, and book hedges in its Hong Kong office. Attribution to a single jurisdiction is impossible at the legal entity level.</w:t>
      </w:r>
    </w:p>
    <w:p w14:paraId="7F3BBFE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Internal vs external transactions.</w:t>
      </w:r>
      <w:r w:rsidRPr="0032251D">
        <w:rPr>
          <w:rFonts w:ascii="Aptos" w:eastAsia="Times New Roman" w:hAnsi="Aptos" w:cs="Times New Roman"/>
          <w:kern w:val="0"/>
          <w:sz w:val="22"/>
          <w:szCs w:val="22"/>
          <w:lang w:eastAsia="en-GB"/>
          <w14:ligatures w14:val="none"/>
        </w:rPr>
        <w:t xml:space="preserve"> What gets reported as "dealer-to-customer" flow includes intra-bank transactions; what gets reported as "interdealer" includes transfers between affiliates. The bright-line classification is fuzzy.</w:t>
      </w:r>
    </w:p>
    <w:p w14:paraId="323E124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Market-making vs proprietary distinction.</w:t>
      </w:r>
      <w:r w:rsidRPr="0032251D">
        <w:rPr>
          <w:rFonts w:ascii="Aptos" w:eastAsia="Times New Roman" w:hAnsi="Aptos" w:cs="Times New Roman"/>
          <w:kern w:val="0"/>
          <w:sz w:val="22"/>
          <w:szCs w:val="22"/>
          <w:lang w:eastAsia="en-GB"/>
          <w14:ligatures w14:val="none"/>
        </w:rPr>
        <w:t xml:space="preserve"> Volcker Rule requires distinguishing market-making from proprietary trading. The regulatory definition has evolved and remains imperfect. Volcker compliance accounting is itself a source of measurement noise.</w:t>
      </w:r>
    </w:p>
    <w:p w14:paraId="12502D4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Aggregation issues.</w:t>
      </w:r>
      <w:r w:rsidRPr="0032251D">
        <w:rPr>
          <w:rFonts w:ascii="Aptos" w:eastAsia="Times New Roman" w:hAnsi="Aptos" w:cs="Times New Roman"/>
          <w:kern w:val="0"/>
          <w:sz w:val="22"/>
          <w:szCs w:val="22"/>
          <w:lang w:eastAsia="en-GB"/>
          <w14:ligatures w14:val="none"/>
        </w:rPr>
        <w:t xml:space="preserve"> Dealer positions vs G-SIB total positions are different things — a G-SIB's banking book is not part of dealer inventory, but the joint regulatory constraint (SLR, G-SIB) covers both. Decomposing constraint binding between banking and dealing functions is hard.</w:t>
      </w:r>
    </w:p>
    <w:p w14:paraId="28E4A29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Period-end window dressing.</w:t>
      </w:r>
      <w:r w:rsidRPr="0032251D">
        <w:rPr>
          <w:rFonts w:ascii="Aptos" w:eastAsia="Times New Roman" w:hAnsi="Aptos" w:cs="Times New Roman"/>
          <w:kern w:val="0"/>
          <w:sz w:val="22"/>
          <w:szCs w:val="22"/>
          <w:lang w:eastAsia="en-GB"/>
          <w14:ligatures w14:val="none"/>
        </w:rPr>
        <w:t xml:space="preserve"> G-SIB scores are measured at quarter-end and year-end with particular emphasis on year-end. This creates predictable balance sheet shrinkage at period-</w:t>
      </w:r>
      <w:r w:rsidRPr="0032251D">
        <w:rPr>
          <w:rFonts w:ascii="Aptos" w:eastAsia="Times New Roman" w:hAnsi="Aptos" w:cs="Times New Roman"/>
          <w:kern w:val="0"/>
          <w:sz w:val="22"/>
          <w:szCs w:val="22"/>
          <w:lang w:eastAsia="en-GB"/>
          <w14:ligatures w14:val="none"/>
        </w:rPr>
        <w:lastRenderedPageBreak/>
        <w:t>end and predictable basis widening (especially CIP basis) at year-end. Empirical work needs to control for these calendar effects.</w:t>
      </w:r>
    </w:p>
    <w:p w14:paraId="663ECA2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Survivorship and consolidation.</w:t>
      </w:r>
      <w:r w:rsidRPr="0032251D">
        <w:rPr>
          <w:rFonts w:ascii="Aptos" w:eastAsia="Times New Roman" w:hAnsi="Aptos" w:cs="Times New Roman"/>
          <w:kern w:val="0"/>
          <w:sz w:val="22"/>
          <w:szCs w:val="22"/>
          <w:lang w:eastAsia="en-GB"/>
          <w14:ligatures w14:val="none"/>
        </w:rPr>
        <w:t xml:space="preserve"> The dealer universe has consolidated significantly since 2008. Bear Stearns, Lehman, and Merrill Lynch as standalone dealers are gone. Comparing dealer aggregate metrics across regimes requires accounting for survivor composition.</w:t>
      </w:r>
    </w:p>
    <w:p w14:paraId="11DF378E"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6B7AFA83">
          <v:rect id="_x0000_i1105" alt="" style="width:451.3pt;height:.05pt;mso-width-percent:0;mso-height-percent:0;mso-width-percent:0;mso-height-percent:0" o:hralign="center" o:hrstd="t" o:hr="t" fillcolor="#a0a0a0" stroked="f"/>
        </w:pict>
      </w:r>
    </w:p>
    <w:p w14:paraId="3B630B3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Where dissonance lives</w:t>
      </w:r>
    </w:p>
    <w:p w14:paraId="61B1310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Within L5c:</w:t>
      </w:r>
    </w:p>
    <w:p w14:paraId="65B2349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Intra-node.</w:t>
      </w:r>
      <w:r w:rsidRPr="0032251D">
        <w:rPr>
          <w:rFonts w:ascii="Aptos" w:eastAsia="Times New Roman" w:hAnsi="Aptos" w:cs="Times New Roman"/>
          <w:kern w:val="0"/>
          <w:sz w:val="22"/>
          <w:szCs w:val="22"/>
          <w:lang w:eastAsia="en-GB"/>
          <w14:ligatures w14:val="none"/>
        </w:rPr>
        <w:t xml:space="preserve"> Inventory, repo book, regulatory constraint binding, and bid-ask spreads should jointly imply a consistent dealer capacity reading.</w:t>
      </w:r>
    </w:p>
    <w:p w14:paraId="0098E319" w14:textId="77777777" w:rsidR="0032251D" w:rsidRPr="0032251D" w:rsidRDefault="0032251D">
      <w:pPr>
        <w:numPr>
          <w:ilvl w:val="0"/>
          <w:numId w:val="8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Dissonance: aggregate dealer inventory healthy but specific benchmark depth degrading — selective inventory pulling.</w:t>
      </w:r>
    </w:p>
    <w:p w14:paraId="044CDFD2" w14:textId="77777777" w:rsidR="0032251D" w:rsidRPr="0032251D" w:rsidRDefault="0032251D">
      <w:pPr>
        <w:numPr>
          <w:ilvl w:val="0"/>
          <w:numId w:val="8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Dissonance: CIP basis widening without explicit balance sheet stress — quarter-end window-dressing or anticipated regulatory pressure.</w:t>
      </w:r>
    </w:p>
    <w:p w14:paraId="14333570" w14:textId="77777777" w:rsidR="0032251D" w:rsidRPr="0032251D" w:rsidRDefault="0032251D">
      <w:pPr>
        <w:numPr>
          <w:ilvl w:val="0"/>
          <w:numId w:val="8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Dissonance: bid-ask spreads widening with stable inventory — capacity withholding rather than capacity exhaustion.</w:t>
      </w:r>
    </w:p>
    <w:p w14:paraId="0B95C6DF" w14:textId="77777777" w:rsidR="0032251D" w:rsidRPr="0032251D" w:rsidRDefault="0032251D">
      <w:pPr>
        <w:numPr>
          <w:ilvl w:val="0"/>
          <w:numId w:val="8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Dissonance: auction tails widening without underlying credit deterioration — primary market absorption capacity weakening.</w:t>
      </w:r>
    </w:p>
    <w:p w14:paraId="0BFB052F" w14:textId="77777777" w:rsidR="0032251D" w:rsidRPr="0032251D" w:rsidRDefault="0032251D">
      <w:pPr>
        <w:numPr>
          <w:ilvl w:val="0"/>
          <w:numId w:val="8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Dissonance: repo balances rising with rising repo rates — dealer balance sheet binding even with available repo demand.</w:t>
      </w:r>
    </w:p>
    <w:p w14:paraId="3802A5B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upward.</w:t>
      </w:r>
    </w:p>
    <w:p w14:paraId="589B4FAD" w14:textId="77777777" w:rsidR="0032251D" w:rsidRPr="0032251D" w:rsidRDefault="0032251D">
      <w:pPr>
        <w:numPr>
          <w:ilvl w:val="0"/>
          <w:numId w:val="8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L1 → L5c: dealer balance sheet capacity should be sufficient for the transmission the rule expects. Dissonance: dealer constraints amplify or dampen policy shocks beyond expected transmission.</w:t>
      </w:r>
    </w:p>
    <w:p w14:paraId="594C964F" w14:textId="77777777" w:rsidR="0032251D" w:rsidRPr="0032251D" w:rsidRDefault="0032251D">
      <w:pPr>
        <w:numPr>
          <w:ilvl w:val="0"/>
          <w:numId w:val="8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L3a → L5c: rate affects dealer funding and inventory carry. Dissonance: rate moves coinciding with dealer balance sheet stress beyond the rate's direct effect.</w:t>
      </w:r>
    </w:p>
    <w:p w14:paraId="6A2F3534" w14:textId="77777777" w:rsidR="0032251D" w:rsidRPr="0032251D" w:rsidRDefault="0032251D">
      <w:pPr>
        <w:numPr>
          <w:ilvl w:val="0"/>
          <w:numId w:val="8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L3b → L5c: QE relieves dealer balance sheet by removing duration; QT does the reverse. Dissonance: dealer stress despite active QE — leverage constraints binding elsewhere.</w:t>
      </w:r>
    </w:p>
    <w:p w14:paraId="30190A4C" w14:textId="77777777" w:rsidR="0032251D" w:rsidRPr="0032251D" w:rsidRDefault="0032251D">
      <w:pPr>
        <w:numPr>
          <w:ilvl w:val="0"/>
          <w:numId w:val="8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L3e → L5c: dealers subject to capital rules (SLR, G-SIB). Dissonance: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tightening dealer constraints while liquidity needs are rising — the structural binding that needs L3f to relieve.</w:t>
      </w:r>
    </w:p>
    <w:p w14:paraId="4BACC97E" w14:textId="77777777" w:rsidR="0032251D" w:rsidRPr="0032251D" w:rsidRDefault="0032251D">
      <w:pPr>
        <w:numPr>
          <w:ilvl w:val="0"/>
          <w:numId w:val="8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L3f → L5c: PDCF and SRF for dealers. Dissonance: dealer stress but PDCF access constrained — collateral or operational frictions.</w:t>
      </w:r>
    </w:p>
    <w:p w14:paraId="3EBAD65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peer.</w:t>
      </w:r>
    </w:p>
    <w:p w14:paraId="20BDB334" w14:textId="77777777" w:rsidR="0032251D" w:rsidRPr="0032251D" w:rsidRDefault="0032251D">
      <w:pPr>
        <w:numPr>
          <w:ilvl w:val="0"/>
          <w:numId w:val="8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L5a ↔ L5c: major dealers usually within bank holding companies. Decoupling = effective ring-fencing; joint stress = systemic concern.</w:t>
      </w:r>
    </w:p>
    <w:p w14:paraId="2890A570" w14:textId="77777777" w:rsidR="0032251D" w:rsidRPr="0032251D" w:rsidRDefault="0032251D">
      <w:pPr>
        <w:numPr>
          <w:ilvl w:val="0"/>
          <w:numId w:val="8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L5b ↔ L5c: dealers fund NBFI positions via repo and prime brokerage. NBFI deleveraging without dealer balance sheet relief = forced unwinds.</w:t>
      </w:r>
    </w:p>
    <w:p w14:paraId="50278178" w14:textId="77777777" w:rsidR="0032251D" w:rsidRPr="0032251D" w:rsidRDefault="0032251D">
      <w:pPr>
        <w:numPr>
          <w:ilvl w:val="0"/>
          <w:numId w:val="8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L4 ↔ L5c: market moves require dealer absorption. Persistent dislocations (CIP basis, on/off the run, cash-futures basis) are dealer constraint pricing.</w:t>
      </w:r>
    </w:p>
    <w:p w14:paraId="169EB2E3" w14:textId="77777777" w:rsidR="0032251D" w:rsidRPr="0032251D" w:rsidRDefault="0032251D">
      <w:pPr>
        <w:numPr>
          <w:ilvl w:val="0"/>
          <w:numId w:val="8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lastRenderedPageBreak/>
        <w:t xml:space="preserve">L4d ↔ L5c: </w:t>
      </w:r>
      <w:proofErr w:type="gramStart"/>
      <w:r w:rsidRPr="0032251D">
        <w:rPr>
          <w:rFonts w:ascii="Aptos" w:eastAsia="Times New Roman" w:hAnsi="Aptos" w:cs="Times New Roman"/>
          <w:kern w:val="0"/>
          <w:sz w:val="22"/>
          <w:szCs w:val="22"/>
          <w:lang w:eastAsia="en-GB"/>
          <w14:ligatures w14:val="none"/>
        </w:rPr>
        <w:t>dealers</w:t>
      </w:r>
      <w:proofErr w:type="gramEnd"/>
      <w:r w:rsidRPr="0032251D">
        <w:rPr>
          <w:rFonts w:ascii="Aptos" w:eastAsia="Times New Roman" w:hAnsi="Aptos" w:cs="Times New Roman"/>
          <w:kern w:val="0"/>
          <w:sz w:val="22"/>
          <w:szCs w:val="22"/>
          <w:lang w:eastAsia="en-GB"/>
          <w14:ligatures w14:val="none"/>
        </w:rPr>
        <w:t xml:space="preserve"> warehouse vol risk. Vol surface dislocates with dealer constraints binding = capacity-driven vol rather than fundamental vol.</w:t>
      </w:r>
    </w:p>
    <w:p w14:paraId="61415D3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w:t>
      </w:r>
    </w:p>
    <w:p w14:paraId="23A2145F" w14:textId="77777777" w:rsidR="0032251D" w:rsidRPr="0032251D" w:rsidRDefault="0032251D">
      <w:pPr>
        <w:numPr>
          <w:ilvl w:val="0"/>
          <w:numId w:val="8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L5c → L6: dealer positioning embeds short-horizon expectations; positioning vs broader expectations divergent = informational asymmetry.</w:t>
      </w:r>
    </w:p>
    <w:p w14:paraId="1BF450FD" w14:textId="77777777" w:rsidR="0032251D" w:rsidRPr="0032251D" w:rsidRDefault="0032251D">
      <w:pPr>
        <w:numPr>
          <w:ilvl w:val="0"/>
          <w:numId w:val="8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L5c → L7: dealer balance sheet stress moves FCI via spreads and basis. Dissonance: dealer stress without FCI response = FCI under-counting dealer channel.</w:t>
      </w:r>
    </w:p>
    <w:p w14:paraId="06D3B089" w14:textId="77777777" w:rsidR="0032251D" w:rsidRPr="0032251D" w:rsidRDefault="0032251D">
      <w:pPr>
        <w:numPr>
          <w:ilvl w:val="0"/>
          <w:numId w:val="8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L5c → L8: dealer constraints widen all risk premia (intermediary asset pricing). Dissonance: dealer constraints without cross-asset risk-premium response.</w:t>
      </w:r>
    </w:p>
    <w:p w14:paraId="02283B36" w14:textId="77777777" w:rsidR="0032251D" w:rsidRPr="0032251D" w:rsidRDefault="0032251D">
      <w:pPr>
        <w:numPr>
          <w:ilvl w:val="0"/>
          <w:numId w:val="8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L5c → L9: dealer constraints move all asset prices via the intermediary pricing channel. Dissonance: dealer stress without cross-asset response.</w:t>
      </w:r>
    </w:p>
    <w:p w14:paraId="5C742603" w14:textId="77777777" w:rsidR="0032251D" w:rsidRPr="0032251D" w:rsidRDefault="0032251D">
      <w:pPr>
        <w:numPr>
          <w:ilvl w:val="0"/>
          <w:numId w:val="8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L5c → L10a-c: dealer constraints affect cost of credit (real economy), amplify shocks (financial stability), and connect cross-border via repo and swap markets (global spillovers).</w:t>
      </w:r>
    </w:p>
    <w:p w14:paraId="6EE31F0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The L5c node is the </w:t>
      </w:r>
      <w:r w:rsidRPr="0032251D">
        <w:rPr>
          <w:rFonts w:ascii="Aptos" w:eastAsia="Times New Roman" w:hAnsi="Aptos" w:cs="Times New Roman"/>
          <w:i/>
          <w:iCs/>
          <w:kern w:val="0"/>
          <w:sz w:val="22"/>
          <w:szCs w:val="22"/>
          <w:lang w:eastAsia="en-GB"/>
          <w14:ligatures w14:val="none"/>
        </w:rPr>
        <w:t>market plumbing node</w:t>
      </w:r>
      <w:r w:rsidRPr="0032251D">
        <w:rPr>
          <w:rFonts w:ascii="Aptos" w:eastAsia="Times New Roman" w:hAnsi="Aptos" w:cs="Times New Roman"/>
          <w:kern w:val="0"/>
          <w:sz w:val="22"/>
          <w:szCs w:val="22"/>
          <w:lang w:eastAsia="en-GB"/>
          <w14:ligatures w14:val="none"/>
        </w:rPr>
        <w:t xml:space="preserve">. It is fundamentally different from L5a (credit intermediation) and L5b (varied non-bank intermediation) — it is specifically about the conversion mechanism between buyer and seller in tradeable markets. Dissonance at L5c means </w:t>
      </w:r>
      <w:r w:rsidRPr="0032251D">
        <w:rPr>
          <w:rFonts w:ascii="Aptos" w:eastAsia="Times New Roman" w:hAnsi="Aptos" w:cs="Times New Roman"/>
          <w:i/>
          <w:iCs/>
          <w:kern w:val="0"/>
          <w:sz w:val="22"/>
          <w:szCs w:val="22"/>
          <w:lang w:eastAsia="en-GB"/>
          <w14:ligatures w14:val="none"/>
        </w:rPr>
        <w:t>prices are reflecting capacity rather than fundamentals</w:t>
      </w:r>
      <w:r w:rsidRPr="0032251D">
        <w:rPr>
          <w:rFonts w:ascii="Aptos" w:eastAsia="Times New Roman" w:hAnsi="Aptos" w:cs="Times New Roman"/>
          <w:kern w:val="0"/>
          <w:sz w:val="22"/>
          <w:szCs w:val="22"/>
          <w:lang w:eastAsia="en-GB"/>
          <w14:ligatures w14:val="none"/>
        </w:rPr>
        <w:t xml:space="preserve">. This is the most important interpretive frame: dealer-driven mispricing is observationally similar to </w:t>
      </w:r>
      <w:proofErr w:type="gramStart"/>
      <w:r w:rsidRPr="0032251D">
        <w:rPr>
          <w:rFonts w:ascii="Aptos" w:eastAsia="Times New Roman" w:hAnsi="Aptos" w:cs="Times New Roman"/>
          <w:kern w:val="0"/>
          <w:sz w:val="22"/>
          <w:szCs w:val="22"/>
          <w:lang w:eastAsia="en-GB"/>
          <w14:ligatures w14:val="none"/>
        </w:rPr>
        <w:t>fundamentally-driven</w:t>
      </w:r>
      <w:proofErr w:type="gramEnd"/>
      <w:r w:rsidRPr="0032251D">
        <w:rPr>
          <w:rFonts w:ascii="Aptos" w:eastAsia="Times New Roman" w:hAnsi="Aptos" w:cs="Times New Roman"/>
          <w:kern w:val="0"/>
          <w:sz w:val="22"/>
          <w:szCs w:val="22"/>
          <w:lang w:eastAsia="en-GB"/>
          <w14:ligatures w14:val="none"/>
        </w:rPr>
        <w:t xml:space="preserve"> mispricing, but the policy response and the trade implication are completely different.</w:t>
      </w:r>
    </w:p>
    <w:p w14:paraId="1A2B1E0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For credit-driven mispricing, the right response is to wait for fundamentals to resolve. For dealer-driven mispricing, the right response is to provide capital — because the mispricing will compress when dealer balance sheet relief arrives (through period-end passing, regulatory relaxation, or facility activation). The 2020 Treasury dislocation compressed visibly after Fed PDCF and SRF activation; the 2019 repo episode compressed after the Fed reserve management response; CIP basis compresses around quarter-end transitions. Each was a dealer-balance-sheet event, and each resolved when dealer constraint was relieved — not when fundamentals changed.</w:t>
      </w:r>
    </w:p>
    <w:p w14:paraId="032BA00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For SA specifically, the dealer node is less analytically central than the bank, sovereign, or NBFI nodes. SA's market dislocations historically come from FX and credit channels rather than from dealer balance sheet binding. But the </w:t>
      </w:r>
      <w:r w:rsidRPr="0032251D">
        <w:rPr>
          <w:rFonts w:ascii="Aptos" w:eastAsia="Times New Roman" w:hAnsi="Aptos" w:cs="Times New Roman"/>
          <w:i/>
          <w:iCs/>
          <w:kern w:val="0"/>
          <w:sz w:val="22"/>
          <w:szCs w:val="22"/>
          <w:lang w:eastAsia="en-GB"/>
          <w14:ligatures w14:val="none"/>
        </w:rPr>
        <w:t>foreign G-SIB participation</w:t>
      </w:r>
      <w:r w:rsidRPr="0032251D">
        <w:rPr>
          <w:rFonts w:ascii="Aptos" w:eastAsia="Times New Roman" w:hAnsi="Aptos" w:cs="Times New Roman"/>
          <w:kern w:val="0"/>
          <w:sz w:val="22"/>
          <w:szCs w:val="22"/>
          <w:lang w:eastAsia="en-GB"/>
          <w14:ligatures w14:val="none"/>
        </w:rPr>
        <w:t xml:space="preserve"> in SA dealing means that global dealer balance sheet pressure can affect SA market depth in ways that are not visible in domestic data — global G-SIBs reducing EM balance sheet allocation at quarter-end or in stress is a structural feature that affects SA dealer capacity without showing up in SA-specific metrics. This is a meaningful empirical pitfall for SA L5c assessment — much of the dealer constraint affecting SA markets sits in balance sheet decisions made in London, New York, or Frankfurt, not in Sandton.</w:t>
      </w:r>
    </w:p>
    <w:p w14:paraId="4693CA3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Level 5d — Households &amp; Corporates</w:t>
      </w:r>
    </w:p>
    <w:p w14:paraId="2EC1EF4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Definition.</w:t>
      </w:r>
      <w:r w:rsidRPr="0032251D">
        <w:rPr>
          <w:rFonts w:ascii="Aptos" w:eastAsia="Times New Roman" w:hAnsi="Aptos" w:cs="Times New Roman"/>
          <w:kern w:val="0"/>
          <w:sz w:val="22"/>
          <w:szCs w:val="22"/>
          <w:lang w:eastAsia="en-GB"/>
          <w14:ligatures w14:val="none"/>
        </w:rPr>
        <w:t xml:space="preserve"> Households &amp; Corporates is the non-financial private sector — the </w:t>
      </w:r>
      <w:r w:rsidRPr="0032251D">
        <w:rPr>
          <w:rFonts w:ascii="Aptos" w:eastAsia="Times New Roman" w:hAnsi="Aptos" w:cs="Times New Roman"/>
          <w:i/>
          <w:iCs/>
          <w:kern w:val="0"/>
          <w:sz w:val="22"/>
          <w:szCs w:val="22"/>
          <w:lang w:eastAsia="en-GB"/>
          <w14:ligatures w14:val="none"/>
        </w:rPr>
        <w:t>demand side</w:t>
      </w:r>
      <w:r w:rsidRPr="0032251D">
        <w:rPr>
          <w:rFonts w:ascii="Aptos" w:eastAsia="Times New Roman" w:hAnsi="Aptos" w:cs="Times New Roman"/>
          <w:kern w:val="0"/>
          <w:sz w:val="22"/>
          <w:szCs w:val="22"/>
          <w:lang w:eastAsia="en-GB"/>
          <w14:ligatures w14:val="none"/>
        </w:rPr>
        <w:t xml:space="preserve"> of credit and the ultimate source of real economic activity. This is who </w:t>
      </w:r>
      <w:proofErr w:type="gramStart"/>
      <w:r w:rsidRPr="0032251D">
        <w:rPr>
          <w:rFonts w:ascii="Aptos" w:eastAsia="Times New Roman" w:hAnsi="Aptos" w:cs="Times New Roman"/>
          <w:kern w:val="0"/>
          <w:sz w:val="22"/>
          <w:szCs w:val="22"/>
          <w:lang w:eastAsia="en-GB"/>
          <w14:ligatures w14:val="none"/>
        </w:rPr>
        <w:t>actually borrows</w:t>
      </w:r>
      <w:proofErr w:type="gramEnd"/>
      <w:r w:rsidRPr="0032251D">
        <w:rPr>
          <w:rFonts w:ascii="Aptos" w:eastAsia="Times New Roman" w:hAnsi="Aptos" w:cs="Times New Roman"/>
          <w:kern w:val="0"/>
          <w:sz w:val="22"/>
          <w:szCs w:val="22"/>
          <w:lang w:eastAsia="en-GB"/>
          <w14:ligatures w14:val="none"/>
        </w:rPr>
        <w:t xml:space="preserve"> from banks (L5a) and NBFIs (L5b), holds deposits, consumes, and invests. The node has two distinct sub-populations: </w:t>
      </w:r>
      <w:r w:rsidRPr="0032251D">
        <w:rPr>
          <w:rFonts w:ascii="Aptos" w:eastAsia="Times New Roman" w:hAnsi="Aptos" w:cs="Times New Roman"/>
          <w:i/>
          <w:iCs/>
          <w:kern w:val="0"/>
          <w:sz w:val="22"/>
          <w:szCs w:val="22"/>
          <w:lang w:eastAsia="en-GB"/>
          <w14:ligatures w14:val="none"/>
        </w:rPr>
        <w:t>households</w:t>
      </w:r>
      <w:r w:rsidRPr="0032251D">
        <w:rPr>
          <w:rFonts w:ascii="Aptos" w:eastAsia="Times New Roman" w:hAnsi="Aptos" w:cs="Times New Roman"/>
          <w:kern w:val="0"/>
          <w:sz w:val="22"/>
          <w:szCs w:val="22"/>
          <w:lang w:eastAsia="en-GB"/>
          <w14:ligatures w14:val="none"/>
        </w:rPr>
        <w:t xml:space="preserve"> (individuals and families with mortgage debt, consumer credit, deposits, and savings) and </w:t>
      </w:r>
      <w:r w:rsidRPr="0032251D">
        <w:rPr>
          <w:rFonts w:ascii="Aptos" w:eastAsia="Times New Roman" w:hAnsi="Aptos" w:cs="Times New Roman"/>
          <w:i/>
          <w:iCs/>
          <w:kern w:val="0"/>
          <w:sz w:val="22"/>
          <w:szCs w:val="22"/>
          <w:lang w:eastAsia="en-GB"/>
          <w14:ligatures w14:val="none"/>
        </w:rPr>
        <w:t>non-financial corporates</w:t>
      </w:r>
      <w:r w:rsidRPr="0032251D">
        <w:rPr>
          <w:rFonts w:ascii="Aptos" w:eastAsia="Times New Roman" w:hAnsi="Aptos" w:cs="Times New Roman"/>
          <w:kern w:val="0"/>
          <w:sz w:val="22"/>
          <w:szCs w:val="22"/>
          <w:lang w:eastAsia="en-GB"/>
          <w14:ligatures w14:val="none"/>
        </w:rPr>
        <w:t xml:space="preserve"> (businesses with debt, equity, working capital needs, and investment decisions). The intermediary layer described so far — banks, </w:t>
      </w:r>
      <w:r w:rsidRPr="0032251D">
        <w:rPr>
          <w:rFonts w:ascii="Aptos" w:eastAsia="Times New Roman" w:hAnsi="Aptos" w:cs="Times New Roman"/>
          <w:kern w:val="0"/>
          <w:sz w:val="22"/>
          <w:szCs w:val="22"/>
          <w:lang w:eastAsia="en-GB"/>
          <w14:ligatures w14:val="none"/>
        </w:rPr>
        <w:lastRenderedPageBreak/>
        <w:t xml:space="preserve">NBFIs, dealers — exists </w:t>
      </w:r>
      <w:r w:rsidRPr="0032251D">
        <w:rPr>
          <w:rFonts w:ascii="Aptos" w:eastAsia="Times New Roman" w:hAnsi="Aptos" w:cs="Times New Roman"/>
          <w:i/>
          <w:iCs/>
          <w:kern w:val="0"/>
          <w:sz w:val="22"/>
          <w:szCs w:val="22"/>
          <w:lang w:eastAsia="en-GB"/>
          <w14:ligatures w14:val="none"/>
        </w:rPr>
        <w:t>to serve</w:t>
      </w:r>
      <w:r w:rsidRPr="0032251D">
        <w:rPr>
          <w:rFonts w:ascii="Aptos" w:eastAsia="Times New Roman" w:hAnsi="Aptos" w:cs="Times New Roman"/>
          <w:kern w:val="0"/>
          <w:sz w:val="22"/>
          <w:szCs w:val="22"/>
          <w:lang w:eastAsia="en-GB"/>
          <w14:ligatures w14:val="none"/>
        </w:rPr>
        <w:t xml:space="preserve"> L5d. Without credit demand from households and corporates, the supply side has no economic relevance. The L5d node therefore closes the credit transmission chain: monetary policy enters through L3 instruments, flows through L4 markets, gets intermediated through L5a-c, and ultimately lands here, where it becomes spending, investment, and real economic activity.</w:t>
      </w:r>
    </w:p>
    <w:p w14:paraId="6106742D"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33FC8DC3">
          <v:rect id="_x0000_i1106" alt="" style="width:451.3pt;height:.05pt;mso-width-percent:0;mso-height-percent:0;mso-width-percent:0;mso-height-percent:0" o:hralign="center" o:hrstd="t" o:hr="t" fillcolor="#a0a0a0" stroked="f"/>
        </w:pict>
      </w:r>
    </w:p>
    <w:p w14:paraId="4FA3D15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Theory</w:t>
      </w:r>
    </w:p>
    <w:p w14:paraId="5AA1EAA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Several theoretical foundations underpin the household and corporate node.</w:t>
      </w:r>
    </w:p>
    <w:p w14:paraId="10B363B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Permanent income and life-cycle hypotheses (Friedman 1957; Modigliani-Brumberg 1954).</w:t>
      </w:r>
      <w:r w:rsidRPr="0032251D">
        <w:rPr>
          <w:rFonts w:ascii="Aptos" w:eastAsia="Times New Roman" w:hAnsi="Aptos" w:cs="Times New Roman"/>
          <w:kern w:val="0"/>
          <w:sz w:val="22"/>
          <w:szCs w:val="22"/>
          <w:lang w:eastAsia="en-GB"/>
          <w14:ligatures w14:val="none"/>
        </w:rPr>
        <w:t xml:space="preserve"> </w:t>
      </w:r>
      <w:proofErr w:type="gramStart"/>
      <w:r w:rsidRPr="0032251D">
        <w:rPr>
          <w:rFonts w:ascii="Aptos" w:eastAsia="Times New Roman" w:hAnsi="Aptos" w:cs="Times New Roman"/>
          <w:kern w:val="0"/>
          <w:sz w:val="22"/>
          <w:szCs w:val="22"/>
          <w:lang w:eastAsia="en-GB"/>
          <w14:ligatures w14:val="none"/>
        </w:rPr>
        <w:t>Households</w:t>
      </w:r>
      <w:proofErr w:type="gramEnd"/>
      <w:r w:rsidRPr="0032251D">
        <w:rPr>
          <w:rFonts w:ascii="Aptos" w:eastAsia="Times New Roman" w:hAnsi="Aptos" w:cs="Times New Roman"/>
          <w:kern w:val="0"/>
          <w:sz w:val="22"/>
          <w:szCs w:val="22"/>
          <w:lang w:eastAsia="en-GB"/>
          <w14:ligatures w14:val="none"/>
        </w:rPr>
        <w:t xml:space="preserve"> smooth consumption against expected lifetime income — implies low marginal propensity to consume out of transitory income but high MPC out of permanent income. The life-cycle version adds intertemporal saving patterns tied to demographics. Both theories provide the baseline for thinking about household behaviour, though real households deviate from them in important ways.</w:t>
      </w:r>
    </w:p>
    <w:p w14:paraId="4D05C1B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Heterogeneous MPCs (Kaplan-Violante-Weidner 2014; Mian-Sufi 2014).</w:t>
      </w:r>
      <w:r w:rsidRPr="0032251D">
        <w:rPr>
          <w:rFonts w:ascii="Aptos" w:eastAsia="Times New Roman" w:hAnsi="Aptos" w:cs="Times New Roman"/>
          <w:kern w:val="0"/>
          <w:sz w:val="22"/>
          <w:szCs w:val="22"/>
          <w:lang w:eastAsia="en-GB"/>
          <w14:ligatures w14:val="none"/>
        </w:rPr>
        <w:t xml:space="preserve"> Aggregate consumption response to shocks is a wealth-weighted sum of heterogeneous MPCs across the household distribution. High-debt and "hand-to-mouth" households have high MPCs near 0.5-1.0; low-debt households have low MPCs near 0.1-0.2. This means the </w:t>
      </w:r>
      <w:r w:rsidRPr="0032251D">
        <w:rPr>
          <w:rFonts w:ascii="Aptos" w:eastAsia="Times New Roman" w:hAnsi="Aptos" w:cs="Times New Roman"/>
          <w:i/>
          <w:iCs/>
          <w:kern w:val="0"/>
          <w:sz w:val="22"/>
          <w:szCs w:val="22"/>
          <w:lang w:eastAsia="en-GB"/>
          <w14:ligatures w14:val="none"/>
        </w:rPr>
        <w:t>distribution of debt and liquid wealth</w:t>
      </w:r>
      <w:r w:rsidRPr="0032251D">
        <w:rPr>
          <w:rFonts w:ascii="Aptos" w:eastAsia="Times New Roman" w:hAnsi="Aptos" w:cs="Times New Roman"/>
          <w:kern w:val="0"/>
          <w:sz w:val="22"/>
          <w:szCs w:val="22"/>
          <w:lang w:eastAsia="en-GB"/>
          <w14:ligatures w14:val="none"/>
        </w:rPr>
        <w:t xml:space="preserve"> across households shapes the aggregate response to policy, not just the average. Mian-Sufi's housing wealth work showed that local housing busts caused disproportionate consumption declines in counties with high pre-bust household leverage — the channel was leverage-amplified MPCs, not aggregate wealth.</w:t>
      </w:r>
    </w:p>
    <w:p w14:paraId="70E57FF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The credit channel (Bernanke-Gertler 1989; Bernanke-Gertler-Gilchrist 1999).</w:t>
      </w:r>
      <w:r w:rsidRPr="0032251D">
        <w:rPr>
          <w:rFonts w:ascii="Aptos" w:eastAsia="Times New Roman" w:hAnsi="Aptos" w:cs="Times New Roman"/>
          <w:kern w:val="0"/>
          <w:sz w:val="22"/>
          <w:szCs w:val="22"/>
          <w:lang w:eastAsia="en-GB"/>
          <w14:ligatures w14:val="none"/>
        </w:rPr>
        <w:t xml:space="preserve"> Information frictions between lenders and borrowers create an external finance premium — the gap between the cost of external finance and internal finance. Net worth (collateral) determines this premium. When net worth falls (recession, asset price decline), the premium rises, tightening effective credit conditions independently of the policy rate. This is the financial accelerator mechanism.</w:t>
      </w:r>
    </w:p>
    <w:p w14:paraId="2F6A210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Tobin's q (Tobin 1969).</w:t>
      </w:r>
      <w:r w:rsidRPr="0032251D">
        <w:rPr>
          <w:rFonts w:ascii="Aptos" w:eastAsia="Times New Roman" w:hAnsi="Aptos" w:cs="Times New Roman"/>
          <w:kern w:val="0"/>
          <w:sz w:val="22"/>
          <w:szCs w:val="22"/>
          <w:lang w:eastAsia="en-GB"/>
          <w14:ligatures w14:val="none"/>
        </w:rPr>
        <w:t xml:space="preserve"> Corporate investment depends on the market value of capital relative to its replacement cost. When q &gt; 1, investment is profitable; when q &lt; 1, it is not. This is how asset prices flow into real investment decisions — and the structural reason equity markets matter for capex, not just for wealth.</w:t>
      </w:r>
    </w:p>
    <w:p w14:paraId="1583147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Modigliani-Miller and its frictions (Modigliani-Miller 1958).</w:t>
      </w:r>
      <w:r w:rsidRPr="0032251D">
        <w:rPr>
          <w:rFonts w:ascii="Aptos" w:eastAsia="Times New Roman" w:hAnsi="Aptos" w:cs="Times New Roman"/>
          <w:kern w:val="0"/>
          <w:sz w:val="22"/>
          <w:szCs w:val="22"/>
          <w:lang w:eastAsia="en-GB"/>
          <w14:ligatures w14:val="none"/>
        </w:rPr>
        <w:t xml:space="preserve"> In frictionless markets, capital structure is irrelevant — corporate value is the same regardless of debt/equity mix. </w:t>
      </w:r>
      <w:proofErr w:type="gramStart"/>
      <w:r w:rsidRPr="0032251D">
        <w:rPr>
          <w:rFonts w:ascii="Aptos" w:eastAsia="Times New Roman" w:hAnsi="Aptos" w:cs="Times New Roman"/>
          <w:kern w:val="0"/>
          <w:sz w:val="22"/>
          <w:szCs w:val="22"/>
          <w:lang w:eastAsia="en-GB"/>
          <w14:ligatures w14:val="none"/>
        </w:rPr>
        <w:t>In reality, debt</w:t>
      </w:r>
      <w:proofErr w:type="gramEnd"/>
      <w:r w:rsidRPr="0032251D">
        <w:rPr>
          <w:rFonts w:ascii="Aptos" w:eastAsia="Times New Roman" w:hAnsi="Aptos" w:cs="Times New Roman"/>
          <w:kern w:val="0"/>
          <w:sz w:val="22"/>
          <w:szCs w:val="22"/>
          <w:lang w:eastAsia="en-GB"/>
          <w14:ligatures w14:val="none"/>
        </w:rPr>
        <w:t xml:space="preserve"> vs equity matters because of taxes (interest is deductible), bankruptcy costs, agency costs, and information asymmetry. M-M provides the theoretical baseline; deviations from it are where actual corporate finance lives. The relevant insight: corporate leverage decisions are driven by predictable frictions, which means leverage responds to interest rates, tax structure, and risk perception in ways that can be modelled.</w:t>
      </w:r>
    </w:p>
    <w:p w14:paraId="60B5E9A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Wealth effects on consumption (Carroll-Otsuka-</w:t>
      </w:r>
      <w:proofErr w:type="spellStart"/>
      <w:r w:rsidRPr="0032251D">
        <w:rPr>
          <w:rFonts w:ascii="Aptos" w:eastAsia="Times New Roman" w:hAnsi="Aptos" w:cs="Times New Roman"/>
          <w:i/>
          <w:iCs/>
          <w:kern w:val="0"/>
          <w:sz w:val="22"/>
          <w:szCs w:val="22"/>
          <w:lang w:eastAsia="en-GB"/>
          <w14:ligatures w14:val="none"/>
        </w:rPr>
        <w:t>Slacalek</w:t>
      </w:r>
      <w:proofErr w:type="spellEnd"/>
      <w:r w:rsidRPr="0032251D">
        <w:rPr>
          <w:rFonts w:ascii="Aptos" w:eastAsia="Times New Roman" w:hAnsi="Aptos" w:cs="Times New Roman"/>
          <w:i/>
          <w:iCs/>
          <w:kern w:val="0"/>
          <w:sz w:val="22"/>
          <w:szCs w:val="22"/>
          <w:lang w:eastAsia="en-GB"/>
          <w14:ligatures w14:val="none"/>
        </w:rPr>
        <w:t xml:space="preserve"> 2011).</w:t>
      </w:r>
      <w:r w:rsidRPr="0032251D">
        <w:rPr>
          <w:rFonts w:ascii="Aptos" w:eastAsia="Times New Roman" w:hAnsi="Aptos" w:cs="Times New Roman"/>
          <w:kern w:val="0"/>
          <w:sz w:val="22"/>
          <w:szCs w:val="22"/>
          <w:lang w:eastAsia="en-GB"/>
          <w14:ligatures w14:val="none"/>
        </w:rPr>
        <w:t xml:space="preserve"> Changes in household wealth affect consumption with empirically meaningful elasticities. Housing wealth has larger consumption effect than equity wealth, especially for collateral-constrained households who </w:t>
      </w:r>
      <w:r w:rsidRPr="0032251D">
        <w:rPr>
          <w:rFonts w:ascii="Aptos" w:eastAsia="Times New Roman" w:hAnsi="Aptos" w:cs="Times New Roman"/>
          <w:kern w:val="0"/>
          <w:sz w:val="22"/>
          <w:szCs w:val="22"/>
          <w:lang w:eastAsia="en-GB"/>
          <w14:ligatures w14:val="none"/>
        </w:rPr>
        <w:lastRenderedPageBreak/>
        <w:t>can borrow against housing. The elasticity of consumption to housing wealth is estimated at 0.04-0.10; to equity wealth, 0.02-0.05.</w:t>
      </w:r>
    </w:p>
    <w:p w14:paraId="3DD1C19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Debt service capacity.</w:t>
      </w:r>
      <w:r w:rsidRPr="0032251D">
        <w:rPr>
          <w:rFonts w:ascii="Aptos" w:eastAsia="Times New Roman" w:hAnsi="Aptos" w:cs="Times New Roman"/>
          <w:kern w:val="0"/>
          <w:sz w:val="22"/>
          <w:szCs w:val="22"/>
          <w:lang w:eastAsia="en-GB"/>
          <w14:ligatures w14:val="none"/>
        </w:rPr>
        <w:t xml:space="preserve"> Household DSR (debt service ratio) constrains consumption — when too much income goes to debt service, discretionary spending falls. Corporate debt service capacity (interest coverage) constrains investment and operations. Both are state-dependent constraints that bind when leverage is high or rates are high.</w:t>
      </w:r>
    </w:p>
    <w:p w14:paraId="32FCF62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Credit-cycle dynamics (</w:t>
      </w:r>
      <w:proofErr w:type="spellStart"/>
      <w:r w:rsidRPr="0032251D">
        <w:rPr>
          <w:rFonts w:ascii="Aptos" w:eastAsia="Times New Roman" w:hAnsi="Aptos" w:cs="Times New Roman"/>
          <w:i/>
          <w:iCs/>
          <w:kern w:val="0"/>
          <w:sz w:val="22"/>
          <w:szCs w:val="22"/>
          <w:lang w:eastAsia="en-GB"/>
          <w14:ligatures w14:val="none"/>
        </w:rPr>
        <w:t>Schularick</w:t>
      </w:r>
      <w:proofErr w:type="spellEnd"/>
      <w:r w:rsidRPr="0032251D">
        <w:rPr>
          <w:rFonts w:ascii="Aptos" w:eastAsia="Times New Roman" w:hAnsi="Aptos" w:cs="Times New Roman"/>
          <w:i/>
          <w:iCs/>
          <w:kern w:val="0"/>
          <w:sz w:val="22"/>
          <w:szCs w:val="22"/>
          <w:lang w:eastAsia="en-GB"/>
          <w14:ligatures w14:val="none"/>
        </w:rPr>
        <w:t>-Taylor 2012; Mian-Sufi 2018).</w:t>
      </w:r>
      <w:r w:rsidRPr="0032251D">
        <w:rPr>
          <w:rFonts w:ascii="Aptos" w:eastAsia="Times New Roman" w:hAnsi="Aptos" w:cs="Times New Roman"/>
          <w:kern w:val="0"/>
          <w:sz w:val="22"/>
          <w:szCs w:val="22"/>
          <w:lang w:eastAsia="en-GB"/>
          <w14:ligatures w14:val="none"/>
        </w:rPr>
        <w:t xml:space="preserve"> Household credit growth predicts financial crises better than corporate credit growth in cross-country panel data. Real estate-secured credit is particularly important — the most reliable single financial-stability predictor. The implication: L5d household credit dynamics are themselves a leading indicator of system stress.</w:t>
      </w:r>
    </w:p>
    <w:p w14:paraId="2D7D1642"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58DDDB97">
          <v:rect id="_x0000_i1107" alt="" style="width:451.3pt;height:.05pt;mso-width-percent:0;mso-height-percent:0;mso-width-percent:0;mso-height-percent:0" o:hralign="center" o:hrstd="t" o:hr="t" fillcolor="#a0a0a0" stroked="f"/>
        </w:pict>
      </w:r>
    </w:p>
    <w:p w14:paraId="32CBA9C2"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Canonical specifications and parameters</w:t>
      </w:r>
    </w:p>
    <w:p w14:paraId="4A3C51C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node has measurable structure across household and corporate dimensions.</w:t>
      </w:r>
    </w:p>
    <w:p w14:paraId="0719A15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Household metrics.</w:t>
      </w:r>
    </w:p>
    <w:p w14:paraId="7D4EADD0" w14:textId="77777777" w:rsidR="0032251D" w:rsidRPr="0032251D" w:rsidRDefault="0032251D">
      <w:pPr>
        <w:numPr>
          <w:ilvl w:val="0"/>
          <w:numId w:val="8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Household debt-to-GDP</w:t>
      </w:r>
      <w:r w:rsidRPr="0032251D">
        <w:rPr>
          <w:rFonts w:ascii="Aptos" w:eastAsia="Times New Roman" w:hAnsi="Aptos" w:cs="Times New Roman"/>
          <w:kern w:val="0"/>
          <w:sz w:val="22"/>
          <w:szCs w:val="22"/>
          <w:lang w:eastAsia="en-GB"/>
          <w14:ligatures w14:val="none"/>
        </w:rPr>
        <w:t>: aggregate stock leverage measure</w:t>
      </w:r>
    </w:p>
    <w:p w14:paraId="4E6EFB66" w14:textId="77777777" w:rsidR="0032251D" w:rsidRPr="0032251D" w:rsidRDefault="0032251D">
      <w:pPr>
        <w:numPr>
          <w:ilvl w:val="0"/>
          <w:numId w:val="8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Household debt-to-disposable income</w:t>
      </w:r>
      <w:r w:rsidRPr="0032251D">
        <w:rPr>
          <w:rFonts w:ascii="Aptos" w:eastAsia="Times New Roman" w:hAnsi="Aptos" w:cs="Times New Roman"/>
          <w:kern w:val="0"/>
          <w:sz w:val="22"/>
          <w:szCs w:val="22"/>
          <w:lang w:eastAsia="en-GB"/>
          <w14:ligatures w14:val="none"/>
        </w:rPr>
        <w:t>: more economically meaningful than debt-to-GDP</w:t>
      </w:r>
    </w:p>
    <w:p w14:paraId="12AF550B" w14:textId="77777777" w:rsidR="0032251D" w:rsidRPr="0032251D" w:rsidRDefault="0032251D">
      <w:pPr>
        <w:numPr>
          <w:ilvl w:val="0"/>
          <w:numId w:val="8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Debt service ratio (DSR)</w:t>
      </w:r>
      <w:r w:rsidRPr="0032251D">
        <w:rPr>
          <w:rFonts w:ascii="Aptos" w:eastAsia="Times New Roman" w:hAnsi="Aptos" w:cs="Times New Roman"/>
          <w:kern w:val="0"/>
          <w:sz w:val="22"/>
          <w:szCs w:val="22"/>
          <w:lang w:eastAsia="en-GB"/>
          <w14:ligatures w14:val="none"/>
        </w:rPr>
        <w:t>: debt payments / disposable income. BIS publishes country-level DSR data — the standard cross-country measure.</w:t>
      </w:r>
    </w:p>
    <w:p w14:paraId="6B5E4A6E" w14:textId="77777777" w:rsidR="0032251D" w:rsidRPr="0032251D" w:rsidRDefault="0032251D">
      <w:pPr>
        <w:numPr>
          <w:ilvl w:val="0"/>
          <w:numId w:val="8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Mortgage debt composition</w:t>
      </w:r>
      <w:r w:rsidRPr="0032251D">
        <w:rPr>
          <w:rFonts w:ascii="Aptos" w:eastAsia="Times New Roman" w:hAnsi="Aptos" w:cs="Times New Roman"/>
          <w:kern w:val="0"/>
          <w:sz w:val="22"/>
          <w:szCs w:val="22"/>
          <w:lang w:eastAsia="en-GB"/>
          <w14:ligatures w14:val="none"/>
        </w:rPr>
        <w:t>: fixed vs floating rate, LTV at origination, average remaining maturity</w:t>
      </w:r>
    </w:p>
    <w:p w14:paraId="1B5A4A16" w14:textId="77777777" w:rsidR="0032251D" w:rsidRPr="0032251D" w:rsidRDefault="0032251D">
      <w:pPr>
        <w:numPr>
          <w:ilvl w:val="0"/>
          <w:numId w:val="8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Consumer credit</w:t>
      </w:r>
      <w:r w:rsidRPr="0032251D">
        <w:rPr>
          <w:rFonts w:ascii="Aptos" w:eastAsia="Times New Roman" w:hAnsi="Aptos" w:cs="Times New Roman"/>
          <w:kern w:val="0"/>
          <w:sz w:val="22"/>
          <w:szCs w:val="22"/>
          <w:lang w:eastAsia="en-GB"/>
          <w14:ligatures w14:val="none"/>
        </w:rPr>
        <w:t>: outstanding balances, credit card utilisation, unsecured personal loans</w:t>
      </w:r>
    </w:p>
    <w:p w14:paraId="71D8E5A9" w14:textId="77777777" w:rsidR="0032251D" w:rsidRPr="0032251D" w:rsidRDefault="0032251D">
      <w:pPr>
        <w:numPr>
          <w:ilvl w:val="0"/>
          <w:numId w:val="8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Savings rate</w:t>
      </w:r>
      <w:r w:rsidRPr="0032251D">
        <w:rPr>
          <w:rFonts w:ascii="Aptos" w:eastAsia="Times New Roman" w:hAnsi="Aptos" w:cs="Times New Roman"/>
          <w:kern w:val="0"/>
          <w:sz w:val="22"/>
          <w:szCs w:val="22"/>
          <w:lang w:eastAsia="en-GB"/>
          <w14:ligatures w14:val="none"/>
        </w:rPr>
        <w:t>: personal savings / disposable income</w:t>
      </w:r>
    </w:p>
    <w:p w14:paraId="28EF8306" w14:textId="77777777" w:rsidR="0032251D" w:rsidRPr="0032251D" w:rsidRDefault="0032251D">
      <w:pPr>
        <w:numPr>
          <w:ilvl w:val="0"/>
          <w:numId w:val="8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Net wealth</w:t>
      </w:r>
      <w:r w:rsidRPr="0032251D">
        <w:rPr>
          <w:rFonts w:ascii="Aptos" w:eastAsia="Times New Roman" w:hAnsi="Aptos" w:cs="Times New Roman"/>
          <w:kern w:val="0"/>
          <w:sz w:val="22"/>
          <w:szCs w:val="22"/>
          <w:lang w:eastAsia="en-GB"/>
          <w14:ligatures w14:val="none"/>
        </w:rPr>
        <w:t>: housing equity, financial assets, pension entitlements, minus debt</w:t>
      </w:r>
    </w:p>
    <w:p w14:paraId="078255F9" w14:textId="77777777" w:rsidR="0032251D" w:rsidRPr="0032251D" w:rsidRDefault="0032251D">
      <w:pPr>
        <w:numPr>
          <w:ilvl w:val="0"/>
          <w:numId w:val="8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MPC distribution</w:t>
      </w:r>
      <w:r w:rsidRPr="0032251D">
        <w:rPr>
          <w:rFonts w:ascii="Aptos" w:eastAsia="Times New Roman" w:hAnsi="Aptos" w:cs="Times New Roman"/>
          <w:kern w:val="0"/>
          <w:sz w:val="22"/>
          <w:szCs w:val="22"/>
          <w:lang w:eastAsia="en-GB"/>
          <w14:ligatures w14:val="none"/>
        </w:rPr>
        <w:t>: by income quintile, by leverage, by liquid wealth</w:t>
      </w:r>
    </w:p>
    <w:p w14:paraId="2E28EE4D" w14:textId="77777777" w:rsidR="0032251D" w:rsidRPr="0032251D" w:rsidRDefault="0032251D">
      <w:pPr>
        <w:numPr>
          <w:ilvl w:val="0"/>
          <w:numId w:val="8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Hand-to-mouth share</w:t>
      </w:r>
      <w:r w:rsidRPr="0032251D">
        <w:rPr>
          <w:rFonts w:ascii="Aptos" w:eastAsia="Times New Roman" w:hAnsi="Aptos" w:cs="Times New Roman"/>
          <w:kern w:val="0"/>
          <w:sz w:val="22"/>
          <w:szCs w:val="22"/>
          <w:lang w:eastAsia="en-GB"/>
          <w14:ligatures w14:val="none"/>
        </w:rPr>
        <w:t>: % of households with no meaningful liquid buffer (Kaplan-Violante-Weidner estimate ~30% in US)</w:t>
      </w:r>
    </w:p>
    <w:p w14:paraId="734AC65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Corporate metrics.</w:t>
      </w:r>
    </w:p>
    <w:p w14:paraId="16A773DD" w14:textId="77777777" w:rsidR="0032251D" w:rsidRPr="0032251D" w:rsidRDefault="0032251D">
      <w:pPr>
        <w:numPr>
          <w:ilvl w:val="0"/>
          <w:numId w:val="8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Non-financial corporate debt-to-GDP</w:t>
      </w:r>
      <w:r w:rsidRPr="0032251D">
        <w:rPr>
          <w:rFonts w:ascii="Aptos" w:eastAsia="Times New Roman" w:hAnsi="Aptos" w:cs="Times New Roman"/>
          <w:kern w:val="0"/>
          <w:sz w:val="22"/>
          <w:szCs w:val="22"/>
          <w:lang w:eastAsia="en-GB"/>
          <w14:ligatures w14:val="none"/>
        </w:rPr>
        <w:t>: aggregate leverage measure</w:t>
      </w:r>
    </w:p>
    <w:p w14:paraId="3114959D" w14:textId="77777777" w:rsidR="0032251D" w:rsidRPr="0032251D" w:rsidRDefault="0032251D">
      <w:pPr>
        <w:numPr>
          <w:ilvl w:val="0"/>
          <w:numId w:val="8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Debt-to-EBITDA</w:t>
      </w:r>
      <w:r w:rsidRPr="0032251D">
        <w:rPr>
          <w:rFonts w:ascii="Aptos" w:eastAsia="Times New Roman" w:hAnsi="Aptos" w:cs="Times New Roman"/>
          <w:kern w:val="0"/>
          <w:sz w:val="22"/>
          <w:szCs w:val="22"/>
          <w:lang w:eastAsia="en-GB"/>
          <w14:ligatures w14:val="none"/>
        </w:rPr>
        <w:t>: cash-flow-based leverage measure, more economically meaningful for credit assessment</w:t>
      </w:r>
    </w:p>
    <w:p w14:paraId="7DBC87F1" w14:textId="77777777" w:rsidR="0032251D" w:rsidRPr="0032251D" w:rsidRDefault="0032251D">
      <w:pPr>
        <w:numPr>
          <w:ilvl w:val="0"/>
          <w:numId w:val="8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Interest coverage ratio (ICR)</w:t>
      </w:r>
      <w:r w:rsidRPr="0032251D">
        <w:rPr>
          <w:rFonts w:ascii="Aptos" w:eastAsia="Times New Roman" w:hAnsi="Aptos" w:cs="Times New Roman"/>
          <w:kern w:val="0"/>
          <w:sz w:val="22"/>
          <w:szCs w:val="22"/>
          <w:lang w:eastAsia="en-GB"/>
          <w14:ligatures w14:val="none"/>
        </w:rPr>
        <w:t>: EBIT / interest expense — the workhorse credit health metric</w:t>
      </w:r>
    </w:p>
    <w:p w14:paraId="44B81592" w14:textId="77777777" w:rsidR="0032251D" w:rsidRPr="0032251D" w:rsidRDefault="0032251D">
      <w:pPr>
        <w:numPr>
          <w:ilvl w:val="0"/>
          <w:numId w:val="8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Cash flow coverage ratios</w:t>
      </w:r>
      <w:r w:rsidRPr="0032251D">
        <w:rPr>
          <w:rFonts w:ascii="Aptos" w:eastAsia="Times New Roman" w:hAnsi="Aptos" w:cs="Times New Roman"/>
          <w:kern w:val="0"/>
          <w:sz w:val="22"/>
          <w:szCs w:val="22"/>
          <w:lang w:eastAsia="en-GB"/>
          <w14:ligatures w14:val="none"/>
        </w:rPr>
        <w:t>: free cash flow vs debt service</w:t>
      </w:r>
    </w:p>
    <w:p w14:paraId="652066F7" w14:textId="77777777" w:rsidR="0032251D" w:rsidRPr="0032251D" w:rsidRDefault="0032251D">
      <w:pPr>
        <w:numPr>
          <w:ilvl w:val="0"/>
          <w:numId w:val="8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Capital expenditure / revenue</w:t>
      </w:r>
      <w:r w:rsidRPr="0032251D">
        <w:rPr>
          <w:rFonts w:ascii="Aptos" w:eastAsia="Times New Roman" w:hAnsi="Aptos" w:cs="Times New Roman"/>
          <w:kern w:val="0"/>
          <w:sz w:val="22"/>
          <w:szCs w:val="22"/>
          <w:lang w:eastAsia="en-GB"/>
          <w14:ligatures w14:val="none"/>
        </w:rPr>
        <w:t>: investment intensity</w:t>
      </w:r>
    </w:p>
    <w:p w14:paraId="271B0546" w14:textId="77777777" w:rsidR="0032251D" w:rsidRPr="0032251D" w:rsidRDefault="0032251D">
      <w:pPr>
        <w:numPr>
          <w:ilvl w:val="0"/>
          <w:numId w:val="8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Cash holdings / total assets</w:t>
      </w:r>
      <w:r w:rsidRPr="0032251D">
        <w:rPr>
          <w:rFonts w:ascii="Aptos" w:eastAsia="Times New Roman" w:hAnsi="Aptos" w:cs="Times New Roman"/>
          <w:kern w:val="0"/>
          <w:sz w:val="22"/>
          <w:szCs w:val="22"/>
          <w:lang w:eastAsia="en-GB"/>
          <w14:ligatures w14:val="none"/>
        </w:rPr>
        <w:t>: liquidity buffer</w:t>
      </w:r>
    </w:p>
    <w:p w14:paraId="52A6055A" w14:textId="77777777" w:rsidR="0032251D" w:rsidRPr="0032251D" w:rsidRDefault="0032251D">
      <w:pPr>
        <w:numPr>
          <w:ilvl w:val="0"/>
          <w:numId w:val="8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Operating margins</w:t>
      </w:r>
      <w:r w:rsidRPr="0032251D">
        <w:rPr>
          <w:rFonts w:ascii="Aptos" w:eastAsia="Times New Roman" w:hAnsi="Aptos" w:cs="Times New Roman"/>
          <w:kern w:val="0"/>
          <w:sz w:val="22"/>
          <w:szCs w:val="22"/>
          <w:lang w:eastAsia="en-GB"/>
          <w14:ligatures w14:val="none"/>
        </w:rPr>
        <w:t>: profitability trajectory</w:t>
      </w:r>
    </w:p>
    <w:p w14:paraId="46282D01" w14:textId="77777777" w:rsidR="0032251D" w:rsidRPr="0032251D" w:rsidRDefault="0032251D">
      <w:pPr>
        <w:numPr>
          <w:ilvl w:val="0"/>
          <w:numId w:val="8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Working capital metrics</w:t>
      </w:r>
      <w:r w:rsidRPr="0032251D">
        <w:rPr>
          <w:rFonts w:ascii="Aptos" w:eastAsia="Times New Roman" w:hAnsi="Aptos" w:cs="Times New Roman"/>
          <w:kern w:val="0"/>
          <w:sz w:val="22"/>
          <w:szCs w:val="22"/>
          <w:lang w:eastAsia="en-GB"/>
          <w14:ligatures w14:val="none"/>
        </w:rPr>
        <w:t>: days payable, days receivable, inventory turns</w:t>
      </w:r>
    </w:p>
    <w:p w14:paraId="0E535B0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Credit flow metrics.</w:t>
      </w:r>
    </w:p>
    <w:p w14:paraId="2ED6EE76" w14:textId="77777777" w:rsidR="0032251D" w:rsidRPr="0032251D" w:rsidRDefault="0032251D">
      <w:pPr>
        <w:numPr>
          <w:ilvl w:val="0"/>
          <w:numId w:val="8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lastRenderedPageBreak/>
        <w:t>New mortgage originations and refinancing activity</w:t>
      </w:r>
    </w:p>
    <w:p w14:paraId="0686E815" w14:textId="77777777" w:rsidR="0032251D" w:rsidRPr="0032251D" w:rsidRDefault="0032251D">
      <w:pPr>
        <w:numPr>
          <w:ilvl w:val="0"/>
          <w:numId w:val="8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New consumer credit creation</w:t>
      </w:r>
    </w:p>
    <w:p w14:paraId="00821E7D" w14:textId="77777777" w:rsidR="0032251D" w:rsidRPr="0032251D" w:rsidRDefault="0032251D">
      <w:pPr>
        <w:numPr>
          <w:ilvl w:val="0"/>
          <w:numId w:val="8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Corporate bond issuance volumes</w:t>
      </w:r>
    </w:p>
    <w:p w14:paraId="1AD83F02" w14:textId="77777777" w:rsidR="0032251D" w:rsidRPr="0032251D" w:rsidRDefault="0032251D">
      <w:pPr>
        <w:numPr>
          <w:ilvl w:val="0"/>
          <w:numId w:val="8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Bank lending growth to non-financial sector</w:t>
      </w:r>
    </w:p>
    <w:p w14:paraId="74F5FFE6" w14:textId="77777777" w:rsidR="0032251D" w:rsidRPr="0032251D" w:rsidRDefault="0032251D">
      <w:pPr>
        <w:numPr>
          <w:ilvl w:val="0"/>
          <w:numId w:val="8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Loan officer surveys on lending standards (Fed SLOOS, ECB BLS, BoE Credit Conditions Survey)</w:t>
      </w:r>
    </w:p>
    <w:p w14:paraId="1C670D8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Stress and default metrics.</w:t>
      </w:r>
    </w:p>
    <w:p w14:paraId="387EFCF0" w14:textId="77777777" w:rsidR="0032251D" w:rsidRPr="0032251D" w:rsidRDefault="0032251D">
      <w:pPr>
        <w:numPr>
          <w:ilvl w:val="0"/>
          <w:numId w:val="8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Household default rates (mortgage delinquency, credit card delinquency)</w:t>
      </w:r>
    </w:p>
    <w:p w14:paraId="7ABA578E" w14:textId="77777777" w:rsidR="0032251D" w:rsidRPr="0032251D" w:rsidRDefault="0032251D">
      <w:pPr>
        <w:numPr>
          <w:ilvl w:val="0"/>
          <w:numId w:val="8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Corporate default rates (high-yield default rate)</w:t>
      </w:r>
    </w:p>
    <w:p w14:paraId="59BDD0A8" w14:textId="77777777" w:rsidR="0032251D" w:rsidRPr="0032251D" w:rsidRDefault="0032251D">
      <w:pPr>
        <w:numPr>
          <w:ilvl w:val="0"/>
          <w:numId w:val="8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Bankruptcy filings</w:t>
      </w:r>
    </w:p>
    <w:p w14:paraId="61FA906D" w14:textId="77777777" w:rsidR="0032251D" w:rsidRPr="0032251D" w:rsidRDefault="0032251D">
      <w:pPr>
        <w:numPr>
          <w:ilvl w:val="0"/>
          <w:numId w:val="8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Credit downgrades and rating actions</w:t>
      </w:r>
    </w:p>
    <w:p w14:paraId="648385CE" w14:textId="77777777" w:rsidR="0032251D" w:rsidRPr="0032251D" w:rsidRDefault="0032251D">
      <w:pPr>
        <w:numPr>
          <w:ilvl w:val="0"/>
          <w:numId w:val="8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Distressed debt ratios</w:t>
      </w:r>
    </w:p>
    <w:p w14:paraId="24B1125E"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157BE4D0">
          <v:rect id="_x0000_i1108" alt="" style="width:451.3pt;height:.05pt;mso-width-percent:0;mso-height-percent:0;mso-width-percent:0;mso-height-percent:0" o:hralign="center" o:hrstd="t" o:hr="t" fillcolor="#a0a0a0" stroked="f"/>
        </w:pict>
      </w:r>
    </w:p>
    <w:p w14:paraId="381A7485"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Why this matters for asset prices</w:t>
      </w:r>
    </w:p>
    <w:p w14:paraId="69F4DA05"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L5d is consequential through eight channels.</w:t>
      </w:r>
    </w:p>
    <w:p w14:paraId="715CEB7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Aggregate demand transmission.</w:t>
      </w:r>
      <w:r w:rsidRPr="0032251D">
        <w:rPr>
          <w:rFonts w:ascii="Aptos" w:eastAsia="Times New Roman" w:hAnsi="Aptos" w:cs="Times New Roman"/>
          <w:kern w:val="0"/>
          <w:sz w:val="22"/>
          <w:szCs w:val="22"/>
          <w:lang w:eastAsia="en-GB"/>
          <w14:ligatures w14:val="none"/>
        </w:rPr>
        <w:t xml:space="preserve"> Household consumption is ~60-70% of GDP in most economies; corporate investment is ~15-20%. These are what monetary policy ultimately tries to affect. Asset prices respond to growth, which is largely an L5d outcome — earnings, capex, hiring, all live here.</w:t>
      </w:r>
    </w:p>
    <w:p w14:paraId="14C366B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Credit demand vs supply.</w:t>
      </w:r>
      <w:r w:rsidRPr="0032251D">
        <w:rPr>
          <w:rFonts w:ascii="Aptos" w:eastAsia="Times New Roman" w:hAnsi="Aptos" w:cs="Times New Roman"/>
          <w:kern w:val="0"/>
          <w:sz w:val="22"/>
          <w:szCs w:val="22"/>
          <w:lang w:eastAsia="en-GB"/>
          <w14:ligatures w14:val="none"/>
        </w:rPr>
        <w:t xml:space="preserve"> Bank and NBFI lending capacity does not matter without demand. L5d determines demand. Weak demand can offset loose policy — the post-2008 DM "pushing on a string" problem, where banks had ample </w:t>
      </w:r>
      <w:proofErr w:type="gramStart"/>
      <w:r w:rsidRPr="0032251D">
        <w:rPr>
          <w:rFonts w:ascii="Aptos" w:eastAsia="Times New Roman" w:hAnsi="Aptos" w:cs="Times New Roman"/>
          <w:kern w:val="0"/>
          <w:sz w:val="22"/>
          <w:szCs w:val="22"/>
          <w:lang w:eastAsia="en-GB"/>
          <w14:ligatures w14:val="none"/>
        </w:rPr>
        <w:t>reserves</w:t>
      </w:r>
      <w:proofErr w:type="gramEnd"/>
      <w:r w:rsidRPr="0032251D">
        <w:rPr>
          <w:rFonts w:ascii="Aptos" w:eastAsia="Times New Roman" w:hAnsi="Aptos" w:cs="Times New Roman"/>
          <w:kern w:val="0"/>
          <w:sz w:val="22"/>
          <w:szCs w:val="22"/>
          <w:lang w:eastAsia="en-GB"/>
          <w14:ligatures w14:val="none"/>
        </w:rPr>
        <w:t xml:space="preserve"> but households and corporates did not want to borrow.</w:t>
      </w:r>
    </w:p>
    <w:p w14:paraId="2749476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Wealth effects channel.</w:t>
      </w:r>
      <w:r w:rsidRPr="0032251D">
        <w:rPr>
          <w:rFonts w:ascii="Aptos" w:eastAsia="Times New Roman" w:hAnsi="Aptos" w:cs="Times New Roman"/>
          <w:kern w:val="0"/>
          <w:sz w:val="22"/>
          <w:szCs w:val="22"/>
          <w:lang w:eastAsia="en-GB"/>
          <w14:ligatures w14:val="none"/>
        </w:rPr>
        <w:t xml:space="preserve"> Rising asset prices increase household wealth, increasing consumption. The wealth effect is one of the key monetary transmission channels and runs through L5d directly. The post-2008 QE era was largely an asset-price-wealth-effect monetary transmission.</w:t>
      </w:r>
    </w:p>
    <w:p w14:paraId="41447BE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Corporate investment via q.</w:t>
      </w:r>
      <w:r w:rsidRPr="0032251D">
        <w:rPr>
          <w:rFonts w:ascii="Aptos" w:eastAsia="Times New Roman" w:hAnsi="Aptos" w:cs="Times New Roman"/>
          <w:kern w:val="0"/>
          <w:sz w:val="22"/>
          <w:szCs w:val="22"/>
          <w:lang w:eastAsia="en-GB"/>
          <w14:ligatures w14:val="none"/>
        </w:rPr>
        <w:t xml:space="preserve"> Higher equity prices = higher q = more investment. This is the asset-price-to-real-economy channel that the financial accelerator framework formalises. When stock prices rise, capex rises (with lag); when they fall, capex falls.</w:t>
      </w:r>
    </w:p>
    <w:p w14:paraId="7B53209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Credit cycle origination.</w:t>
      </w:r>
      <w:r w:rsidRPr="0032251D">
        <w:rPr>
          <w:rFonts w:ascii="Aptos" w:eastAsia="Times New Roman" w:hAnsi="Aptos" w:cs="Times New Roman"/>
          <w:kern w:val="0"/>
          <w:sz w:val="22"/>
          <w:szCs w:val="22"/>
          <w:lang w:eastAsia="en-GB"/>
          <w14:ligatures w14:val="none"/>
        </w:rPr>
        <w:t xml:space="preserve"> Household debt accumulation predates financial crises in the </w:t>
      </w:r>
      <w:proofErr w:type="spellStart"/>
      <w:r w:rsidRPr="0032251D">
        <w:rPr>
          <w:rFonts w:ascii="Aptos" w:eastAsia="Times New Roman" w:hAnsi="Aptos" w:cs="Times New Roman"/>
          <w:kern w:val="0"/>
          <w:sz w:val="22"/>
          <w:szCs w:val="22"/>
          <w:lang w:eastAsia="en-GB"/>
          <w14:ligatures w14:val="none"/>
        </w:rPr>
        <w:t>Schularick</w:t>
      </w:r>
      <w:proofErr w:type="spellEnd"/>
      <w:r w:rsidRPr="0032251D">
        <w:rPr>
          <w:rFonts w:ascii="Aptos" w:eastAsia="Times New Roman" w:hAnsi="Aptos" w:cs="Times New Roman"/>
          <w:kern w:val="0"/>
          <w:sz w:val="22"/>
          <w:szCs w:val="22"/>
          <w:lang w:eastAsia="en-GB"/>
          <w14:ligatures w14:val="none"/>
        </w:rPr>
        <w:t>-Taylor evidence. L5d credit growth is itself a leading indicator — not just a downstream consequence — of financial stability events. The most reliable crisis predictor is the credit-to-GDP gap (Borio-</w:t>
      </w:r>
      <w:proofErr w:type="spellStart"/>
      <w:r w:rsidRPr="0032251D">
        <w:rPr>
          <w:rFonts w:ascii="Aptos" w:eastAsia="Times New Roman" w:hAnsi="Aptos" w:cs="Times New Roman"/>
          <w:kern w:val="0"/>
          <w:sz w:val="22"/>
          <w:szCs w:val="22"/>
          <w:lang w:eastAsia="en-GB"/>
          <w14:ligatures w14:val="none"/>
        </w:rPr>
        <w:t>Drehmann</w:t>
      </w:r>
      <w:proofErr w:type="spellEnd"/>
      <w:r w:rsidRPr="0032251D">
        <w:rPr>
          <w:rFonts w:ascii="Aptos" w:eastAsia="Times New Roman" w:hAnsi="Aptos" w:cs="Times New Roman"/>
          <w:kern w:val="0"/>
          <w:sz w:val="22"/>
          <w:szCs w:val="22"/>
          <w:lang w:eastAsia="en-GB"/>
          <w14:ligatures w14:val="none"/>
        </w:rPr>
        <w:t>), which is dominated by household credit dynamics.</w:t>
      </w:r>
    </w:p>
    <w:p w14:paraId="3F1542F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Distributional effects.</w:t>
      </w:r>
      <w:r w:rsidRPr="0032251D">
        <w:rPr>
          <w:rFonts w:ascii="Aptos" w:eastAsia="Times New Roman" w:hAnsi="Aptos" w:cs="Times New Roman"/>
          <w:kern w:val="0"/>
          <w:sz w:val="22"/>
          <w:szCs w:val="22"/>
          <w:lang w:eastAsia="en-GB"/>
          <w14:ligatures w14:val="none"/>
        </w:rPr>
        <w:t xml:space="preserve"> Heterogeneous MPCs mean the same aggregate policy hits different segments differently. Wealth-concentrated economies have smaller aggregate consumption response to wealth-effect-based policy (because rich don't spend marginal wealth as much). This affects whose growth gets stimulated.</w:t>
      </w:r>
    </w:p>
    <w:p w14:paraId="2DB744A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Corporate bond market dynamics.</w:t>
      </w:r>
      <w:r w:rsidRPr="0032251D">
        <w:rPr>
          <w:rFonts w:ascii="Aptos" w:eastAsia="Times New Roman" w:hAnsi="Aptos" w:cs="Times New Roman"/>
          <w:kern w:val="0"/>
          <w:sz w:val="22"/>
          <w:szCs w:val="22"/>
          <w:lang w:eastAsia="en-GB"/>
          <w14:ligatures w14:val="none"/>
        </w:rPr>
        <w:t xml:space="preserve"> Corporate balance sheet health is the primary driver of credit spreads. L5d corporate solvency is the underlying of all credit markets. Tightening household conditions show up in consumer credit ABS; tightening corporate conditions show up in corporate IG and HY spreads.</w:t>
      </w:r>
    </w:p>
    <w:p w14:paraId="6AD2116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Mortgage and real estate channel.</w:t>
      </w:r>
      <w:r w:rsidRPr="0032251D">
        <w:rPr>
          <w:rFonts w:ascii="Aptos" w:eastAsia="Times New Roman" w:hAnsi="Aptos" w:cs="Times New Roman"/>
          <w:kern w:val="0"/>
          <w:sz w:val="22"/>
          <w:szCs w:val="22"/>
          <w:lang w:eastAsia="en-GB"/>
          <w14:ligatures w14:val="none"/>
        </w:rPr>
        <w:t xml:space="preserve"> Housing wealth is the dominant asset for most households. Mortgage rates and real estate prices are central to household balance sheet. This channel runs from L3a (policy rate) through L4a (yield curve, mortgage rates) through L5a (bank mortgage supply) to L5d household balance sheets — and back through wealth effects to aggregate demand.</w:t>
      </w:r>
    </w:p>
    <w:p w14:paraId="17F2D95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For investment managers four practitioner points dominate. First, household DSR is a key macro state variable — high DSR means rate hikes hit harder, low DSR means more cushion. Second, corporate debt-to-EBITDA aggregate is the credit-cycle indicator that matters most for credit allocation timing. Third, household savings rate dynamics inform consumption and growth forecasts more than headline retail spending — the savings rate is forward-looking. Fourth, real estate prices and household leverage are jointly the most reliable financial crisis predictors — Mian-Sufi/</w:t>
      </w:r>
      <w:proofErr w:type="spellStart"/>
      <w:r w:rsidRPr="0032251D">
        <w:rPr>
          <w:rFonts w:ascii="Aptos" w:eastAsia="Times New Roman" w:hAnsi="Aptos" w:cs="Times New Roman"/>
          <w:kern w:val="0"/>
          <w:sz w:val="22"/>
          <w:szCs w:val="22"/>
          <w:lang w:eastAsia="en-GB"/>
          <w14:ligatures w14:val="none"/>
        </w:rPr>
        <w:t>Schularick</w:t>
      </w:r>
      <w:proofErr w:type="spellEnd"/>
      <w:r w:rsidRPr="0032251D">
        <w:rPr>
          <w:rFonts w:ascii="Aptos" w:eastAsia="Times New Roman" w:hAnsi="Aptos" w:cs="Times New Roman"/>
          <w:kern w:val="0"/>
          <w:sz w:val="22"/>
          <w:szCs w:val="22"/>
          <w:lang w:eastAsia="en-GB"/>
          <w14:ligatures w14:val="none"/>
        </w:rPr>
        <w:t>-Taylor framework is operationally useful.</w:t>
      </w:r>
    </w:p>
    <w:p w14:paraId="5A87A8C1"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36FD8329">
          <v:rect id="_x0000_i1109" alt="" style="width:451.3pt;height:.05pt;mso-width-percent:0;mso-height-percent:0;mso-width-percent:0;mso-height-percent:0" o:hralign="center" o:hrstd="t" o:hr="t" fillcolor="#a0a0a0" stroked="f"/>
        </w:pict>
      </w:r>
    </w:p>
    <w:p w14:paraId="2161D40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Regime and EM variation</w:t>
      </w:r>
    </w:p>
    <w:p w14:paraId="410FB0D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Significant structural differences across the panel.</w:t>
      </w:r>
    </w:p>
    <w:p w14:paraId="11FFE69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DM characteristics.</w:t>
      </w:r>
      <w:r w:rsidRPr="0032251D">
        <w:rPr>
          <w:rFonts w:ascii="Aptos" w:eastAsia="Times New Roman" w:hAnsi="Aptos" w:cs="Times New Roman"/>
          <w:kern w:val="0"/>
          <w:sz w:val="22"/>
          <w:szCs w:val="22"/>
          <w:lang w:eastAsia="en-GB"/>
          <w14:ligatures w14:val="none"/>
        </w:rPr>
        <w:t xml:space="preserve"> Higher household debt-to-GDP (US ~75%, UK ~85%, Canada ~110%, Australia ~118%, Netherlands ~95%, Sweden ~88%). Mostly mortgage-driven household debt. Sophisticated consumer credit markets (credit cards, auto loans, student loans, BNPL). Corporate sector with diverse funding options (bank, bond market, private credit, equity). Limited informal sector. Deep financial inclusion. DM households are </w:t>
      </w:r>
      <w:r w:rsidRPr="0032251D">
        <w:rPr>
          <w:rFonts w:ascii="Aptos" w:eastAsia="Times New Roman" w:hAnsi="Aptos" w:cs="Times New Roman"/>
          <w:i/>
          <w:iCs/>
          <w:kern w:val="0"/>
          <w:sz w:val="22"/>
          <w:szCs w:val="22"/>
          <w:lang w:eastAsia="en-GB"/>
          <w14:ligatures w14:val="none"/>
        </w:rPr>
        <w:t>highly financialised</w:t>
      </w:r>
      <w:r w:rsidRPr="0032251D">
        <w:rPr>
          <w:rFonts w:ascii="Aptos" w:eastAsia="Times New Roman" w:hAnsi="Aptos" w:cs="Times New Roman"/>
          <w:kern w:val="0"/>
          <w:sz w:val="22"/>
          <w:szCs w:val="22"/>
          <w:lang w:eastAsia="en-GB"/>
          <w14:ligatures w14:val="none"/>
        </w:rPr>
        <w:t xml:space="preserve"> — their balance sheets are integrated into the financial system in ways that amplify monetary transmission but also create vulnerability.</w:t>
      </w:r>
    </w:p>
    <w:p w14:paraId="213E41C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EM characteristics.</w:t>
      </w:r>
      <w:r w:rsidRPr="0032251D">
        <w:rPr>
          <w:rFonts w:ascii="Aptos" w:eastAsia="Times New Roman" w:hAnsi="Aptos" w:cs="Times New Roman"/>
          <w:kern w:val="0"/>
          <w:sz w:val="22"/>
          <w:szCs w:val="22"/>
          <w:lang w:eastAsia="en-GB"/>
          <w14:ligatures w14:val="none"/>
        </w:rPr>
        <w:t xml:space="preserve"> Lower household debt-to-GDP (SA ~33%, Brazil ~30%, Mexico ~16%, India ~37%, Indonesia ~18%, Turkey ~12%). More mixed household debt composition with smaller mortgage share. Informal credit channels significant. Corporate funding more </w:t>
      </w:r>
      <w:proofErr w:type="gramStart"/>
      <w:r w:rsidRPr="0032251D">
        <w:rPr>
          <w:rFonts w:ascii="Aptos" w:eastAsia="Times New Roman" w:hAnsi="Aptos" w:cs="Times New Roman"/>
          <w:kern w:val="0"/>
          <w:sz w:val="22"/>
          <w:szCs w:val="22"/>
          <w:lang w:eastAsia="en-GB"/>
          <w14:ligatures w14:val="none"/>
        </w:rPr>
        <w:t>bank-dependent</w:t>
      </w:r>
      <w:proofErr w:type="gramEnd"/>
      <w:r w:rsidRPr="0032251D">
        <w:rPr>
          <w:rFonts w:ascii="Aptos" w:eastAsia="Times New Roman" w:hAnsi="Aptos" w:cs="Times New Roman"/>
          <w:kern w:val="0"/>
          <w:sz w:val="22"/>
          <w:szCs w:val="22"/>
          <w:lang w:eastAsia="en-GB"/>
          <w14:ligatures w14:val="none"/>
        </w:rPr>
        <w:t>. Some EM corporates have FX-denominated debt creating currency mismatch (the Asian crisis archetype). Smaller and less developed corporate bond markets. Larger informal economy that doesn't appear in formal credit statistics.</w:t>
      </w:r>
    </w:p>
    <w:p w14:paraId="6C6EC3C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Specific EM patterns.</w:t>
      </w:r>
    </w:p>
    <w:p w14:paraId="7059FB50" w14:textId="77777777" w:rsidR="0032251D" w:rsidRPr="0032251D" w:rsidRDefault="0032251D">
      <w:pPr>
        <w:numPr>
          <w:ilvl w:val="0"/>
          <w:numId w:val="8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China</w:t>
      </w:r>
      <w:r w:rsidRPr="0032251D">
        <w:rPr>
          <w:rFonts w:ascii="Aptos" w:eastAsia="Times New Roman" w:hAnsi="Aptos" w:cs="Times New Roman"/>
          <w:kern w:val="0"/>
          <w:sz w:val="22"/>
          <w:szCs w:val="22"/>
          <w:lang w:eastAsia="en-GB"/>
          <w14:ligatures w14:val="none"/>
        </w:rPr>
        <w:t>: very high corporate debt (~165% of GDP), large state-owned enterprise share, opaque local government financing vehicles (LGFVs). Household debt rising rapidly post-2010, concentrated in real estate.</w:t>
      </w:r>
    </w:p>
    <w:p w14:paraId="470B31A9" w14:textId="77777777" w:rsidR="0032251D" w:rsidRPr="0032251D" w:rsidRDefault="0032251D">
      <w:pPr>
        <w:numPr>
          <w:ilvl w:val="0"/>
          <w:numId w:val="8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Brazil</w:t>
      </w:r>
      <w:r w:rsidRPr="0032251D">
        <w:rPr>
          <w:rFonts w:ascii="Aptos" w:eastAsia="Times New Roman" w:hAnsi="Aptos" w:cs="Times New Roman"/>
          <w:kern w:val="0"/>
          <w:sz w:val="22"/>
          <w:szCs w:val="22"/>
          <w:lang w:eastAsia="en-GB"/>
          <w14:ligatures w14:val="none"/>
        </w:rPr>
        <w:t>: high real interest rates create higher household savings, lower household leverage despite middle-income status. Corporate sector mixed — major listed names well-funded, SME constrained.</w:t>
      </w:r>
    </w:p>
    <w:p w14:paraId="137CF524" w14:textId="77777777" w:rsidR="0032251D" w:rsidRPr="0032251D" w:rsidRDefault="0032251D">
      <w:pPr>
        <w:numPr>
          <w:ilvl w:val="0"/>
          <w:numId w:val="8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Turkey</w:t>
      </w:r>
      <w:r w:rsidRPr="0032251D">
        <w:rPr>
          <w:rFonts w:ascii="Aptos" w:eastAsia="Times New Roman" w:hAnsi="Aptos" w:cs="Times New Roman"/>
          <w:kern w:val="0"/>
          <w:sz w:val="22"/>
          <w:szCs w:val="22"/>
          <w:lang w:eastAsia="en-GB"/>
          <w14:ligatures w14:val="none"/>
        </w:rPr>
        <w:t>: corporate FX mismatch driving stress episodes (2018, 2021). Real lira interest rates negative through extended periods creating savings flight.</w:t>
      </w:r>
    </w:p>
    <w:p w14:paraId="3BD52A43" w14:textId="77777777" w:rsidR="0032251D" w:rsidRPr="0032251D" w:rsidRDefault="0032251D">
      <w:pPr>
        <w:numPr>
          <w:ilvl w:val="0"/>
          <w:numId w:val="8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lastRenderedPageBreak/>
        <w:t>Argentina</w:t>
      </w:r>
      <w:r w:rsidRPr="0032251D">
        <w:rPr>
          <w:rFonts w:ascii="Aptos" w:eastAsia="Times New Roman" w:hAnsi="Aptos" w:cs="Times New Roman"/>
          <w:kern w:val="0"/>
          <w:sz w:val="22"/>
          <w:szCs w:val="22"/>
          <w:lang w:eastAsia="en-GB"/>
          <w14:ligatures w14:val="none"/>
        </w:rPr>
        <w:t>: hyperinflation regime making medium-term peso credit essentially nonviable. Most credit short-term or in USD.</w:t>
      </w:r>
    </w:p>
    <w:p w14:paraId="7BC3316A" w14:textId="77777777" w:rsidR="0032251D" w:rsidRPr="0032251D" w:rsidRDefault="0032251D">
      <w:pPr>
        <w:numPr>
          <w:ilvl w:val="0"/>
          <w:numId w:val="8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India</w:t>
      </w:r>
      <w:r w:rsidRPr="0032251D">
        <w:rPr>
          <w:rFonts w:ascii="Aptos" w:eastAsia="Times New Roman" w:hAnsi="Aptos" w:cs="Times New Roman"/>
          <w:kern w:val="0"/>
          <w:sz w:val="22"/>
          <w:szCs w:val="22"/>
          <w:lang w:eastAsia="en-GB"/>
          <w14:ligatures w14:val="none"/>
        </w:rPr>
        <w:t>: rapidly growing household credit from a low base; large informal sector continues to dominate.</w:t>
      </w:r>
    </w:p>
    <w:p w14:paraId="0A4BB0F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SA specifically.</w:t>
      </w:r>
      <w:r w:rsidRPr="0032251D">
        <w:rPr>
          <w:rFonts w:ascii="Aptos" w:eastAsia="Times New Roman" w:hAnsi="Aptos" w:cs="Times New Roman"/>
          <w:kern w:val="0"/>
          <w:sz w:val="22"/>
          <w:szCs w:val="22"/>
          <w:lang w:eastAsia="en-GB"/>
          <w14:ligatures w14:val="none"/>
        </w:rPr>
        <w:t xml:space="preserve"> Household debt-to-GDP ~33% — lower than DM peers but high enough to matter. Mortgage market dominated by prime-linked floating-rate exposure — the binding transmission channel for SARB policy rate moves into household DSR. Consumer credit segment includes meaningful unsecured component (clothing accounts, retail credit) that bears higher rates. Black </w:t>
      </w:r>
      <w:proofErr w:type="gramStart"/>
      <w:r w:rsidRPr="0032251D">
        <w:rPr>
          <w:rFonts w:ascii="Aptos" w:eastAsia="Times New Roman" w:hAnsi="Aptos" w:cs="Times New Roman"/>
          <w:kern w:val="0"/>
          <w:sz w:val="22"/>
          <w:szCs w:val="22"/>
          <w:lang w:eastAsia="en-GB"/>
          <w14:ligatures w14:val="none"/>
        </w:rPr>
        <w:t>middle class</w:t>
      </w:r>
      <w:proofErr w:type="gramEnd"/>
      <w:r w:rsidRPr="0032251D">
        <w:rPr>
          <w:rFonts w:ascii="Aptos" w:eastAsia="Times New Roman" w:hAnsi="Aptos" w:cs="Times New Roman"/>
          <w:kern w:val="0"/>
          <w:sz w:val="22"/>
          <w:szCs w:val="22"/>
          <w:lang w:eastAsia="en-GB"/>
          <w14:ligatures w14:val="none"/>
        </w:rPr>
        <w:t xml:space="preserve"> formation post-1994 has driven credit demand growth. Significant inequality affects MPC heterogeneity — the top decile holds disproportionate </w:t>
      </w:r>
      <w:proofErr w:type="gramStart"/>
      <w:r w:rsidRPr="0032251D">
        <w:rPr>
          <w:rFonts w:ascii="Aptos" w:eastAsia="Times New Roman" w:hAnsi="Aptos" w:cs="Times New Roman"/>
          <w:kern w:val="0"/>
          <w:sz w:val="22"/>
          <w:szCs w:val="22"/>
          <w:lang w:eastAsia="en-GB"/>
          <w14:ligatures w14:val="none"/>
        </w:rPr>
        <w:t>wealth,</w:t>
      </w:r>
      <w:proofErr w:type="gramEnd"/>
      <w:r w:rsidRPr="0032251D">
        <w:rPr>
          <w:rFonts w:ascii="Aptos" w:eastAsia="Times New Roman" w:hAnsi="Aptos" w:cs="Times New Roman"/>
          <w:kern w:val="0"/>
          <w:sz w:val="22"/>
          <w:szCs w:val="22"/>
          <w:lang w:eastAsia="en-GB"/>
          <w14:ligatures w14:val="none"/>
        </w:rPr>
        <w:t xml:space="preserve"> the bottom decile is hand-to-mouth. High SARB policy rates create high debt service burden relative to income for leveraged households — the </w:t>
      </w:r>
      <w:r w:rsidRPr="0032251D">
        <w:rPr>
          <w:rFonts w:ascii="Aptos" w:eastAsia="Times New Roman" w:hAnsi="Aptos" w:cs="Times New Roman"/>
          <w:i/>
          <w:iCs/>
          <w:kern w:val="0"/>
          <w:sz w:val="22"/>
          <w:szCs w:val="22"/>
          <w:lang w:eastAsia="en-GB"/>
          <w14:ligatures w14:val="none"/>
        </w:rPr>
        <w:t>floating-rate mortgage channel</w:t>
      </w:r>
      <w:r w:rsidRPr="0032251D">
        <w:rPr>
          <w:rFonts w:ascii="Aptos" w:eastAsia="Times New Roman" w:hAnsi="Aptos" w:cs="Times New Roman"/>
          <w:kern w:val="0"/>
          <w:sz w:val="22"/>
          <w:szCs w:val="22"/>
          <w:lang w:eastAsia="en-GB"/>
          <w14:ligatures w14:val="none"/>
        </w:rPr>
        <w:t xml:space="preserve"> is the dominant SA monetary transmission to households. Corporate sector mixed: major listed corporates (mining, retailers, financials, telecoms) well-funded with diverse sources; SMEs constrained and </w:t>
      </w:r>
      <w:proofErr w:type="gramStart"/>
      <w:r w:rsidRPr="0032251D">
        <w:rPr>
          <w:rFonts w:ascii="Aptos" w:eastAsia="Times New Roman" w:hAnsi="Aptos" w:cs="Times New Roman"/>
          <w:kern w:val="0"/>
          <w:sz w:val="22"/>
          <w:szCs w:val="22"/>
          <w:lang w:eastAsia="en-GB"/>
          <w14:ligatures w14:val="none"/>
        </w:rPr>
        <w:t>bank-dependent</w:t>
      </w:r>
      <w:proofErr w:type="gramEnd"/>
      <w:r w:rsidRPr="0032251D">
        <w:rPr>
          <w:rFonts w:ascii="Aptos" w:eastAsia="Times New Roman" w:hAnsi="Aptos" w:cs="Times New Roman"/>
          <w:kern w:val="0"/>
          <w:sz w:val="22"/>
          <w:szCs w:val="22"/>
          <w:lang w:eastAsia="en-GB"/>
          <w14:ligatures w14:val="none"/>
        </w:rPr>
        <w:t xml:space="preserve">. Limited corporate bond market relative to bank lending. Some FX mismatch among commodity exporters (where it's typically a </w:t>
      </w:r>
      <w:r w:rsidRPr="0032251D">
        <w:rPr>
          <w:rFonts w:ascii="Aptos" w:eastAsia="Times New Roman" w:hAnsi="Aptos" w:cs="Times New Roman"/>
          <w:i/>
          <w:iCs/>
          <w:kern w:val="0"/>
          <w:sz w:val="22"/>
          <w:szCs w:val="22"/>
          <w:lang w:eastAsia="en-GB"/>
          <w14:ligatures w14:val="none"/>
        </w:rPr>
        <w:t>natural hedge</w:t>
      </w:r>
      <w:r w:rsidRPr="0032251D">
        <w:rPr>
          <w:rFonts w:ascii="Aptos" w:eastAsia="Times New Roman" w:hAnsi="Aptos" w:cs="Times New Roman"/>
          <w:kern w:val="0"/>
          <w:sz w:val="22"/>
          <w:szCs w:val="22"/>
          <w:lang w:eastAsia="en-GB"/>
          <w14:ligatures w14:val="none"/>
        </w:rPr>
        <w:t xml:space="preserve"> — USD revenues match USD debt). The SA L5d node is thus characterised by high transmission sensitivity for households (via floating-rate mortgages) and varied corporate dynamics with structural bank dependence.</w:t>
      </w:r>
    </w:p>
    <w:p w14:paraId="14D18898"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59BB579C">
          <v:rect id="_x0000_i1110" alt="" style="width:451.3pt;height:.05pt;mso-width-percent:0;mso-height-percent:0;mso-width-percent:0;mso-height-percent:0" o:hralign="center" o:hrstd="t" o:hr="t" fillcolor="#a0a0a0" stroked="f"/>
        </w:pict>
      </w:r>
    </w:p>
    <w:p w14:paraId="4571E8E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Empirical pitfalls</w:t>
      </w:r>
    </w:p>
    <w:p w14:paraId="3E012D9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Informal sector.</w:t>
      </w:r>
      <w:r w:rsidRPr="0032251D">
        <w:rPr>
          <w:rFonts w:ascii="Aptos" w:eastAsia="Times New Roman" w:hAnsi="Aptos" w:cs="Times New Roman"/>
          <w:kern w:val="0"/>
          <w:sz w:val="22"/>
          <w:szCs w:val="22"/>
          <w:lang w:eastAsia="en-GB"/>
          <w14:ligatures w14:val="none"/>
        </w:rPr>
        <w:t xml:space="preserve"> Difficult to measure household credit in informal channels (informal lenders, family loans, employer advances). Aggregate household debt may significantly understate true leverage in EM. This is most acute in lower-middle-income countries.</w:t>
      </w:r>
    </w:p>
    <w:p w14:paraId="4E3F498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Distributional measurement.</w:t>
      </w:r>
      <w:r w:rsidRPr="0032251D">
        <w:rPr>
          <w:rFonts w:ascii="Aptos" w:eastAsia="Times New Roman" w:hAnsi="Aptos" w:cs="Times New Roman"/>
          <w:kern w:val="0"/>
          <w:sz w:val="22"/>
          <w:szCs w:val="22"/>
          <w:lang w:eastAsia="en-GB"/>
          <w14:ligatures w14:val="none"/>
        </w:rPr>
        <w:t xml:space="preserve"> Aggregate DSR masks distributional issues. The mean household may be healthy while a meaningful tail is stressed. National statistics rarely publish distributional debt-burden data with high frequency; the data that exists is typically annual and lagged.</w:t>
      </w:r>
    </w:p>
    <w:p w14:paraId="6CF5B9E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Mortgage structure heterogeneity.</w:t>
      </w:r>
      <w:r w:rsidRPr="0032251D">
        <w:rPr>
          <w:rFonts w:ascii="Aptos" w:eastAsia="Times New Roman" w:hAnsi="Aptos" w:cs="Times New Roman"/>
          <w:kern w:val="0"/>
          <w:sz w:val="22"/>
          <w:szCs w:val="22"/>
          <w:lang w:eastAsia="en-GB"/>
          <w14:ligatures w14:val="none"/>
        </w:rPr>
        <w:t xml:space="preserve"> Fixed vs floating rate mortgage prevalence dramatically changes rate transmission. UK and Australia are floating-rate dominated; US is fixed-rate dominated; SA is floating-rate dominated. Cross-country comparison of monetary transmission requires adjusting for this — same nominal rate move has very different DSR implications across regimes.</w:t>
      </w:r>
    </w:p>
    <w:p w14:paraId="29E9D3A5"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Corporate debt definition.</w:t>
      </w:r>
      <w:r w:rsidRPr="0032251D">
        <w:rPr>
          <w:rFonts w:ascii="Aptos" w:eastAsia="Times New Roman" w:hAnsi="Aptos" w:cs="Times New Roman"/>
          <w:kern w:val="0"/>
          <w:sz w:val="22"/>
          <w:szCs w:val="22"/>
          <w:lang w:eastAsia="en-GB"/>
          <w14:ligatures w14:val="none"/>
        </w:rPr>
        <w:t xml:space="preserve"> Gross vs net debt, on vs off-balance-sheet, parent vs subsidiary, recourse vs non-recourse. Different measures give different reads. Off-balance-sheet items (operating leases, factoring arrangements, special purpose vehicles) can be material.</w:t>
      </w:r>
    </w:p>
    <w:p w14:paraId="0A693D0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Frequency.</w:t>
      </w:r>
      <w:r w:rsidRPr="0032251D">
        <w:rPr>
          <w:rFonts w:ascii="Aptos" w:eastAsia="Times New Roman" w:hAnsi="Aptos" w:cs="Times New Roman"/>
          <w:kern w:val="0"/>
          <w:sz w:val="22"/>
          <w:szCs w:val="22"/>
          <w:lang w:eastAsia="en-GB"/>
          <w14:ligatures w14:val="none"/>
        </w:rPr>
        <w:t xml:space="preserve"> Most household and corporate data is annual or quarterly with significant lag (often 6-12 months for aggregate household balance sheet data). Markets move faster than the data can register.</w:t>
      </w:r>
    </w:p>
    <w:p w14:paraId="0257187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Real vs nominal.</w:t>
      </w:r>
      <w:r w:rsidRPr="0032251D">
        <w:rPr>
          <w:rFonts w:ascii="Aptos" w:eastAsia="Times New Roman" w:hAnsi="Aptos" w:cs="Times New Roman"/>
          <w:kern w:val="0"/>
          <w:sz w:val="22"/>
          <w:szCs w:val="22"/>
          <w:lang w:eastAsia="en-GB"/>
          <w14:ligatures w14:val="none"/>
        </w:rPr>
        <w:t xml:space="preserve"> High-inflation regimes make nominal debt service look stable while real burden changes. Brazil and Turkey have had episodes where nominal debt service ratios looked stable but real burden was either eroding (high inflation) or rising sharply (real rate spikes).</w:t>
      </w:r>
    </w:p>
    <w:p w14:paraId="6251C4A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Disclosure asymmetries.</w:t>
      </w:r>
      <w:r w:rsidRPr="0032251D">
        <w:rPr>
          <w:rFonts w:ascii="Aptos" w:eastAsia="Times New Roman" w:hAnsi="Aptos" w:cs="Times New Roman"/>
          <w:kern w:val="0"/>
          <w:sz w:val="22"/>
          <w:szCs w:val="22"/>
          <w:lang w:eastAsia="en-GB"/>
          <w14:ligatures w14:val="none"/>
        </w:rPr>
        <w:t xml:space="preserve"> Listed corporates are well-disclosed; private and SME sector is poorly observed. For private credit and SME exposures, aggregate stress measurement requires inference from indirect indicators.</w:t>
      </w:r>
    </w:p>
    <w:p w14:paraId="75F1079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Cross-border attribution.</w:t>
      </w:r>
      <w:r w:rsidRPr="0032251D">
        <w:rPr>
          <w:rFonts w:ascii="Aptos" w:eastAsia="Times New Roman" w:hAnsi="Aptos" w:cs="Times New Roman"/>
          <w:kern w:val="0"/>
          <w:sz w:val="22"/>
          <w:szCs w:val="22"/>
          <w:lang w:eastAsia="en-GB"/>
          <w14:ligatures w14:val="none"/>
        </w:rPr>
        <w:t xml:space="preserve"> Multinational corporates with debt and earnings in multiple currencies create attribution problems. A corporate's "country" depends on whether you mean headquarters, operating location, debt issuance jurisdiction, or revenue source.</w:t>
      </w:r>
    </w:p>
    <w:p w14:paraId="3ABD180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Survey limitations.</w:t>
      </w:r>
      <w:r w:rsidRPr="0032251D">
        <w:rPr>
          <w:rFonts w:ascii="Aptos" w:eastAsia="Times New Roman" w:hAnsi="Aptos" w:cs="Times New Roman"/>
          <w:kern w:val="0"/>
          <w:sz w:val="22"/>
          <w:szCs w:val="22"/>
          <w:lang w:eastAsia="en-GB"/>
          <w14:ligatures w14:val="none"/>
        </w:rPr>
        <w:t xml:space="preserve"> Household survey data (consumer expectations, financial wellness, balance sheet self-reports) is informative but slow and </w:t>
      </w:r>
      <w:proofErr w:type="gramStart"/>
      <w:r w:rsidRPr="0032251D">
        <w:rPr>
          <w:rFonts w:ascii="Aptos" w:eastAsia="Times New Roman" w:hAnsi="Aptos" w:cs="Times New Roman"/>
          <w:kern w:val="0"/>
          <w:sz w:val="22"/>
          <w:szCs w:val="22"/>
          <w:lang w:eastAsia="en-GB"/>
          <w14:ligatures w14:val="none"/>
        </w:rPr>
        <w:t>sample-dependent</w:t>
      </w:r>
      <w:proofErr w:type="gramEnd"/>
      <w:r w:rsidRPr="0032251D">
        <w:rPr>
          <w:rFonts w:ascii="Aptos" w:eastAsia="Times New Roman" w:hAnsi="Aptos" w:cs="Times New Roman"/>
          <w:kern w:val="0"/>
          <w:sz w:val="22"/>
          <w:szCs w:val="22"/>
          <w:lang w:eastAsia="en-GB"/>
          <w14:ligatures w14:val="none"/>
        </w:rPr>
        <w:t>. The Fed's Survey of Consumer Finances is the gold standard but is triennial.</w:t>
      </w:r>
    </w:p>
    <w:p w14:paraId="03508FA8"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6B5AE419">
          <v:rect id="_x0000_i1111" alt="" style="width:451.3pt;height:.05pt;mso-width-percent:0;mso-height-percent:0;mso-width-percent:0;mso-height-percent:0" o:hralign="center" o:hrstd="t" o:hr="t" fillcolor="#a0a0a0" stroked="f"/>
        </w:pict>
      </w:r>
    </w:p>
    <w:p w14:paraId="44A3C6D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Where dissonance lives</w:t>
      </w:r>
    </w:p>
    <w:p w14:paraId="5A1029C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Within L5d:</w:t>
      </w:r>
    </w:p>
    <w:p w14:paraId="391EC76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Intra-node.</w:t>
      </w:r>
      <w:r w:rsidRPr="0032251D">
        <w:rPr>
          <w:rFonts w:ascii="Aptos" w:eastAsia="Times New Roman" w:hAnsi="Aptos" w:cs="Times New Roman"/>
          <w:kern w:val="0"/>
          <w:sz w:val="22"/>
          <w:szCs w:val="22"/>
          <w:lang w:eastAsia="en-GB"/>
          <w14:ligatures w14:val="none"/>
        </w:rPr>
        <w:t xml:space="preserve"> Debt service ratios, leverage trajectories, savings rates, and credit demand should be jointly consistent.</w:t>
      </w:r>
    </w:p>
    <w:p w14:paraId="6CD5732B" w14:textId="77777777" w:rsidR="0032251D" w:rsidRPr="0032251D" w:rsidRDefault="0032251D">
      <w:pPr>
        <w:numPr>
          <w:ilvl w:val="0"/>
          <w:numId w:val="8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Dissonance: DSR rising </w:t>
      </w:r>
      <w:r w:rsidRPr="0032251D">
        <w:rPr>
          <w:rFonts w:ascii="Aptos" w:eastAsia="Times New Roman" w:hAnsi="Aptos" w:cs="Times New Roman"/>
          <w:i/>
          <w:iCs/>
          <w:kern w:val="0"/>
          <w:sz w:val="22"/>
          <w:szCs w:val="22"/>
          <w:lang w:eastAsia="en-GB"/>
          <w14:ligatures w14:val="none"/>
        </w:rPr>
        <w:t>and</w:t>
      </w:r>
      <w:r w:rsidRPr="0032251D">
        <w:rPr>
          <w:rFonts w:ascii="Aptos" w:eastAsia="Times New Roman" w:hAnsi="Aptos" w:cs="Times New Roman"/>
          <w:kern w:val="0"/>
          <w:sz w:val="22"/>
          <w:szCs w:val="22"/>
          <w:lang w:eastAsia="en-GB"/>
          <w14:ligatures w14:val="none"/>
        </w:rPr>
        <w:t xml:space="preserve"> credit demand also rising — leverage building unsustainably. The pre-2008 US household pattern.</w:t>
      </w:r>
    </w:p>
    <w:p w14:paraId="53B018E7" w14:textId="77777777" w:rsidR="0032251D" w:rsidRPr="0032251D" w:rsidRDefault="0032251D">
      <w:pPr>
        <w:numPr>
          <w:ilvl w:val="0"/>
          <w:numId w:val="8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Dissonance: corporate cash holdings rising while reported investment opportunities are strong — capital is being held rather than deployed, suggesting management uncertainty or governance issues.</w:t>
      </w:r>
    </w:p>
    <w:p w14:paraId="25B83F7E" w14:textId="77777777" w:rsidR="0032251D" w:rsidRPr="0032251D" w:rsidRDefault="0032251D">
      <w:pPr>
        <w:numPr>
          <w:ilvl w:val="0"/>
          <w:numId w:val="8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Dissonance: household savings rate falling while wealth metrics suggest comfort — depleting liquid buffers despite wealth growth (the wealth/income mismatch).</w:t>
      </w:r>
    </w:p>
    <w:p w14:paraId="28689BFE" w14:textId="77777777" w:rsidR="0032251D" w:rsidRPr="0032251D" w:rsidRDefault="0032251D">
      <w:pPr>
        <w:numPr>
          <w:ilvl w:val="0"/>
          <w:numId w:val="8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Dissonance: corporate margin compression but no investment cut — financing the gap with debt, building leverage during operational weakness.</w:t>
      </w:r>
    </w:p>
    <w:p w14:paraId="5035233C" w14:textId="77777777" w:rsidR="0032251D" w:rsidRPr="0032251D" w:rsidRDefault="0032251D">
      <w:pPr>
        <w:numPr>
          <w:ilvl w:val="0"/>
          <w:numId w:val="8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Dissonance: aggregate household DSR moderate but tail of households (concentration) showing acute stress.</w:t>
      </w:r>
    </w:p>
    <w:p w14:paraId="219584F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upward.</w:t>
      </w:r>
    </w:p>
    <w:p w14:paraId="001B0593" w14:textId="77777777" w:rsidR="0032251D" w:rsidRPr="0032251D" w:rsidRDefault="0032251D">
      <w:pPr>
        <w:numPr>
          <w:ilvl w:val="0"/>
          <w:numId w:val="9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L1 → L5d: HH/corporate behaviour should respond to policy approximately as the rule's implicit transmission expects. Dissonance: high DSR magnifies impact beyond expected, or low-debt households fail to respond.</w:t>
      </w:r>
    </w:p>
    <w:p w14:paraId="27B185F6" w14:textId="77777777" w:rsidR="0032251D" w:rsidRPr="0032251D" w:rsidRDefault="0032251D">
      <w:pPr>
        <w:numPr>
          <w:ilvl w:val="0"/>
          <w:numId w:val="9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L3a → L5d: rate hits debt service via floating-rate exposure and refinancing. Dissonance: large rate </w:t>
      </w:r>
      <w:proofErr w:type="gramStart"/>
      <w:r w:rsidRPr="0032251D">
        <w:rPr>
          <w:rFonts w:ascii="Aptos" w:eastAsia="Times New Roman" w:hAnsi="Aptos" w:cs="Times New Roman"/>
          <w:kern w:val="0"/>
          <w:sz w:val="22"/>
          <w:szCs w:val="22"/>
          <w:lang w:eastAsia="en-GB"/>
          <w14:ligatures w14:val="none"/>
        </w:rPr>
        <w:t>move</w:t>
      </w:r>
      <w:proofErr w:type="gramEnd"/>
      <w:r w:rsidRPr="0032251D">
        <w:rPr>
          <w:rFonts w:ascii="Aptos" w:eastAsia="Times New Roman" w:hAnsi="Aptos" w:cs="Times New Roman"/>
          <w:kern w:val="0"/>
          <w:sz w:val="22"/>
          <w:szCs w:val="22"/>
          <w:lang w:eastAsia="en-GB"/>
          <w14:ligatures w14:val="none"/>
        </w:rPr>
        <w:t xml:space="preserve"> with small private-sector response — debt structure binding transmission.</w:t>
      </w:r>
    </w:p>
    <w:p w14:paraId="606CF2A0" w14:textId="77777777" w:rsidR="0032251D" w:rsidRPr="0032251D" w:rsidRDefault="0032251D">
      <w:pPr>
        <w:numPr>
          <w:ilvl w:val="0"/>
          <w:numId w:val="9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L3b → L5d: QE supports asset prices, wealth effects, and refinancing windows. Dissonance: QE without HH/corporate response — wealth concentrated, debt unaffected.</w:t>
      </w:r>
    </w:p>
    <w:p w14:paraId="4EA4DE8F" w14:textId="77777777" w:rsidR="0032251D" w:rsidRPr="0032251D" w:rsidRDefault="0032251D">
      <w:pPr>
        <w:numPr>
          <w:ilvl w:val="0"/>
          <w:numId w:val="9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L3c → L5d: guidance affects refinancing and capex timing decisions. Dissonance: HH/corporate behaviour inconsistent with guidance — disbelief or different planning horizon.</w:t>
      </w:r>
    </w:p>
    <w:p w14:paraId="25FAE626" w14:textId="77777777" w:rsidR="0032251D" w:rsidRPr="0032251D" w:rsidRDefault="0032251D">
      <w:pPr>
        <w:numPr>
          <w:ilvl w:val="0"/>
          <w:numId w:val="9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L3e → L5d: LTV/DSTI caps target households directly. Dissonance: caps tightened but household credit continues to expand — informal channels or product substitution.</w:t>
      </w:r>
    </w:p>
    <w:p w14:paraId="255BFD3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peer.</w:t>
      </w:r>
    </w:p>
    <w:p w14:paraId="550F31A0" w14:textId="77777777" w:rsidR="0032251D" w:rsidRPr="0032251D" w:rsidRDefault="0032251D">
      <w:pPr>
        <w:numPr>
          <w:ilvl w:val="0"/>
          <w:numId w:val="9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lastRenderedPageBreak/>
        <w:t>L4a ↔ L5d: yield curve sets mortgage and corporate borrowing rates. Curve moves not transmitting to private borrowing rates = bank pricing power or product structure friction.</w:t>
      </w:r>
    </w:p>
    <w:p w14:paraId="42EFBBDD" w14:textId="77777777" w:rsidR="0032251D" w:rsidRPr="0032251D" w:rsidRDefault="0032251D">
      <w:pPr>
        <w:numPr>
          <w:ilvl w:val="0"/>
          <w:numId w:val="9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L4b ↔ L5d: corporate FX exposure via debt or hedging. FX move with disproportionate corporate stress = currency mismatch.</w:t>
      </w:r>
    </w:p>
    <w:p w14:paraId="0206E6FA" w14:textId="77777777" w:rsidR="0032251D" w:rsidRPr="0032251D" w:rsidRDefault="0032251D">
      <w:pPr>
        <w:numPr>
          <w:ilvl w:val="0"/>
          <w:numId w:val="9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L4c ↔ L5d: household inflation expectations affect wage demands and consumption timing. BEIs anchored but wage demands rising = disconnected channels.</w:t>
      </w:r>
    </w:p>
    <w:p w14:paraId="5DD7C88E" w14:textId="77777777" w:rsidR="0032251D" w:rsidRPr="0032251D" w:rsidRDefault="0032251D">
      <w:pPr>
        <w:numPr>
          <w:ilvl w:val="0"/>
          <w:numId w:val="9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L4d ↔ L5d: vol affects corporate hedging costs. Vol spike making corporate hedging unaffordable forces exposure changes.</w:t>
      </w:r>
    </w:p>
    <w:p w14:paraId="3A35D138" w14:textId="77777777" w:rsidR="0032251D" w:rsidRPr="0032251D" w:rsidRDefault="0032251D">
      <w:pPr>
        <w:numPr>
          <w:ilvl w:val="0"/>
          <w:numId w:val="9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L5a ↔ L5d: banks are primary creditor. Bank stress without HH/corporate stress = bank-specific shock; HH/corporate stress without bank stress = hidden bank exposure or other channels.</w:t>
      </w:r>
    </w:p>
    <w:p w14:paraId="3DA835D3" w14:textId="77777777" w:rsidR="0032251D" w:rsidRPr="0032251D" w:rsidRDefault="0032251D">
      <w:pPr>
        <w:numPr>
          <w:ilvl w:val="0"/>
          <w:numId w:val="9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L5b ↔ L5d: NBFI lends to corporates (private credit). NBFI stress without corporate borrowing stress = borrowing shifting to other channels.</w:t>
      </w:r>
    </w:p>
    <w:p w14:paraId="7925A961" w14:textId="77777777" w:rsidR="0032251D" w:rsidRPr="0032251D" w:rsidRDefault="0032251D">
      <w:pPr>
        <w:numPr>
          <w:ilvl w:val="0"/>
          <w:numId w:val="9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L5c ↔ L5d: </w:t>
      </w:r>
      <w:proofErr w:type="gramStart"/>
      <w:r w:rsidRPr="0032251D">
        <w:rPr>
          <w:rFonts w:ascii="Aptos" w:eastAsia="Times New Roman" w:hAnsi="Aptos" w:cs="Times New Roman"/>
          <w:kern w:val="0"/>
          <w:sz w:val="22"/>
          <w:szCs w:val="22"/>
          <w:lang w:eastAsia="en-GB"/>
          <w14:ligatures w14:val="none"/>
        </w:rPr>
        <w:t>dealers</w:t>
      </w:r>
      <w:proofErr w:type="gramEnd"/>
      <w:r w:rsidRPr="0032251D">
        <w:rPr>
          <w:rFonts w:ascii="Aptos" w:eastAsia="Times New Roman" w:hAnsi="Aptos" w:cs="Times New Roman"/>
          <w:kern w:val="0"/>
          <w:sz w:val="22"/>
          <w:szCs w:val="22"/>
          <w:lang w:eastAsia="en-GB"/>
          <w14:ligatures w14:val="none"/>
        </w:rPr>
        <w:t xml:space="preserve"> issue corporate bonds. Corporate issuance stress without dealer balance sheet response = primary market dysfunction.</w:t>
      </w:r>
    </w:p>
    <w:p w14:paraId="34DFE44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w:t>
      </w:r>
    </w:p>
    <w:p w14:paraId="0C444864" w14:textId="77777777" w:rsidR="0032251D" w:rsidRPr="0032251D" w:rsidRDefault="0032251D">
      <w:pPr>
        <w:numPr>
          <w:ilvl w:val="0"/>
          <w:numId w:val="9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L5d → L6: survey expectations from households. HH expectations diverging from market-implied = sticky-info or extrapolation effects.</w:t>
      </w:r>
    </w:p>
    <w:p w14:paraId="3299CF57" w14:textId="77777777" w:rsidR="0032251D" w:rsidRPr="0032251D" w:rsidRDefault="0032251D">
      <w:pPr>
        <w:numPr>
          <w:ilvl w:val="0"/>
          <w:numId w:val="9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L5d → L7: private credit demand affects FCI inputs. HH/corporate stress without FCI tightening = FCI under-counting demand-side stress.</w:t>
      </w:r>
    </w:p>
    <w:p w14:paraId="51B3FA1F" w14:textId="77777777" w:rsidR="0032251D" w:rsidRPr="0032251D" w:rsidRDefault="0032251D">
      <w:pPr>
        <w:numPr>
          <w:ilvl w:val="0"/>
          <w:numId w:val="9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L5d → L8: private balance sheet health affects credit and equity risk premia. HH/corporate stress without affecting credit/equity premia = repricing lagging.</w:t>
      </w:r>
    </w:p>
    <w:p w14:paraId="008F55FA" w14:textId="77777777" w:rsidR="0032251D" w:rsidRPr="0032251D" w:rsidRDefault="0032251D">
      <w:pPr>
        <w:numPr>
          <w:ilvl w:val="0"/>
          <w:numId w:val="9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L5d → L9: balance-sheet stress hits credit and equity directly. Balance-sheet stress without asset-price response = market not yet pricing.</w:t>
      </w:r>
    </w:p>
    <w:p w14:paraId="15E1FBB7" w14:textId="77777777" w:rsidR="0032251D" w:rsidRPr="0032251D" w:rsidRDefault="0032251D">
      <w:pPr>
        <w:numPr>
          <w:ilvl w:val="0"/>
          <w:numId w:val="9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L5d → L10a: HH/corporate balance sheet maps to consumption and investment. Balance-sheet stress without spending response = lag or wealth offset.</w:t>
      </w:r>
    </w:p>
    <w:p w14:paraId="19824F2F" w14:textId="77777777" w:rsidR="0032251D" w:rsidRPr="0032251D" w:rsidRDefault="0032251D">
      <w:pPr>
        <w:numPr>
          <w:ilvl w:val="0"/>
          <w:numId w:val="9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L5d → L10b: HH/corporate leverage creates stability concerns. Leverage building without stability flagging = under-monitored.</w:t>
      </w:r>
    </w:p>
    <w:p w14:paraId="372489CA" w14:textId="77777777" w:rsidR="0032251D" w:rsidRPr="0032251D" w:rsidRDefault="0032251D">
      <w:pPr>
        <w:numPr>
          <w:ilvl w:val="0"/>
          <w:numId w:val="9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L5d → L10c: HH/corporate balance sheets affect aggregate demand and imports. Balance-sheet effects without external-balance response = closed-economy adjustment dominating.</w:t>
      </w:r>
    </w:p>
    <w:p w14:paraId="0FC6E61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The L5d node is the </w:t>
      </w:r>
      <w:r w:rsidRPr="0032251D">
        <w:rPr>
          <w:rFonts w:ascii="Aptos" w:eastAsia="Times New Roman" w:hAnsi="Aptos" w:cs="Times New Roman"/>
          <w:i/>
          <w:iCs/>
          <w:kern w:val="0"/>
          <w:sz w:val="22"/>
          <w:szCs w:val="22"/>
          <w:lang w:eastAsia="en-GB"/>
          <w14:ligatures w14:val="none"/>
        </w:rPr>
        <w:t>terminal demand-side node</w:t>
      </w:r>
      <w:r w:rsidRPr="0032251D">
        <w:rPr>
          <w:rFonts w:ascii="Aptos" w:eastAsia="Times New Roman" w:hAnsi="Aptos" w:cs="Times New Roman"/>
          <w:kern w:val="0"/>
          <w:sz w:val="22"/>
          <w:szCs w:val="22"/>
          <w:lang w:eastAsia="en-GB"/>
          <w14:ligatures w14:val="none"/>
        </w:rPr>
        <w:t xml:space="preserve"> in the credit transmission chain. It is fundamentally where monetary policy </w:t>
      </w:r>
      <w:r w:rsidRPr="0032251D">
        <w:rPr>
          <w:rFonts w:ascii="Aptos" w:eastAsia="Times New Roman" w:hAnsi="Aptos" w:cs="Times New Roman"/>
          <w:i/>
          <w:iCs/>
          <w:kern w:val="0"/>
          <w:sz w:val="22"/>
          <w:szCs w:val="22"/>
          <w:lang w:eastAsia="en-GB"/>
          <w14:ligatures w14:val="none"/>
        </w:rPr>
        <w:t>lands</w:t>
      </w:r>
      <w:r w:rsidRPr="0032251D">
        <w:rPr>
          <w:rFonts w:ascii="Aptos" w:eastAsia="Times New Roman" w:hAnsi="Aptos" w:cs="Times New Roman"/>
          <w:kern w:val="0"/>
          <w:sz w:val="22"/>
          <w:szCs w:val="22"/>
          <w:lang w:eastAsia="en-GB"/>
          <w14:ligatures w14:val="none"/>
        </w:rPr>
        <w:t xml:space="preserve"> — the household decisions to consume, save, and borrow; the corporate decisions to invest, hire, and finance. Dissonance at L5d indicates that the demand response to policy is misbehaving relative to historical patterns or theoretical expectation. This can be because constraints are binding (high DSR muting rate-cut response), because expectations are different (households not believing the policy will hold), or because structural factors are dominating (demographics, inequality, secular shifts in saving).</w:t>
      </w:r>
    </w:p>
    <w:p w14:paraId="5C749D3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For credit cycle analysis, L5d is the </w:t>
      </w:r>
      <w:r w:rsidRPr="0032251D">
        <w:rPr>
          <w:rFonts w:ascii="Aptos" w:eastAsia="Times New Roman" w:hAnsi="Aptos" w:cs="Times New Roman"/>
          <w:i/>
          <w:iCs/>
          <w:kern w:val="0"/>
          <w:sz w:val="22"/>
          <w:szCs w:val="22"/>
          <w:lang w:eastAsia="en-GB"/>
          <w14:ligatures w14:val="none"/>
        </w:rPr>
        <w:t>origination point</w:t>
      </w:r>
      <w:r w:rsidRPr="0032251D">
        <w:rPr>
          <w:rFonts w:ascii="Aptos" w:eastAsia="Times New Roman" w:hAnsi="Aptos" w:cs="Times New Roman"/>
          <w:kern w:val="0"/>
          <w:sz w:val="22"/>
          <w:szCs w:val="22"/>
          <w:lang w:eastAsia="en-GB"/>
          <w14:ligatures w14:val="none"/>
        </w:rPr>
        <w:t xml:space="preserve"> of the cycle — credit expansion starts here, drives asset price inflation, builds leverage, and eventually breaks. The credit-cycle predictors that work best (credit-to-GDP gap, mortgage debt growth, DSR) all live in L5d. For financial stability assessment, L5d leading indicators are typically more reliable than L5a banking-sector lagging indicators.</w:t>
      </w:r>
    </w:p>
    <w:p w14:paraId="00C164E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For SA specifically, the L5d node is characterised by the </w:t>
      </w:r>
      <w:r w:rsidRPr="0032251D">
        <w:rPr>
          <w:rFonts w:ascii="Aptos" w:eastAsia="Times New Roman" w:hAnsi="Aptos" w:cs="Times New Roman"/>
          <w:i/>
          <w:iCs/>
          <w:kern w:val="0"/>
          <w:sz w:val="22"/>
          <w:szCs w:val="22"/>
          <w:lang w:eastAsia="en-GB"/>
          <w14:ligatures w14:val="none"/>
        </w:rPr>
        <w:t>floating-rate mortgage transmission channel</w:t>
      </w:r>
      <w:r w:rsidRPr="0032251D">
        <w:rPr>
          <w:rFonts w:ascii="Aptos" w:eastAsia="Times New Roman" w:hAnsi="Aptos" w:cs="Times New Roman"/>
          <w:kern w:val="0"/>
          <w:sz w:val="22"/>
          <w:szCs w:val="22"/>
          <w:lang w:eastAsia="en-GB"/>
          <w14:ligatures w14:val="none"/>
        </w:rPr>
        <w:t xml:space="preserve"> as the dominant household-policy linkage, with significant heterogeneity in MPCs </w:t>
      </w:r>
      <w:r w:rsidRPr="0032251D">
        <w:rPr>
          <w:rFonts w:ascii="Aptos" w:eastAsia="Times New Roman" w:hAnsi="Aptos" w:cs="Times New Roman"/>
          <w:kern w:val="0"/>
          <w:sz w:val="22"/>
          <w:szCs w:val="22"/>
          <w:lang w:eastAsia="en-GB"/>
          <w14:ligatures w14:val="none"/>
        </w:rPr>
        <w:lastRenderedPageBreak/>
        <w:t>driven by inequality and informal-sector dynamics. Corporate L5d is dominated by major listed corporates with diverse funding, but with structural SME constraint due to bank dependence. The interaction between SARB rate policy and SA household DSR is among the most direct policy transmission channels globally — floating-rate prime-linked mortgages mean rate moves bite quickly and visibly. For the dissonance framework, this makes SA L5d a high-information node — monetary transmission is observable here with relatively short lag and high signal-to-noise ratio compared to many other dimensions of the framework.</w:t>
      </w:r>
    </w:p>
    <w:p w14:paraId="64A6FFE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Level 5e — The Sovereign</w:t>
      </w:r>
    </w:p>
    <w:p w14:paraId="75B5539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Definition.</w:t>
      </w:r>
      <w:r w:rsidRPr="0032251D">
        <w:rPr>
          <w:rFonts w:ascii="Aptos" w:eastAsia="Times New Roman" w:hAnsi="Aptos" w:cs="Times New Roman"/>
          <w:kern w:val="0"/>
          <w:sz w:val="22"/>
          <w:szCs w:val="22"/>
          <w:lang w:eastAsia="en-GB"/>
          <w14:ligatures w14:val="none"/>
        </w:rPr>
        <w:t xml:space="preserve"> The sovereign is the state as a financial agent — the entity that issues sovereign debt, collects taxes, runs fiscal policy, and stands behind the implicit (and sometimes explicit) guarantees that underpin the financial system. In the L5 layer it is technically an intermediary (mediating between savers, taxpayers, and real economic activity through fiscal channels), but functionally it is the </w:t>
      </w:r>
      <w:r w:rsidRPr="0032251D">
        <w:rPr>
          <w:rFonts w:ascii="Aptos" w:eastAsia="Times New Roman" w:hAnsi="Aptos" w:cs="Times New Roman"/>
          <w:i/>
          <w:iCs/>
          <w:kern w:val="0"/>
          <w:sz w:val="22"/>
          <w:szCs w:val="22"/>
          <w:lang w:eastAsia="en-GB"/>
          <w14:ligatures w14:val="none"/>
        </w:rPr>
        <w:t>master node</w:t>
      </w:r>
      <w:r w:rsidRPr="0032251D">
        <w:rPr>
          <w:rFonts w:ascii="Aptos" w:eastAsia="Times New Roman" w:hAnsi="Aptos" w:cs="Times New Roman"/>
          <w:kern w:val="0"/>
          <w:sz w:val="22"/>
          <w:szCs w:val="22"/>
          <w:lang w:eastAsia="en-GB"/>
          <w14:ligatures w14:val="none"/>
        </w:rPr>
        <w:t xml:space="preserve"> in EM crisis dynamics. Its solvency interacts with bank solvency, currency stability, monetary policy capacity, and inflation expectations in ways that no other single node does. The sovereign encompasses: government bonds across maturities, currencies, and jurisdictions; the fiscal balance (revenue minus expenditure); debt-to-GDP and r-versus-g dynamics; implicit guarantees (deposit insurance, SOE backing, financial system backstop); treasury cash management; sovereign wealth funds and FX reserves; and government-related entities — local government financing vehicles (LGFVs in China), parastatals (Eskom and Transnet in SA), and SOEs more broadly. The sovereign is unique among framework nodes because it holds the monopoly on legal force (taxation, regulation), the monopoly on currency issuance in its own currency, and serves as the ultimate backstop for the financial system.</w:t>
      </w:r>
    </w:p>
    <w:p w14:paraId="48545A36"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196A27E0">
          <v:rect id="_x0000_i1112" alt="" style="width:451.3pt;height:.05pt;mso-width-percent:0;mso-height-percent:0;mso-width-percent:0;mso-height-percent:0" o:hralign="center" o:hrstd="t" o:hr="t" fillcolor="#a0a0a0" stroked="f"/>
        </w:pict>
      </w:r>
    </w:p>
    <w:p w14:paraId="6715B6C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Theory</w:t>
      </w:r>
    </w:p>
    <w:p w14:paraId="47122FC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Several theoretical foundations underpin the sovereign as a distinct node.</w:t>
      </w:r>
    </w:p>
    <w:p w14:paraId="1FC0FC8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The Fiscal Theory of the Price Level (Sargent-Wallace; Sims; Cochrane).</w:t>
      </w:r>
      <w:r w:rsidRPr="0032251D">
        <w:rPr>
          <w:rFonts w:ascii="Aptos" w:eastAsia="Times New Roman" w:hAnsi="Aptos" w:cs="Times New Roman"/>
          <w:kern w:val="0"/>
          <w:sz w:val="22"/>
          <w:szCs w:val="22"/>
          <w:lang w:eastAsia="en-GB"/>
          <w14:ligatures w14:val="none"/>
        </w:rPr>
        <w:t xml:space="preserve"> The price level is jointly determined by monetary </w:t>
      </w:r>
      <w:r w:rsidRPr="0032251D">
        <w:rPr>
          <w:rFonts w:ascii="Aptos" w:eastAsia="Times New Roman" w:hAnsi="Aptos" w:cs="Times New Roman"/>
          <w:i/>
          <w:iCs/>
          <w:kern w:val="0"/>
          <w:sz w:val="22"/>
          <w:szCs w:val="22"/>
          <w:lang w:eastAsia="en-GB"/>
          <w14:ligatures w14:val="none"/>
        </w:rPr>
        <w:t>and</w:t>
      </w:r>
      <w:r w:rsidRPr="0032251D">
        <w:rPr>
          <w:rFonts w:ascii="Aptos" w:eastAsia="Times New Roman" w:hAnsi="Aptos" w:cs="Times New Roman"/>
          <w:kern w:val="0"/>
          <w:sz w:val="22"/>
          <w:szCs w:val="22"/>
          <w:lang w:eastAsia="en-GB"/>
          <w14:ligatures w14:val="none"/>
        </w:rPr>
        <w:t xml:space="preserve"> fiscal policy. If fiscal policy is "active" — debt is expected to be paid through inflation rather than future primary surpluses — the price level adjusts to make the real value of debt consistent with the expected stream of surpluses. This is the structural argument for fiscal dominance: when the fiscal regime is active, monetary policy loses primary control of the price level regardless of the central bank's mandate or actions.</w:t>
      </w:r>
    </w:p>
    <w:p w14:paraId="49A4A93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Sargent-Wallace Unpleasant Monetarist Arithmetic (1981).</w:t>
      </w:r>
      <w:r w:rsidRPr="0032251D">
        <w:rPr>
          <w:rFonts w:ascii="Aptos" w:eastAsia="Times New Roman" w:hAnsi="Aptos" w:cs="Times New Roman"/>
          <w:kern w:val="0"/>
          <w:sz w:val="22"/>
          <w:szCs w:val="22"/>
          <w:lang w:eastAsia="en-GB"/>
          <w14:ligatures w14:val="none"/>
        </w:rPr>
        <w:t xml:space="preserve"> If the government runs persistent deficits, eventually monetary policy must accommodate them (via </w:t>
      </w:r>
      <w:proofErr w:type="spellStart"/>
      <w:r w:rsidRPr="0032251D">
        <w:rPr>
          <w:rFonts w:ascii="Aptos" w:eastAsia="Times New Roman" w:hAnsi="Aptos" w:cs="Times New Roman"/>
          <w:kern w:val="0"/>
          <w:sz w:val="22"/>
          <w:szCs w:val="22"/>
          <w:lang w:eastAsia="en-GB"/>
          <w14:ligatures w14:val="none"/>
        </w:rPr>
        <w:t>seignorage</w:t>
      </w:r>
      <w:proofErr w:type="spellEnd"/>
      <w:r w:rsidRPr="0032251D">
        <w:rPr>
          <w:rFonts w:ascii="Aptos" w:eastAsia="Times New Roman" w:hAnsi="Aptos" w:cs="Times New Roman"/>
          <w:kern w:val="0"/>
          <w:sz w:val="22"/>
          <w:szCs w:val="22"/>
          <w:lang w:eastAsia="en-GB"/>
          <w14:ligatures w14:val="none"/>
        </w:rPr>
        <w:t xml:space="preserve"> financing) or default must occur. Tight monetary policy in the presence of fiscal dominance only </w:t>
      </w:r>
      <w:r w:rsidRPr="0032251D">
        <w:rPr>
          <w:rFonts w:ascii="Aptos" w:eastAsia="Times New Roman" w:hAnsi="Aptos" w:cs="Times New Roman"/>
          <w:i/>
          <w:iCs/>
          <w:kern w:val="0"/>
          <w:sz w:val="22"/>
          <w:szCs w:val="22"/>
          <w:lang w:eastAsia="en-GB"/>
          <w14:ligatures w14:val="none"/>
        </w:rPr>
        <w:t>delays</w:t>
      </w:r>
      <w:r w:rsidRPr="0032251D">
        <w:rPr>
          <w:rFonts w:ascii="Aptos" w:eastAsia="Times New Roman" w:hAnsi="Aptos" w:cs="Times New Roman"/>
          <w:kern w:val="0"/>
          <w:sz w:val="22"/>
          <w:szCs w:val="22"/>
          <w:lang w:eastAsia="en-GB"/>
          <w14:ligatures w14:val="none"/>
        </w:rPr>
        <w:t xml:space="preserve"> the inflation it is meant to prevent — and may worsen it by raising debt service costs and accelerating the eventual fiscal-arithmetic collapse. The result reframes monetary policy as conditional on fiscal regime, not independent of it.</w:t>
      </w:r>
    </w:p>
    <w:p w14:paraId="4CFBE16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r-vs-g dynamics (Domar; Blanchard 2019).</w:t>
      </w:r>
      <w:r w:rsidRPr="0032251D">
        <w:rPr>
          <w:rFonts w:ascii="Aptos" w:eastAsia="Times New Roman" w:hAnsi="Aptos" w:cs="Times New Roman"/>
          <w:kern w:val="0"/>
          <w:sz w:val="22"/>
          <w:szCs w:val="22"/>
          <w:lang w:eastAsia="en-GB"/>
          <w14:ligatures w14:val="none"/>
        </w:rPr>
        <w:t xml:space="preserve"> The fundamental fiscal sustainability equation: debt-to-GDP evolves according to (r − g) × debt-to-GDP + primary deficit, where r is the average effective interest rate on debt and g is the growth rate of nominal GDP. When r &gt; g, debt compounds; primary surpluses are required to stabilise. When r &lt; g (the post-2008 DM regime), debt service is </w:t>
      </w:r>
      <w:r w:rsidRPr="0032251D">
        <w:rPr>
          <w:rFonts w:ascii="Aptos" w:eastAsia="Times New Roman" w:hAnsi="Aptos" w:cs="Times New Roman"/>
          <w:i/>
          <w:iCs/>
          <w:kern w:val="0"/>
          <w:sz w:val="22"/>
          <w:szCs w:val="22"/>
          <w:lang w:eastAsia="en-GB"/>
          <w14:ligatures w14:val="none"/>
        </w:rPr>
        <w:t>self-stabilising</w:t>
      </w:r>
      <w:r w:rsidRPr="0032251D">
        <w:rPr>
          <w:rFonts w:ascii="Aptos" w:eastAsia="Times New Roman" w:hAnsi="Aptos" w:cs="Times New Roman"/>
          <w:kern w:val="0"/>
          <w:sz w:val="22"/>
          <w:szCs w:val="22"/>
          <w:lang w:eastAsia="en-GB"/>
          <w14:ligatures w14:val="none"/>
        </w:rPr>
        <w:t xml:space="preserve"> even with deficits — debt-to-GDP can decline without explicit </w:t>
      </w:r>
      <w:r w:rsidRPr="0032251D">
        <w:rPr>
          <w:rFonts w:ascii="Aptos" w:eastAsia="Times New Roman" w:hAnsi="Aptos" w:cs="Times New Roman"/>
          <w:kern w:val="0"/>
          <w:sz w:val="22"/>
          <w:szCs w:val="22"/>
          <w:lang w:eastAsia="en-GB"/>
          <w14:ligatures w14:val="none"/>
        </w:rPr>
        <w:lastRenderedPageBreak/>
        <w:t>fiscal tightening. This single equation explains why post-2008 DM debt expansion proved more sustainable than the gross debt-to-GDP levels suggested, and why EM with structural r &gt; g face much tighter fiscal constraints.</w:t>
      </w:r>
    </w:p>
    <w:p w14:paraId="7603A22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The sovereign-bank doom loop (Acharya-Drechsler-Schnabl 2014).</w:t>
      </w:r>
      <w:r w:rsidRPr="0032251D">
        <w:rPr>
          <w:rFonts w:ascii="Aptos" w:eastAsia="Times New Roman" w:hAnsi="Aptos" w:cs="Times New Roman"/>
          <w:kern w:val="0"/>
          <w:sz w:val="22"/>
          <w:szCs w:val="22"/>
          <w:lang w:eastAsia="en-GB"/>
          <w14:ligatures w14:val="none"/>
        </w:rPr>
        <w:t xml:space="preserve"> Banks hold sovereign debt as HQLA; sovereigns guarantee banks through deposit insurance and implicit bailout commitments. Crisis in one </w:t>
      </w:r>
      <w:proofErr w:type="gramStart"/>
      <w:r w:rsidRPr="0032251D">
        <w:rPr>
          <w:rFonts w:ascii="Aptos" w:eastAsia="Times New Roman" w:hAnsi="Aptos" w:cs="Times New Roman"/>
          <w:kern w:val="0"/>
          <w:sz w:val="22"/>
          <w:szCs w:val="22"/>
          <w:lang w:eastAsia="en-GB"/>
          <w14:ligatures w14:val="none"/>
        </w:rPr>
        <w:t>feeds</w:t>
      </w:r>
      <w:proofErr w:type="gramEnd"/>
      <w:r w:rsidRPr="0032251D">
        <w:rPr>
          <w:rFonts w:ascii="Aptos" w:eastAsia="Times New Roman" w:hAnsi="Aptos" w:cs="Times New Roman"/>
          <w:kern w:val="0"/>
          <w:sz w:val="22"/>
          <w:szCs w:val="22"/>
          <w:lang w:eastAsia="en-GB"/>
          <w14:ligatures w14:val="none"/>
        </w:rPr>
        <w:t xml:space="preserve"> the other through self-reinforcing cycles. The 2010-2012 eurozone crisis was the canonical case: sovereign downgrades impaired bank balance sheets, bank stress raised sovereign contingent liabilities, both worsened simultaneously. The same mechanism operates in EM with varying intensity.</w:t>
      </w:r>
    </w:p>
    <w:p w14:paraId="0471B68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Reinhart-Rogoff (2009) and historical default patterns.</w:t>
      </w:r>
      <w:r w:rsidRPr="0032251D">
        <w:rPr>
          <w:rFonts w:ascii="Aptos" w:eastAsia="Times New Roman" w:hAnsi="Aptos" w:cs="Times New Roman"/>
          <w:kern w:val="0"/>
          <w:sz w:val="22"/>
          <w:szCs w:val="22"/>
          <w:lang w:eastAsia="en-GB"/>
          <w14:ligatures w14:val="none"/>
        </w:rPr>
        <w:t xml:space="preserve"> Comprehensive history of sovereign default shows that </w:t>
      </w:r>
      <w:r w:rsidRPr="0032251D">
        <w:rPr>
          <w:rFonts w:ascii="Aptos" w:eastAsia="Times New Roman" w:hAnsi="Aptos" w:cs="Times New Roman"/>
          <w:i/>
          <w:iCs/>
          <w:kern w:val="0"/>
          <w:sz w:val="22"/>
          <w:szCs w:val="22"/>
          <w:lang w:eastAsia="en-GB"/>
          <w14:ligatures w14:val="none"/>
        </w:rPr>
        <w:t>domestic-currency</w:t>
      </w:r>
      <w:r w:rsidRPr="0032251D">
        <w:rPr>
          <w:rFonts w:ascii="Aptos" w:eastAsia="Times New Roman" w:hAnsi="Aptos" w:cs="Times New Roman"/>
          <w:kern w:val="0"/>
          <w:sz w:val="22"/>
          <w:szCs w:val="22"/>
          <w:lang w:eastAsia="en-GB"/>
          <w14:ligatures w14:val="none"/>
        </w:rPr>
        <w:t xml:space="preserve"> sovereign default is more common than typically assumed — particularly through inflation, currency redenomination, and forced restructuring. The conventional view that domestic-currency sovereigns "cannot default" is empirically wrong even before considering willingness questions.</w:t>
      </w:r>
    </w:p>
    <w:p w14:paraId="1973F73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Original sin (</w:t>
      </w:r>
      <w:proofErr w:type="spellStart"/>
      <w:r w:rsidRPr="0032251D">
        <w:rPr>
          <w:rFonts w:ascii="Aptos" w:eastAsia="Times New Roman" w:hAnsi="Aptos" w:cs="Times New Roman"/>
          <w:i/>
          <w:iCs/>
          <w:kern w:val="0"/>
          <w:sz w:val="22"/>
          <w:szCs w:val="22"/>
          <w:lang w:eastAsia="en-GB"/>
          <w14:ligatures w14:val="none"/>
        </w:rPr>
        <w:t>Eichengreen</w:t>
      </w:r>
      <w:proofErr w:type="spellEnd"/>
      <w:r w:rsidRPr="0032251D">
        <w:rPr>
          <w:rFonts w:ascii="Aptos" w:eastAsia="Times New Roman" w:hAnsi="Aptos" w:cs="Times New Roman"/>
          <w:i/>
          <w:iCs/>
          <w:kern w:val="0"/>
          <w:sz w:val="22"/>
          <w:szCs w:val="22"/>
          <w:lang w:eastAsia="en-GB"/>
          <w14:ligatures w14:val="none"/>
        </w:rPr>
        <w:t>-Hausmann 1999).</w:t>
      </w:r>
      <w:r w:rsidRPr="0032251D">
        <w:rPr>
          <w:rFonts w:ascii="Aptos" w:eastAsia="Times New Roman" w:hAnsi="Aptos" w:cs="Times New Roman"/>
          <w:kern w:val="0"/>
          <w:sz w:val="22"/>
          <w:szCs w:val="22"/>
          <w:lang w:eastAsia="en-GB"/>
          <w14:ligatures w14:val="none"/>
        </w:rPr>
        <w:t xml:space="preserve"> EMs typically cannot borrow long-term in their own currency at reasonable yields. This forces FX-denominated debt issuance, which creates structural currency mismatch — sovereign assets in local currency, liabilities in foreign currency. Currency depreciation directly raises real debt burden. This is the structural EM fragility that most DM frameworks miss.</w:t>
      </w:r>
    </w:p>
    <w:p w14:paraId="10E0C0B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Willingness vs ability to pay (Bulow-Rogoff 1989).</w:t>
      </w:r>
      <w:r w:rsidRPr="0032251D">
        <w:rPr>
          <w:rFonts w:ascii="Aptos" w:eastAsia="Times New Roman" w:hAnsi="Aptos" w:cs="Times New Roman"/>
          <w:kern w:val="0"/>
          <w:sz w:val="22"/>
          <w:szCs w:val="22"/>
          <w:lang w:eastAsia="en-GB"/>
          <w14:ligatures w14:val="none"/>
        </w:rPr>
        <w:t xml:space="preserve"> Sovereign default is partly about willingness, not just ability. A sovereign with low debt can default if political incentives are misaligned (Argentina); a sovereign with high debt can avoid default if incentives are aligned (Japan). The economic capacity to pay and the political willingness to pay are separable, and both matter.</w:t>
      </w:r>
    </w:p>
    <w:p w14:paraId="194E195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Convenience yield asymmetry (Krishnamurthy-Vissing-Jorgensen).</w:t>
      </w:r>
      <w:r w:rsidRPr="0032251D">
        <w:rPr>
          <w:rFonts w:ascii="Aptos" w:eastAsia="Times New Roman" w:hAnsi="Aptos" w:cs="Times New Roman"/>
          <w:kern w:val="0"/>
          <w:sz w:val="22"/>
          <w:szCs w:val="22"/>
          <w:lang w:eastAsia="en-GB"/>
          <w14:ligatures w14:val="none"/>
        </w:rPr>
        <w:t xml:space="preserve"> Some sovereigns hold safe-haven status — US, Germany, Japan, Switzerland. Their yields embed a positive convenience yield premium that other sovereigns cannot earn. EM sovereigns face the opposite — their yields embed </w:t>
      </w:r>
      <w:r w:rsidRPr="0032251D">
        <w:rPr>
          <w:rFonts w:ascii="Aptos" w:eastAsia="Times New Roman" w:hAnsi="Aptos" w:cs="Times New Roman"/>
          <w:i/>
          <w:iCs/>
          <w:kern w:val="0"/>
          <w:sz w:val="22"/>
          <w:szCs w:val="22"/>
          <w:lang w:eastAsia="en-GB"/>
          <w14:ligatures w14:val="none"/>
        </w:rPr>
        <w:t>negative</w:t>
      </w:r>
      <w:r w:rsidRPr="0032251D">
        <w:rPr>
          <w:rFonts w:ascii="Aptos" w:eastAsia="Times New Roman" w:hAnsi="Aptos" w:cs="Times New Roman"/>
          <w:kern w:val="0"/>
          <w:sz w:val="22"/>
          <w:szCs w:val="22"/>
          <w:lang w:eastAsia="en-GB"/>
          <w14:ligatures w14:val="none"/>
        </w:rPr>
        <w:t xml:space="preserve"> convenience yield, an additional structural drag on funding costs.</w:t>
      </w:r>
    </w:p>
    <w:p w14:paraId="642F689C"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4BDE943A">
          <v:rect id="_x0000_i1113" alt="" style="width:451.3pt;height:.05pt;mso-width-percent:0;mso-height-percent:0;mso-width-percent:0;mso-height-percent:0" o:hralign="center" o:hrstd="t" o:hr="t" fillcolor="#a0a0a0" stroked="f"/>
        </w:pict>
      </w:r>
    </w:p>
    <w:p w14:paraId="09CD1D7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Canonical specifications and parameters</w:t>
      </w:r>
    </w:p>
    <w:p w14:paraId="1CF0FEB5"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sovereign node has rich measurable structure across four families.</w:t>
      </w:r>
    </w:p>
    <w:p w14:paraId="6468255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Stock measures.</w:t>
      </w:r>
    </w:p>
    <w:p w14:paraId="0A6E6929" w14:textId="77777777" w:rsidR="0032251D" w:rsidRPr="0032251D" w:rsidRDefault="0032251D">
      <w:pPr>
        <w:numPr>
          <w:ilvl w:val="0"/>
          <w:numId w:val="9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Gross debt-to-GDP</w:t>
      </w:r>
      <w:r w:rsidRPr="0032251D">
        <w:rPr>
          <w:rFonts w:ascii="Aptos" w:eastAsia="Times New Roman" w:hAnsi="Aptos" w:cs="Times New Roman"/>
          <w:kern w:val="0"/>
          <w:sz w:val="22"/>
          <w:szCs w:val="22"/>
          <w:lang w:eastAsia="en-GB"/>
          <w14:ligatures w14:val="none"/>
        </w:rPr>
        <w:t>: standard headline measure. SA ~75%; US ~120%; Japan ~250%; Brazil ~75%; Turkey ~30%.</w:t>
      </w:r>
    </w:p>
    <w:p w14:paraId="48C4ED7C" w14:textId="77777777" w:rsidR="0032251D" w:rsidRPr="0032251D" w:rsidRDefault="0032251D">
      <w:pPr>
        <w:numPr>
          <w:ilvl w:val="0"/>
          <w:numId w:val="9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Net debt-to-GDP</w:t>
      </w:r>
      <w:r w:rsidRPr="0032251D">
        <w:rPr>
          <w:rFonts w:ascii="Aptos" w:eastAsia="Times New Roman" w:hAnsi="Aptos" w:cs="Times New Roman"/>
          <w:kern w:val="0"/>
          <w:sz w:val="22"/>
          <w:szCs w:val="22"/>
          <w:lang w:eastAsia="en-GB"/>
          <w14:ligatures w14:val="none"/>
        </w:rPr>
        <w:t>: gross minus financial assets. Economically more meaningful but harder to standardise.</w:t>
      </w:r>
    </w:p>
    <w:p w14:paraId="45D7929A" w14:textId="77777777" w:rsidR="0032251D" w:rsidRPr="0032251D" w:rsidRDefault="0032251D">
      <w:pPr>
        <w:numPr>
          <w:ilvl w:val="0"/>
          <w:numId w:val="9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Public sector debt (PSD)</w:t>
      </w:r>
      <w:r w:rsidRPr="0032251D">
        <w:rPr>
          <w:rFonts w:ascii="Aptos" w:eastAsia="Times New Roman" w:hAnsi="Aptos" w:cs="Times New Roman"/>
          <w:kern w:val="0"/>
          <w:sz w:val="22"/>
          <w:szCs w:val="22"/>
          <w:lang w:eastAsia="en-GB"/>
          <w14:ligatures w14:val="none"/>
        </w:rPr>
        <w:t>: includes SOEs and parastatals. Critical for countries with significant state enterprise exposure (China, SA, Brazil).</w:t>
      </w:r>
    </w:p>
    <w:p w14:paraId="7A1FEEA4" w14:textId="77777777" w:rsidR="0032251D" w:rsidRPr="0032251D" w:rsidRDefault="0032251D">
      <w:pPr>
        <w:numPr>
          <w:ilvl w:val="0"/>
          <w:numId w:val="9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External debt-to-GDP</w:t>
      </w:r>
      <w:r w:rsidRPr="0032251D">
        <w:rPr>
          <w:rFonts w:ascii="Aptos" w:eastAsia="Times New Roman" w:hAnsi="Aptos" w:cs="Times New Roman"/>
          <w:kern w:val="0"/>
          <w:sz w:val="22"/>
          <w:szCs w:val="22"/>
          <w:lang w:eastAsia="en-GB"/>
          <w14:ligatures w14:val="none"/>
        </w:rPr>
        <w:t>: debt to foreign creditors.</w:t>
      </w:r>
    </w:p>
    <w:p w14:paraId="3612FB78" w14:textId="77777777" w:rsidR="0032251D" w:rsidRPr="0032251D" w:rsidRDefault="0032251D">
      <w:pPr>
        <w:numPr>
          <w:ilvl w:val="0"/>
          <w:numId w:val="9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FX-denominated debt share</w:t>
      </w:r>
      <w:r w:rsidRPr="0032251D">
        <w:rPr>
          <w:rFonts w:ascii="Aptos" w:eastAsia="Times New Roman" w:hAnsi="Aptos" w:cs="Times New Roman"/>
          <w:kern w:val="0"/>
          <w:sz w:val="22"/>
          <w:szCs w:val="22"/>
          <w:lang w:eastAsia="en-GB"/>
          <w14:ligatures w14:val="none"/>
        </w:rPr>
        <w:t>: % of sovereign debt in foreign currency. The structural fragility indicator.</w:t>
      </w:r>
    </w:p>
    <w:p w14:paraId="1146080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Flow measures.</w:t>
      </w:r>
    </w:p>
    <w:p w14:paraId="46AEE1CA" w14:textId="77777777" w:rsidR="0032251D" w:rsidRPr="0032251D" w:rsidRDefault="0032251D">
      <w:pPr>
        <w:numPr>
          <w:ilvl w:val="0"/>
          <w:numId w:val="9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Primary balance</w:t>
      </w:r>
      <w:r w:rsidRPr="0032251D">
        <w:rPr>
          <w:rFonts w:ascii="Aptos" w:eastAsia="Times New Roman" w:hAnsi="Aptos" w:cs="Times New Roman"/>
          <w:kern w:val="0"/>
          <w:sz w:val="22"/>
          <w:szCs w:val="22"/>
          <w:lang w:eastAsia="en-GB"/>
          <w14:ligatures w14:val="none"/>
        </w:rPr>
        <w:t>: revenue minus non-interest spending. The policy-controllable variable.</w:t>
      </w:r>
    </w:p>
    <w:p w14:paraId="3E18D5C7" w14:textId="77777777" w:rsidR="0032251D" w:rsidRPr="0032251D" w:rsidRDefault="0032251D">
      <w:pPr>
        <w:numPr>
          <w:ilvl w:val="0"/>
          <w:numId w:val="9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 xml:space="preserve">Overall fiscal </w:t>
      </w:r>
      <w:proofErr w:type="gramStart"/>
      <w:r w:rsidRPr="0032251D">
        <w:rPr>
          <w:rFonts w:ascii="Aptos" w:eastAsia="Times New Roman" w:hAnsi="Aptos" w:cs="Times New Roman"/>
          <w:b/>
          <w:bCs/>
          <w:kern w:val="0"/>
          <w:sz w:val="22"/>
          <w:szCs w:val="22"/>
          <w:lang w:eastAsia="en-GB"/>
          <w14:ligatures w14:val="none"/>
        </w:rPr>
        <w:t>balance</w:t>
      </w:r>
      <w:r w:rsidRPr="0032251D">
        <w:rPr>
          <w:rFonts w:ascii="Aptos" w:eastAsia="Times New Roman" w:hAnsi="Aptos" w:cs="Times New Roman"/>
          <w:kern w:val="0"/>
          <w:sz w:val="22"/>
          <w:szCs w:val="22"/>
          <w:lang w:eastAsia="en-GB"/>
          <w14:ligatures w14:val="none"/>
        </w:rPr>
        <w:t>:</w:t>
      </w:r>
      <w:proofErr w:type="gramEnd"/>
      <w:r w:rsidRPr="0032251D">
        <w:rPr>
          <w:rFonts w:ascii="Aptos" w:eastAsia="Times New Roman" w:hAnsi="Aptos" w:cs="Times New Roman"/>
          <w:kern w:val="0"/>
          <w:sz w:val="22"/>
          <w:szCs w:val="22"/>
          <w:lang w:eastAsia="en-GB"/>
          <w14:ligatures w14:val="none"/>
        </w:rPr>
        <w:t xml:space="preserve"> includes interest costs.</w:t>
      </w:r>
    </w:p>
    <w:p w14:paraId="59CE1380" w14:textId="77777777" w:rsidR="0032251D" w:rsidRPr="0032251D" w:rsidRDefault="0032251D">
      <w:pPr>
        <w:numPr>
          <w:ilvl w:val="0"/>
          <w:numId w:val="9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 xml:space="preserve">Cyclically adjusted </w:t>
      </w:r>
      <w:proofErr w:type="gramStart"/>
      <w:r w:rsidRPr="0032251D">
        <w:rPr>
          <w:rFonts w:ascii="Aptos" w:eastAsia="Times New Roman" w:hAnsi="Aptos" w:cs="Times New Roman"/>
          <w:b/>
          <w:bCs/>
          <w:kern w:val="0"/>
          <w:sz w:val="22"/>
          <w:szCs w:val="22"/>
          <w:lang w:eastAsia="en-GB"/>
          <w14:ligatures w14:val="none"/>
        </w:rPr>
        <w:t>balance</w:t>
      </w:r>
      <w:r w:rsidRPr="0032251D">
        <w:rPr>
          <w:rFonts w:ascii="Aptos" w:eastAsia="Times New Roman" w:hAnsi="Aptos" w:cs="Times New Roman"/>
          <w:kern w:val="0"/>
          <w:sz w:val="22"/>
          <w:szCs w:val="22"/>
          <w:lang w:eastAsia="en-GB"/>
          <w14:ligatures w14:val="none"/>
        </w:rPr>
        <w:t>:</w:t>
      </w:r>
      <w:proofErr w:type="gramEnd"/>
      <w:r w:rsidRPr="0032251D">
        <w:rPr>
          <w:rFonts w:ascii="Aptos" w:eastAsia="Times New Roman" w:hAnsi="Aptos" w:cs="Times New Roman"/>
          <w:kern w:val="0"/>
          <w:sz w:val="22"/>
          <w:szCs w:val="22"/>
          <w:lang w:eastAsia="en-GB"/>
          <w14:ligatures w14:val="none"/>
        </w:rPr>
        <w:t xml:space="preserve"> removes business cycle effects.</w:t>
      </w:r>
    </w:p>
    <w:p w14:paraId="51CEF80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Sustainability metrics.</w:t>
      </w:r>
    </w:p>
    <w:p w14:paraId="0C0E1F47" w14:textId="77777777" w:rsidR="0032251D" w:rsidRPr="0032251D" w:rsidRDefault="0032251D">
      <w:pPr>
        <w:numPr>
          <w:ilvl w:val="0"/>
          <w:numId w:val="9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 xml:space="preserve">r vs g </w:t>
      </w:r>
      <w:proofErr w:type="gramStart"/>
      <w:r w:rsidRPr="0032251D">
        <w:rPr>
          <w:rFonts w:ascii="Aptos" w:eastAsia="Times New Roman" w:hAnsi="Aptos" w:cs="Times New Roman"/>
          <w:b/>
          <w:bCs/>
          <w:kern w:val="0"/>
          <w:sz w:val="22"/>
          <w:szCs w:val="22"/>
          <w:lang w:eastAsia="en-GB"/>
          <w14:ligatures w14:val="none"/>
        </w:rPr>
        <w:t>spread</w:t>
      </w:r>
      <w:r w:rsidRPr="0032251D">
        <w:rPr>
          <w:rFonts w:ascii="Aptos" w:eastAsia="Times New Roman" w:hAnsi="Aptos" w:cs="Times New Roman"/>
          <w:kern w:val="0"/>
          <w:sz w:val="22"/>
          <w:szCs w:val="22"/>
          <w:lang w:eastAsia="en-GB"/>
          <w14:ligatures w14:val="none"/>
        </w:rPr>
        <w:t>:</w:t>
      </w:r>
      <w:proofErr w:type="gramEnd"/>
      <w:r w:rsidRPr="0032251D">
        <w:rPr>
          <w:rFonts w:ascii="Aptos" w:eastAsia="Times New Roman" w:hAnsi="Aptos" w:cs="Times New Roman"/>
          <w:kern w:val="0"/>
          <w:sz w:val="22"/>
          <w:szCs w:val="22"/>
          <w:lang w:eastAsia="en-GB"/>
          <w14:ligatures w14:val="none"/>
        </w:rPr>
        <w:t xml:space="preserve"> real interest rate vs real growth rate. The fundamental sustainability variable.</w:t>
      </w:r>
    </w:p>
    <w:p w14:paraId="14D2AE81" w14:textId="77777777" w:rsidR="0032251D" w:rsidRPr="0032251D" w:rsidRDefault="0032251D">
      <w:pPr>
        <w:numPr>
          <w:ilvl w:val="0"/>
          <w:numId w:val="9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Debt sustainability gap</w:t>
      </w:r>
      <w:r w:rsidRPr="0032251D">
        <w:rPr>
          <w:rFonts w:ascii="Aptos" w:eastAsia="Times New Roman" w:hAnsi="Aptos" w:cs="Times New Roman"/>
          <w:kern w:val="0"/>
          <w:sz w:val="22"/>
          <w:szCs w:val="22"/>
          <w:lang w:eastAsia="en-GB"/>
          <w14:ligatures w14:val="none"/>
        </w:rPr>
        <w:t>: required primary balance to stabilise debt-to-GDP at current levels.</w:t>
      </w:r>
    </w:p>
    <w:p w14:paraId="717D37D1" w14:textId="77777777" w:rsidR="0032251D" w:rsidRPr="0032251D" w:rsidRDefault="0032251D">
      <w:pPr>
        <w:numPr>
          <w:ilvl w:val="0"/>
          <w:numId w:val="9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Debt service ratio</w:t>
      </w:r>
      <w:r w:rsidRPr="0032251D">
        <w:rPr>
          <w:rFonts w:ascii="Aptos" w:eastAsia="Times New Roman" w:hAnsi="Aptos" w:cs="Times New Roman"/>
          <w:kern w:val="0"/>
          <w:sz w:val="22"/>
          <w:szCs w:val="22"/>
          <w:lang w:eastAsia="en-GB"/>
          <w14:ligatures w14:val="none"/>
        </w:rPr>
        <w:t>: government interest payments / revenue. When this rises above ~15-20%, fiscal flexibility declines sharply.</w:t>
      </w:r>
    </w:p>
    <w:p w14:paraId="6BD34C87" w14:textId="77777777" w:rsidR="0032251D" w:rsidRPr="0032251D" w:rsidRDefault="0032251D">
      <w:pPr>
        <w:numPr>
          <w:ilvl w:val="0"/>
          <w:numId w:val="9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Refinancing risk</w:t>
      </w:r>
      <w:r w:rsidRPr="0032251D">
        <w:rPr>
          <w:rFonts w:ascii="Aptos" w:eastAsia="Times New Roman" w:hAnsi="Aptos" w:cs="Times New Roman"/>
          <w:kern w:val="0"/>
          <w:sz w:val="22"/>
          <w:szCs w:val="22"/>
          <w:lang w:eastAsia="en-GB"/>
          <w14:ligatures w14:val="none"/>
        </w:rPr>
        <w:t>: short-term debt as % of total; concentrated maturity walls.</w:t>
      </w:r>
    </w:p>
    <w:p w14:paraId="242BBDC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Market measures.</w:t>
      </w:r>
    </w:p>
    <w:p w14:paraId="3D1C099B" w14:textId="77777777" w:rsidR="0032251D" w:rsidRPr="0032251D" w:rsidRDefault="0032251D">
      <w:pPr>
        <w:numPr>
          <w:ilvl w:val="0"/>
          <w:numId w:val="9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Sovereign CDS spreads</w:t>
      </w:r>
      <w:r w:rsidRPr="0032251D">
        <w:rPr>
          <w:rFonts w:ascii="Aptos" w:eastAsia="Times New Roman" w:hAnsi="Aptos" w:cs="Times New Roman"/>
          <w:kern w:val="0"/>
          <w:sz w:val="22"/>
          <w:szCs w:val="22"/>
          <w:lang w:eastAsia="en-GB"/>
          <w14:ligatures w14:val="none"/>
        </w:rPr>
        <w:t>: market-implied default risk; the cleanest single sovereign credit signal.</w:t>
      </w:r>
    </w:p>
    <w:p w14:paraId="77A94D61" w14:textId="77777777" w:rsidR="0032251D" w:rsidRPr="0032251D" w:rsidRDefault="0032251D">
      <w:pPr>
        <w:numPr>
          <w:ilvl w:val="0"/>
          <w:numId w:val="9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Sovereign yield spread over benchmark</w:t>
      </w:r>
      <w:r w:rsidRPr="0032251D">
        <w:rPr>
          <w:rFonts w:ascii="Aptos" w:eastAsia="Times New Roman" w:hAnsi="Aptos" w:cs="Times New Roman"/>
          <w:kern w:val="0"/>
          <w:sz w:val="22"/>
          <w:szCs w:val="22"/>
          <w:lang w:eastAsia="en-GB"/>
          <w14:ligatures w14:val="none"/>
        </w:rPr>
        <w:t>: 10y SAGB minus 10y UST = ~400-500bp through most of the past decade; encompasses rate differential, credit premium, and currency risk.</w:t>
      </w:r>
    </w:p>
    <w:p w14:paraId="350A8CC8" w14:textId="77777777" w:rsidR="0032251D" w:rsidRPr="0032251D" w:rsidRDefault="0032251D">
      <w:pPr>
        <w:numPr>
          <w:ilvl w:val="0"/>
          <w:numId w:val="9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Credit ratings</w:t>
      </w:r>
      <w:r w:rsidRPr="0032251D">
        <w:rPr>
          <w:rFonts w:ascii="Aptos" w:eastAsia="Times New Roman" w:hAnsi="Aptos" w:cs="Times New Roman"/>
          <w:kern w:val="0"/>
          <w:sz w:val="22"/>
          <w:szCs w:val="22"/>
          <w:lang w:eastAsia="en-GB"/>
          <w14:ligatures w14:val="none"/>
        </w:rPr>
        <w:t>: S&amp;P, Moody's, Fitch. Useful as a sticky aggregator of credit assessment but lagging market signals.</w:t>
      </w:r>
    </w:p>
    <w:p w14:paraId="70C7A8F3" w14:textId="77777777" w:rsidR="0032251D" w:rsidRPr="0032251D" w:rsidRDefault="0032251D">
      <w:pPr>
        <w:numPr>
          <w:ilvl w:val="0"/>
          <w:numId w:val="9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Implied recovery rates</w:t>
      </w:r>
      <w:r w:rsidRPr="0032251D">
        <w:rPr>
          <w:rFonts w:ascii="Aptos" w:eastAsia="Times New Roman" w:hAnsi="Aptos" w:cs="Times New Roman"/>
          <w:kern w:val="0"/>
          <w:sz w:val="22"/>
          <w:szCs w:val="22"/>
          <w:lang w:eastAsia="en-GB"/>
          <w14:ligatures w14:val="none"/>
        </w:rPr>
        <w:t>: derived from CDS curve shape; market view on losses given default.</w:t>
      </w:r>
    </w:p>
    <w:p w14:paraId="36A95961" w14:textId="77777777" w:rsidR="0032251D" w:rsidRPr="0032251D" w:rsidRDefault="0032251D">
      <w:pPr>
        <w:numPr>
          <w:ilvl w:val="0"/>
          <w:numId w:val="9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Refinancing curve</w:t>
      </w:r>
      <w:r w:rsidRPr="0032251D">
        <w:rPr>
          <w:rFonts w:ascii="Aptos" w:eastAsia="Times New Roman" w:hAnsi="Aptos" w:cs="Times New Roman"/>
          <w:kern w:val="0"/>
          <w:sz w:val="22"/>
          <w:szCs w:val="22"/>
          <w:lang w:eastAsia="en-GB"/>
          <w14:ligatures w14:val="none"/>
        </w:rPr>
        <w:t>: schedule of upcoming debt maturities; identifies stress windows.</w:t>
      </w:r>
    </w:p>
    <w:p w14:paraId="19D6B5A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Issuance metrics.</w:t>
      </w:r>
    </w:p>
    <w:p w14:paraId="5D04AD13" w14:textId="77777777" w:rsidR="0032251D" w:rsidRPr="0032251D" w:rsidRDefault="0032251D">
      <w:pPr>
        <w:numPr>
          <w:ilvl w:val="0"/>
          <w:numId w:val="9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Auction bid-to-cover ratios</w:t>
      </w:r>
      <w:r w:rsidRPr="0032251D">
        <w:rPr>
          <w:rFonts w:ascii="Aptos" w:eastAsia="Times New Roman" w:hAnsi="Aptos" w:cs="Times New Roman"/>
          <w:kern w:val="0"/>
          <w:sz w:val="22"/>
          <w:szCs w:val="22"/>
          <w:lang w:eastAsia="en-GB"/>
          <w14:ligatures w14:val="none"/>
        </w:rPr>
        <w:t>: primary market absorption.</w:t>
      </w:r>
    </w:p>
    <w:p w14:paraId="17709C14" w14:textId="77777777" w:rsidR="0032251D" w:rsidRPr="0032251D" w:rsidRDefault="0032251D">
      <w:pPr>
        <w:numPr>
          <w:ilvl w:val="0"/>
          <w:numId w:val="9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Auction tails</w:t>
      </w:r>
      <w:r w:rsidRPr="0032251D">
        <w:rPr>
          <w:rFonts w:ascii="Aptos" w:eastAsia="Times New Roman" w:hAnsi="Aptos" w:cs="Times New Roman"/>
          <w:kern w:val="0"/>
          <w:sz w:val="22"/>
          <w:szCs w:val="22"/>
          <w:lang w:eastAsia="en-GB"/>
          <w14:ligatures w14:val="none"/>
        </w:rPr>
        <w:t>: difference between auction yield and pre-auction secondary trading.</w:t>
      </w:r>
    </w:p>
    <w:p w14:paraId="56206D80" w14:textId="77777777" w:rsidR="0032251D" w:rsidRPr="0032251D" w:rsidRDefault="0032251D">
      <w:pPr>
        <w:numPr>
          <w:ilvl w:val="0"/>
          <w:numId w:val="9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Weighted average maturity</w:t>
      </w:r>
      <w:r w:rsidRPr="0032251D">
        <w:rPr>
          <w:rFonts w:ascii="Aptos" w:eastAsia="Times New Roman" w:hAnsi="Aptos" w:cs="Times New Roman"/>
          <w:kern w:val="0"/>
          <w:sz w:val="22"/>
          <w:szCs w:val="22"/>
          <w:lang w:eastAsia="en-GB"/>
          <w14:ligatures w14:val="none"/>
        </w:rPr>
        <w:t xml:space="preserve"> of outstanding debt.</w:t>
      </w:r>
    </w:p>
    <w:p w14:paraId="3515B738" w14:textId="77777777" w:rsidR="0032251D" w:rsidRPr="0032251D" w:rsidRDefault="0032251D">
      <w:pPr>
        <w:numPr>
          <w:ilvl w:val="0"/>
          <w:numId w:val="9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Currency composition</w:t>
      </w:r>
      <w:r w:rsidRPr="0032251D">
        <w:rPr>
          <w:rFonts w:ascii="Aptos" w:eastAsia="Times New Roman" w:hAnsi="Aptos" w:cs="Times New Roman"/>
          <w:kern w:val="0"/>
          <w:sz w:val="22"/>
          <w:szCs w:val="22"/>
          <w:lang w:eastAsia="en-GB"/>
          <w14:ligatures w14:val="none"/>
        </w:rPr>
        <w:t>: domestic vs FX-denominated.</w:t>
      </w:r>
    </w:p>
    <w:p w14:paraId="1D22B284" w14:textId="77777777" w:rsidR="0032251D" w:rsidRPr="0032251D" w:rsidRDefault="0032251D">
      <w:pPr>
        <w:numPr>
          <w:ilvl w:val="0"/>
          <w:numId w:val="9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Holder composition</w:t>
      </w:r>
      <w:r w:rsidRPr="0032251D">
        <w:rPr>
          <w:rFonts w:ascii="Aptos" w:eastAsia="Times New Roman" w:hAnsi="Aptos" w:cs="Times New Roman"/>
          <w:kern w:val="0"/>
          <w:sz w:val="22"/>
          <w:szCs w:val="22"/>
          <w:lang w:eastAsia="en-GB"/>
          <w14:ligatures w14:val="none"/>
        </w:rPr>
        <w:t>: domestic banks, NBFIs, foreigners, central bank. The composition itself is informationally critical.</w:t>
      </w:r>
    </w:p>
    <w:p w14:paraId="57273D41"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06029E39">
          <v:rect id="_x0000_i1114" alt="" style="width:451.3pt;height:.05pt;mso-width-percent:0;mso-height-percent:0;mso-width-percent:0;mso-height-percent:0" o:hralign="center" o:hrstd="t" o:hr="t" fillcolor="#a0a0a0" stroked="f"/>
        </w:pict>
      </w:r>
    </w:p>
    <w:p w14:paraId="1765D58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Why this matters for asset prices</w:t>
      </w:r>
    </w:p>
    <w:p w14:paraId="38BCAF7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sovereign affects asset prices through eight channels — more than any other node in the framework, which is what makes it the master node.</w:t>
      </w:r>
    </w:p>
    <w:p w14:paraId="39A4873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Sovereign bond pricing directly.</w:t>
      </w:r>
      <w:r w:rsidRPr="0032251D">
        <w:rPr>
          <w:rFonts w:ascii="Aptos" w:eastAsia="Times New Roman" w:hAnsi="Aptos" w:cs="Times New Roman"/>
          <w:kern w:val="0"/>
          <w:sz w:val="22"/>
          <w:szCs w:val="22"/>
          <w:lang w:eastAsia="en-GB"/>
          <w14:ligatures w14:val="none"/>
        </w:rPr>
        <w:t xml:space="preserve"> The entire sovereign yield curve flows from L5e — this is the underlying asset for L4a in concrete terms.</w:t>
      </w:r>
    </w:p>
    <w:p w14:paraId="77E4A6D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Risk-free rate concept.</w:t>
      </w:r>
      <w:r w:rsidRPr="0032251D">
        <w:rPr>
          <w:rFonts w:ascii="Aptos" w:eastAsia="Times New Roman" w:hAnsi="Aptos" w:cs="Times New Roman"/>
          <w:kern w:val="0"/>
          <w:sz w:val="22"/>
          <w:szCs w:val="22"/>
          <w:lang w:eastAsia="en-GB"/>
          <w14:ligatures w14:val="none"/>
        </w:rPr>
        <w:t xml:space="preserve"> In DM, sovereign yields are the risk-free benchmark. In EM, sovereigns have credit risk built into yields — there is </w:t>
      </w:r>
      <w:r w:rsidRPr="0032251D">
        <w:rPr>
          <w:rFonts w:ascii="Aptos" w:eastAsia="Times New Roman" w:hAnsi="Aptos" w:cs="Times New Roman"/>
          <w:i/>
          <w:iCs/>
          <w:kern w:val="0"/>
          <w:sz w:val="22"/>
          <w:szCs w:val="22"/>
          <w:lang w:eastAsia="en-GB"/>
          <w14:ligatures w14:val="none"/>
        </w:rPr>
        <w:t>no truly risk-free domestic asset</w:t>
      </w:r>
      <w:r w:rsidRPr="0032251D">
        <w:rPr>
          <w:rFonts w:ascii="Aptos" w:eastAsia="Times New Roman" w:hAnsi="Aptos" w:cs="Times New Roman"/>
          <w:kern w:val="0"/>
          <w:sz w:val="22"/>
          <w:szCs w:val="22"/>
          <w:lang w:eastAsia="en-GB"/>
          <w14:ligatures w14:val="none"/>
        </w:rPr>
        <w:t>. This is a foundational analytical asymmetry between DM and EM portfolio construction.</w:t>
      </w:r>
    </w:p>
    <w:p w14:paraId="19E1801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Credit spreads across the economy.</w:t>
      </w:r>
      <w:r w:rsidRPr="0032251D">
        <w:rPr>
          <w:rFonts w:ascii="Aptos" w:eastAsia="Times New Roman" w:hAnsi="Aptos" w:cs="Times New Roman"/>
          <w:kern w:val="0"/>
          <w:sz w:val="22"/>
          <w:szCs w:val="22"/>
          <w:lang w:eastAsia="en-GB"/>
          <w14:ligatures w14:val="none"/>
        </w:rPr>
        <w:t xml:space="preserve"> Corporate credit is priced as sovereign + corporate spread. Sovereign stress widens </w:t>
      </w:r>
      <w:r w:rsidRPr="0032251D">
        <w:rPr>
          <w:rFonts w:ascii="Aptos" w:eastAsia="Times New Roman" w:hAnsi="Aptos" w:cs="Times New Roman"/>
          <w:i/>
          <w:iCs/>
          <w:kern w:val="0"/>
          <w:sz w:val="22"/>
          <w:szCs w:val="22"/>
          <w:lang w:eastAsia="en-GB"/>
          <w14:ligatures w14:val="none"/>
        </w:rPr>
        <w:t>all</w:t>
      </w:r>
      <w:r w:rsidRPr="0032251D">
        <w:rPr>
          <w:rFonts w:ascii="Aptos" w:eastAsia="Times New Roman" w:hAnsi="Aptos" w:cs="Times New Roman"/>
          <w:kern w:val="0"/>
          <w:sz w:val="22"/>
          <w:szCs w:val="22"/>
          <w:lang w:eastAsia="en-GB"/>
          <w14:ligatures w14:val="none"/>
        </w:rPr>
        <w:t xml:space="preserve"> domestic credit spreads, because corporates cannot trade tighter than their sovereign in own currency. The sovereign ceiling is a soft but real constraint on private credit pricing.</w:t>
      </w:r>
    </w:p>
    <w:p w14:paraId="7AFBC11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FX dynamics.</w:t>
      </w:r>
      <w:r w:rsidRPr="0032251D">
        <w:rPr>
          <w:rFonts w:ascii="Aptos" w:eastAsia="Times New Roman" w:hAnsi="Aptos" w:cs="Times New Roman"/>
          <w:kern w:val="0"/>
          <w:sz w:val="22"/>
          <w:szCs w:val="22"/>
          <w:lang w:eastAsia="en-GB"/>
          <w14:ligatures w14:val="none"/>
        </w:rPr>
        <w:t xml:space="preserve"> Sovereign credit deterioration weakens the currency directly. CDS-FX correlations are high in EM — sovereign stress shocks transmit to FX in the same trading session. The sovereign is the underlying of currency risk.</w:t>
      </w:r>
    </w:p>
    <w:p w14:paraId="272BFEF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Bank equity and credit.</w:t>
      </w:r>
      <w:r w:rsidRPr="0032251D">
        <w:rPr>
          <w:rFonts w:ascii="Aptos" w:eastAsia="Times New Roman" w:hAnsi="Aptos" w:cs="Times New Roman"/>
          <w:kern w:val="0"/>
          <w:sz w:val="22"/>
          <w:szCs w:val="22"/>
          <w:lang w:eastAsia="en-GB"/>
          <w14:ligatures w14:val="none"/>
        </w:rPr>
        <w:t xml:space="preserve"> The sovereign-bank doom loop means sovereign repricing flows through bank balance sheets via held-to-maturity and AFS sovereign holdings. Bank capital deteriorates; bank credit spreads widen; bank equity falls.</w:t>
      </w:r>
    </w:p>
    <w:p w14:paraId="5DE1925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Equity multiples.</w:t>
      </w:r>
      <w:r w:rsidRPr="0032251D">
        <w:rPr>
          <w:rFonts w:ascii="Aptos" w:eastAsia="Times New Roman" w:hAnsi="Aptos" w:cs="Times New Roman"/>
          <w:kern w:val="0"/>
          <w:sz w:val="22"/>
          <w:szCs w:val="22"/>
          <w:lang w:eastAsia="en-GB"/>
          <w14:ligatures w14:val="none"/>
        </w:rPr>
        <w:t xml:space="preserve"> Sovereign yield level and credibility affect equity discount rates. Sovereign stress = higher equity discount rates = lower price/earnings multiples. The sovereign-equity transmission runs through the discount rate channel that L4a already mapped.</w:t>
      </w:r>
    </w:p>
    <w:p w14:paraId="31B6EA92"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Foreign portfolio flows.</w:t>
      </w:r>
      <w:r w:rsidRPr="0032251D">
        <w:rPr>
          <w:rFonts w:ascii="Aptos" w:eastAsia="Times New Roman" w:hAnsi="Aptos" w:cs="Times New Roman"/>
          <w:kern w:val="0"/>
          <w:sz w:val="22"/>
          <w:szCs w:val="22"/>
          <w:lang w:eastAsia="en-GB"/>
          <w14:ligatures w14:val="none"/>
        </w:rPr>
        <w:t xml:space="preserve"> Foreign investor sovereign holdings are sensitive to credit deterioration. Outflows trigger broader EM stress — currency depreciation, equity selling, credit widening. The foreign holder share is itself a state variable that affects how sensitive the system is to global flows.</w:t>
      </w:r>
    </w:p>
    <w:p w14:paraId="51519EE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Implicit guarantees pricing.</w:t>
      </w:r>
      <w:r w:rsidRPr="0032251D">
        <w:rPr>
          <w:rFonts w:ascii="Aptos" w:eastAsia="Times New Roman" w:hAnsi="Aptos" w:cs="Times New Roman"/>
          <w:kern w:val="0"/>
          <w:sz w:val="22"/>
          <w:szCs w:val="22"/>
          <w:lang w:eastAsia="en-GB"/>
          <w14:ligatures w14:val="none"/>
        </w:rPr>
        <w:t xml:space="preserve"> In stress, contingent liabilities become explicit. Sovereign stress fully prices the contingent liability backstop — banking system, SOEs, deposit insurance, public-private partnerships. The Irish 2008 crisis was largely an explosion of </w:t>
      </w:r>
      <w:proofErr w:type="gramStart"/>
      <w:r w:rsidRPr="0032251D">
        <w:rPr>
          <w:rFonts w:ascii="Aptos" w:eastAsia="Times New Roman" w:hAnsi="Aptos" w:cs="Times New Roman"/>
          <w:kern w:val="0"/>
          <w:sz w:val="22"/>
          <w:szCs w:val="22"/>
          <w:lang w:eastAsia="en-GB"/>
          <w14:ligatures w14:val="none"/>
        </w:rPr>
        <w:t>previously-implicit</w:t>
      </w:r>
      <w:proofErr w:type="gramEnd"/>
      <w:r w:rsidRPr="0032251D">
        <w:rPr>
          <w:rFonts w:ascii="Aptos" w:eastAsia="Times New Roman" w:hAnsi="Aptos" w:cs="Times New Roman"/>
          <w:kern w:val="0"/>
          <w:sz w:val="22"/>
          <w:szCs w:val="22"/>
          <w:lang w:eastAsia="en-GB"/>
          <w14:ligatures w14:val="none"/>
        </w:rPr>
        <w:t xml:space="preserve"> contingent liabilities becoming explicit on the sovereign balance sheet.</w:t>
      </w:r>
    </w:p>
    <w:p w14:paraId="434A092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For investment managers four practitioner points dominate. First, sovereign CDS is the cleanest single read on country credit quality — more responsive than ratings, more informative than yield spreads alone. Second, sovereign-bank loop strength is a key EM analytical dimension — banks holding 10-20% of total assets in sovereign debt creates loops that amplify shocks. Third, the r-vs-g framework is the right fiscal sustainability lens, not just debt-to-GDP — a country with 100% debt and r &lt; g is more sustainable than one with 50% debt and r &gt; g. Fourth, foreign holder share is a critical positioning indicator that affects both the level of yields and their volatility.</w:t>
      </w:r>
    </w:p>
    <w:p w14:paraId="0A4D8246"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0A019C01">
          <v:rect id="_x0000_i1115" alt="" style="width:451.3pt;height:.05pt;mso-width-percent:0;mso-height-percent:0;mso-width-percent:0;mso-height-percent:0" o:hralign="center" o:hrstd="t" o:hr="t" fillcolor="#a0a0a0" stroked="f"/>
        </w:pict>
      </w:r>
    </w:p>
    <w:p w14:paraId="5A8B62E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Regime and EM variation</w:t>
      </w:r>
    </w:p>
    <w:p w14:paraId="305D85C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DM and EM sovereigns differ structurally in ways that are larger than for any other L5 node.</w:t>
      </w:r>
    </w:p>
    <w:p w14:paraId="0EE282B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DM sovereigns.</w:t>
      </w:r>
      <w:r w:rsidRPr="0032251D">
        <w:rPr>
          <w:rFonts w:ascii="Aptos" w:eastAsia="Times New Roman" w:hAnsi="Aptos" w:cs="Times New Roman"/>
          <w:kern w:val="0"/>
          <w:sz w:val="22"/>
          <w:szCs w:val="22"/>
          <w:lang w:eastAsia="en-GB"/>
          <w14:ligatures w14:val="none"/>
        </w:rPr>
        <w:t xml:space="preserve"> Generally domestic-currency debt with long maturity profiles (US 30y, UK 50y, Japan ultra-long). Deep secondary markets with extensive primary dealer support. Central bank as ultimate buyer (via QE). Investment grade ratings dominant. Convenience </w:t>
      </w:r>
      <w:proofErr w:type="gramStart"/>
      <w:r w:rsidRPr="0032251D">
        <w:rPr>
          <w:rFonts w:ascii="Aptos" w:eastAsia="Times New Roman" w:hAnsi="Aptos" w:cs="Times New Roman"/>
          <w:kern w:val="0"/>
          <w:sz w:val="22"/>
          <w:szCs w:val="22"/>
          <w:lang w:eastAsia="en-GB"/>
          <w14:ligatures w14:val="none"/>
        </w:rPr>
        <w:t>yield</w:t>
      </w:r>
      <w:proofErr w:type="gramEnd"/>
      <w:r w:rsidRPr="0032251D">
        <w:rPr>
          <w:rFonts w:ascii="Aptos" w:eastAsia="Times New Roman" w:hAnsi="Aptos" w:cs="Times New Roman"/>
          <w:kern w:val="0"/>
          <w:sz w:val="22"/>
          <w:szCs w:val="22"/>
          <w:lang w:eastAsia="en-GB"/>
          <w14:ligatures w14:val="none"/>
        </w:rPr>
        <w:t xml:space="preserve"> positive for safe-haven currencies (USD, EUR, JPY, CHF). Implicit guarantees are credible because of the bank's ability to monetise.</w:t>
      </w:r>
    </w:p>
    <w:p w14:paraId="22BE0C7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EM sovereigns.</w:t>
      </w:r>
      <w:r w:rsidRPr="0032251D">
        <w:rPr>
          <w:rFonts w:ascii="Aptos" w:eastAsia="Times New Roman" w:hAnsi="Aptos" w:cs="Times New Roman"/>
          <w:kern w:val="0"/>
          <w:sz w:val="22"/>
          <w:szCs w:val="22"/>
          <w:lang w:eastAsia="en-GB"/>
          <w14:ligatures w14:val="none"/>
        </w:rPr>
        <w:t xml:space="preserve"> Mixed debt currency composition with shorter maturity profiles. Less liquid secondary markets. Limited central bank QE capacity (both operationally and politically). Ratings from investment grade down to deep speculative. No convenience yield (often negative). Implicit guarantees less credible because of monetisation constraints and fiscal-monetary coordination uncertainty.</w:t>
      </w:r>
    </w:p>
    <w:p w14:paraId="6FEFE99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Specific EM patterns.</w:t>
      </w:r>
    </w:p>
    <w:p w14:paraId="61E256CC" w14:textId="77777777" w:rsidR="0032251D" w:rsidRPr="0032251D" w:rsidRDefault="0032251D">
      <w:pPr>
        <w:numPr>
          <w:ilvl w:val="0"/>
          <w:numId w:val="9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China</w:t>
      </w:r>
      <w:r w:rsidRPr="0032251D">
        <w:rPr>
          <w:rFonts w:ascii="Aptos" w:eastAsia="Times New Roman" w:hAnsi="Aptos" w:cs="Times New Roman"/>
          <w:kern w:val="0"/>
          <w:sz w:val="22"/>
          <w:szCs w:val="22"/>
          <w:lang w:eastAsia="en-GB"/>
          <w14:ligatures w14:val="none"/>
        </w:rPr>
        <w:t>: massive coordination between PBoC and MoF; large LGFV contingent liabilities (estimated 30-60% of GDP, off official debt statistics); opaque. The 2021-2024 property crisis was largely an LGFV-driven sovereign contingent liability event.</w:t>
      </w:r>
    </w:p>
    <w:p w14:paraId="4328A873" w14:textId="77777777" w:rsidR="0032251D" w:rsidRPr="0032251D" w:rsidRDefault="0032251D">
      <w:pPr>
        <w:numPr>
          <w:ilvl w:val="0"/>
          <w:numId w:val="9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Brazil</w:t>
      </w:r>
      <w:r w:rsidRPr="0032251D">
        <w:rPr>
          <w:rFonts w:ascii="Aptos" w:eastAsia="Times New Roman" w:hAnsi="Aptos" w:cs="Times New Roman"/>
          <w:kern w:val="0"/>
          <w:sz w:val="22"/>
          <w:szCs w:val="22"/>
          <w:lang w:eastAsia="en-GB"/>
          <w14:ligatures w14:val="none"/>
        </w:rPr>
        <w:t>: high debt-to-GDP (~75%) with low FX-denominated share — structural strength against currency mismatch. Complex domestic debt market with multiple instrument types (NTN-B, NTN-F, LFT, LTN).</w:t>
      </w:r>
    </w:p>
    <w:p w14:paraId="09D3238A" w14:textId="77777777" w:rsidR="0032251D" w:rsidRPr="0032251D" w:rsidRDefault="0032251D">
      <w:pPr>
        <w:numPr>
          <w:ilvl w:val="0"/>
          <w:numId w:val="9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Mexico</w:t>
      </w:r>
      <w:r w:rsidRPr="0032251D">
        <w:rPr>
          <w:rFonts w:ascii="Aptos" w:eastAsia="Times New Roman" w:hAnsi="Aptos" w:cs="Times New Roman"/>
          <w:kern w:val="0"/>
          <w:sz w:val="22"/>
          <w:szCs w:val="22"/>
          <w:lang w:eastAsia="en-GB"/>
          <w14:ligatures w14:val="none"/>
        </w:rPr>
        <w:t>: relatively conservative fiscal management; high foreign holder share; deep Mbono market.</w:t>
      </w:r>
    </w:p>
    <w:p w14:paraId="04071DDC" w14:textId="77777777" w:rsidR="0032251D" w:rsidRPr="0032251D" w:rsidRDefault="0032251D">
      <w:pPr>
        <w:numPr>
          <w:ilvl w:val="0"/>
          <w:numId w:val="9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Turkey</w:t>
      </w:r>
      <w:r w:rsidRPr="0032251D">
        <w:rPr>
          <w:rFonts w:ascii="Aptos" w:eastAsia="Times New Roman" w:hAnsi="Aptos" w:cs="Times New Roman"/>
          <w:kern w:val="0"/>
          <w:sz w:val="22"/>
          <w:szCs w:val="22"/>
          <w:lang w:eastAsia="en-GB"/>
          <w14:ligatures w14:val="none"/>
        </w:rPr>
        <w:t>: external debt mostly in FX; recurring stress episodes; sovereign-bank loop activated repeatedly.</w:t>
      </w:r>
    </w:p>
    <w:p w14:paraId="2011214B" w14:textId="77777777" w:rsidR="0032251D" w:rsidRPr="0032251D" w:rsidRDefault="0032251D">
      <w:pPr>
        <w:numPr>
          <w:ilvl w:val="0"/>
          <w:numId w:val="9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Argentina</w:t>
      </w:r>
      <w:r w:rsidRPr="0032251D">
        <w:rPr>
          <w:rFonts w:ascii="Aptos" w:eastAsia="Times New Roman" w:hAnsi="Aptos" w:cs="Times New Roman"/>
          <w:kern w:val="0"/>
          <w:sz w:val="22"/>
          <w:szCs w:val="22"/>
          <w:lang w:eastAsia="en-GB"/>
          <w14:ligatures w14:val="none"/>
        </w:rPr>
        <w:t>: serial defaulter (9 sovereign defaults in 200 years); multiple parallel exchange rates; hyperinflation episodes; structural fiscal dominance.</w:t>
      </w:r>
    </w:p>
    <w:p w14:paraId="4C36FFB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SA specifically.</w:t>
      </w:r>
      <w:r w:rsidRPr="0032251D">
        <w:rPr>
          <w:rFonts w:ascii="Aptos" w:eastAsia="Times New Roman" w:hAnsi="Aptos" w:cs="Times New Roman"/>
          <w:kern w:val="0"/>
          <w:sz w:val="22"/>
          <w:szCs w:val="22"/>
          <w:lang w:eastAsia="en-GB"/>
          <w14:ligatures w14:val="none"/>
        </w:rPr>
        <w:t xml:space="preserve"> The SA sovereign is currently the most fiscally stressed in the SARB-relevant EM panel. Debt-to-GDP rose from ~30% pre-2008 to ~75% by 2024 — the fastest sustained deterioration among major EMs. Lost investment grade rating across all three agencies between 2017 and 2020 (S&amp;P 2017, Fitch 2017, Moody's 2020). Major contingent liabilities: Eskom (the electricity utility, repeatedly bailed out), Transnet (rail and ports), SAA (defunct airline, multiple bailouts), and several other parastatals. The sovereign has effectively absorbed these contingent liabilities through guarantees, debt assumptions, and direct bailouts. Foreign holder share peaked above 40% pre-2018 and has declined to ~20% — a structural deleveraging of foreign positioning that reduces stress sensitivity but also reduces market depth. The Public Investment Corporation (PIC) is the single largest holder of SAGBs, creating a sovereign-NBFI loop that is unique to the SA architecture. The Big Four banks are significant SAGB holders, completing a tight sovereign-bank loop. SARB cannot run QE in any meaningful monetary stance sense — both operationally (limited balance sheet capacity) and credibility-wise (would be read as monetary financing of deficits). The 10y SAGB-10y UST spread sits in the 400-500bp range and encompasses rate differential, credit premium, and currency risk simultaneously.</w:t>
      </w:r>
    </w:p>
    <w:p w14:paraId="74FC84D6"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7F327296">
          <v:rect id="_x0000_i1116" alt="" style="width:451.3pt;height:.05pt;mso-width-percent:0;mso-height-percent:0;mso-width-percent:0;mso-height-percent:0" o:hralign="center" o:hrstd="t" o:hr="t" fillcolor="#a0a0a0" stroked="f"/>
        </w:pict>
      </w:r>
    </w:p>
    <w:p w14:paraId="16810DE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Empirical pitfalls</w:t>
      </w:r>
    </w:p>
    <w:p w14:paraId="6FFE98F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Debt definition variation.</w:t>
      </w:r>
      <w:r w:rsidRPr="0032251D">
        <w:rPr>
          <w:rFonts w:ascii="Aptos" w:eastAsia="Times New Roman" w:hAnsi="Aptos" w:cs="Times New Roman"/>
          <w:kern w:val="0"/>
          <w:sz w:val="22"/>
          <w:szCs w:val="22"/>
          <w:lang w:eastAsia="en-GB"/>
          <w14:ligatures w14:val="none"/>
        </w:rPr>
        <w:t xml:space="preserve"> Gross vs net, general government vs public sector, on vs off-balance-sheet. Different definitions produce materially different debt-to-GDP ratios. Cross-country comparisons require careful normalisation.</w:t>
      </w:r>
    </w:p>
    <w:p w14:paraId="153E9A2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Contingent liabilities measurement.</w:t>
      </w:r>
      <w:r w:rsidRPr="0032251D">
        <w:rPr>
          <w:rFonts w:ascii="Aptos" w:eastAsia="Times New Roman" w:hAnsi="Aptos" w:cs="Times New Roman"/>
          <w:kern w:val="0"/>
          <w:sz w:val="22"/>
          <w:szCs w:val="22"/>
          <w:lang w:eastAsia="en-GB"/>
          <w14:ligatures w14:val="none"/>
        </w:rPr>
        <w:t xml:space="preserve"> Implicit guarantees are not on balance sheet but represent real obligations. SOE debt, parastatal guarantees, deposit insurance contingent claims, public-private partnership obligations — all materially affect sovereign solvency but are typically off the headline number. The Chinese LGFV situation is the most extreme case (estimates range 30-60% of GDP); SA's parastatal complex is a meaningful but smaller version.</w:t>
      </w:r>
    </w:p>
    <w:p w14:paraId="1DAD08B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Cross-country comparison difficulties.</w:t>
      </w:r>
      <w:r w:rsidRPr="0032251D">
        <w:rPr>
          <w:rFonts w:ascii="Aptos" w:eastAsia="Times New Roman" w:hAnsi="Aptos" w:cs="Times New Roman"/>
          <w:kern w:val="0"/>
          <w:sz w:val="22"/>
          <w:szCs w:val="22"/>
          <w:lang w:eastAsia="en-GB"/>
          <w14:ligatures w14:val="none"/>
        </w:rPr>
        <w:t xml:space="preserve"> Off-balance-sheet treatment differs; consolidation rules differ; pension and social security accounting differs. The IMF General Government measure is the closest to standardised but still leaves significant discrepancies.</w:t>
      </w:r>
    </w:p>
    <w:p w14:paraId="1234049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Real-time fiscal data.</w:t>
      </w:r>
      <w:r w:rsidRPr="0032251D">
        <w:rPr>
          <w:rFonts w:ascii="Aptos" w:eastAsia="Times New Roman" w:hAnsi="Aptos" w:cs="Times New Roman"/>
          <w:kern w:val="0"/>
          <w:sz w:val="22"/>
          <w:szCs w:val="22"/>
          <w:lang w:eastAsia="en-GB"/>
          <w14:ligatures w14:val="none"/>
        </w:rPr>
        <w:t xml:space="preserve"> Government accounts published with lag (typically 1-3 months for cash measures, 6-12 months for accrual measures). Often revised significantly. This makes real-time fiscal dissonance harder to measure than market dissonance.</w:t>
      </w:r>
    </w:p>
    <w:p w14:paraId="70A0B97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Implicit FX exposure of local currency debt.</w:t>
      </w:r>
      <w:r w:rsidRPr="0032251D">
        <w:rPr>
          <w:rFonts w:ascii="Aptos" w:eastAsia="Times New Roman" w:hAnsi="Aptos" w:cs="Times New Roman"/>
          <w:kern w:val="0"/>
          <w:sz w:val="22"/>
          <w:szCs w:val="22"/>
          <w:lang w:eastAsia="en-GB"/>
          <w14:ligatures w14:val="none"/>
        </w:rPr>
        <w:t xml:space="preserve"> Even local currency debt has implicit FX exposure when foreign-held — foreign investors price the currency risk and reprice in dollar terms during stress. The "local currency debt is risk-free in own currency" claim is technically true but operationally misleading.</w:t>
      </w:r>
    </w:p>
    <w:p w14:paraId="60F9102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Maturity structure interaction.</w:t>
      </w:r>
      <w:r w:rsidRPr="0032251D">
        <w:rPr>
          <w:rFonts w:ascii="Aptos" w:eastAsia="Times New Roman" w:hAnsi="Aptos" w:cs="Times New Roman"/>
          <w:kern w:val="0"/>
          <w:sz w:val="22"/>
          <w:szCs w:val="22"/>
          <w:lang w:eastAsia="en-GB"/>
          <w14:ligatures w14:val="none"/>
        </w:rPr>
        <w:t xml:space="preserve"> Short-term debt creates refinancing risk; long-term debt creates duration risk. Different maturity profiles imply different stress signatures. SA has lengthened average maturity over the past decade — a meaningful structural improvement that reduces refinancing risk.</w:t>
      </w:r>
    </w:p>
    <w:p w14:paraId="4DEDB24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SOE/parastatal consolidation.</w:t>
      </w:r>
      <w:r w:rsidRPr="0032251D">
        <w:rPr>
          <w:rFonts w:ascii="Aptos" w:eastAsia="Times New Roman" w:hAnsi="Aptos" w:cs="Times New Roman"/>
          <w:kern w:val="0"/>
          <w:sz w:val="22"/>
          <w:szCs w:val="22"/>
          <w:lang w:eastAsia="en-GB"/>
          <w14:ligatures w14:val="none"/>
        </w:rPr>
        <w:t xml:space="preserve"> SOEs may or may not be consolidated in headline debt depending on country accounting practice. For SA, Eskom and Transnet debt is partially guaranteed but not formally consolidated, creating ambiguity in the true sovereign exposure number.</w:t>
      </w:r>
    </w:p>
    <w:p w14:paraId="32DC851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Off-budget items.</w:t>
      </w:r>
      <w:r w:rsidRPr="0032251D">
        <w:rPr>
          <w:rFonts w:ascii="Aptos" w:eastAsia="Times New Roman" w:hAnsi="Aptos" w:cs="Times New Roman"/>
          <w:kern w:val="0"/>
          <w:sz w:val="22"/>
          <w:szCs w:val="22"/>
          <w:lang w:eastAsia="en-GB"/>
          <w14:ligatures w14:val="none"/>
        </w:rPr>
        <w:t xml:space="preserve"> Military spending, social security, deferred pension obligations, and contingent claims are often in separate accounts. Comprehensive fiscal assessment requires reconstructing the full picture.</w:t>
      </w:r>
    </w:p>
    <w:p w14:paraId="50EB7C0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CDS-bond basis.</w:t>
      </w:r>
      <w:r w:rsidRPr="0032251D">
        <w:rPr>
          <w:rFonts w:ascii="Aptos" w:eastAsia="Times New Roman" w:hAnsi="Aptos" w:cs="Times New Roman"/>
          <w:kern w:val="0"/>
          <w:sz w:val="22"/>
          <w:szCs w:val="22"/>
          <w:lang w:eastAsia="en-GB"/>
          <w14:ligatures w14:val="none"/>
        </w:rPr>
        <w:t xml:space="preserve"> Sovereign CDS and bond spreads can diverge meaningfully — different liquidity, different ownership structures, different sensitivities. Neither is necessarily wrong; they measure related but distinct things.</w:t>
      </w:r>
    </w:p>
    <w:p w14:paraId="75021838"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31850E0B">
          <v:rect id="_x0000_i1117" alt="" style="width:451.3pt;height:.05pt;mso-width-percent:0;mso-height-percent:0;mso-width-percent:0;mso-height-percent:0" o:hralign="center" o:hrstd="t" o:hr="t" fillcolor="#a0a0a0" stroked="f"/>
        </w:pict>
      </w:r>
    </w:p>
    <w:p w14:paraId="6C6809F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Where dissonance lives</w:t>
      </w:r>
    </w:p>
    <w:p w14:paraId="6E5318A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Within L5e:</w:t>
      </w:r>
    </w:p>
    <w:p w14:paraId="04E69DD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Intra-node.</w:t>
      </w:r>
      <w:r w:rsidRPr="0032251D">
        <w:rPr>
          <w:rFonts w:ascii="Aptos" w:eastAsia="Times New Roman" w:hAnsi="Aptos" w:cs="Times New Roman"/>
          <w:kern w:val="0"/>
          <w:sz w:val="22"/>
          <w:szCs w:val="22"/>
          <w:lang w:eastAsia="en-GB"/>
          <w14:ligatures w14:val="none"/>
        </w:rPr>
        <w:t xml:space="preserve"> Debt sustainability metrics, market pricing, rating agency views, and fiscal flow data should jointly imply a consistent sovereign credit reading.</w:t>
      </w:r>
    </w:p>
    <w:p w14:paraId="1E42C1E3" w14:textId="77777777" w:rsidR="0032251D" w:rsidRPr="0032251D" w:rsidRDefault="0032251D">
      <w:pPr>
        <w:numPr>
          <w:ilvl w:val="0"/>
          <w:numId w:val="9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Dissonance: CDS prices a tail that rating agencies have not yet recognised (or vice versa). The 2017 SA downgrade cycle showed both directions — markets sometimes leading agencies, sometimes lagging.</w:t>
      </w:r>
    </w:p>
    <w:p w14:paraId="0214E774" w14:textId="77777777" w:rsidR="0032251D" w:rsidRPr="0032251D" w:rsidRDefault="0032251D">
      <w:pPr>
        <w:numPr>
          <w:ilvl w:val="0"/>
          <w:numId w:val="9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Dissonance: stated debt-to-GDP stable but contingent liabilities expanding. The headline number is fine; the true exposure is deteriorating. SA's parastatal complex is a textbook case.</w:t>
      </w:r>
    </w:p>
    <w:p w14:paraId="76FFF347" w14:textId="77777777" w:rsidR="0032251D" w:rsidRPr="0032251D" w:rsidRDefault="0032251D">
      <w:pPr>
        <w:numPr>
          <w:ilvl w:val="0"/>
          <w:numId w:val="9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Dissonance: primary balance stated to be tightening but composition deteriorating — capex being cut while consumption spending grows.</w:t>
      </w:r>
    </w:p>
    <w:p w14:paraId="5424D617" w14:textId="77777777" w:rsidR="0032251D" w:rsidRPr="0032251D" w:rsidRDefault="0032251D">
      <w:pPr>
        <w:numPr>
          <w:ilvl w:val="0"/>
          <w:numId w:val="9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Dissonance: r vs g framework implies </w:t>
      </w:r>
      <w:proofErr w:type="gramStart"/>
      <w:r w:rsidRPr="0032251D">
        <w:rPr>
          <w:rFonts w:ascii="Aptos" w:eastAsia="Times New Roman" w:hAnsi="Aptos" w:cs="Times New Roman"/>
          <w:kern w:val="0"/>
          <w:sz w:val="22"/>
          <w:szCs w:val="22"/>
          <w:lang w:eastAsia="en-GB"/>
          <w14:ligatures w14:val="none"/>
        </w:rPr>
        <w:t>sustainability</w:t>
      </w:r>
      <w:proofErr w:type="gramEnd"/>
      <w:r w:rsidRPr="0032251D">
        <w:rPr>
          <w:rFonts w:ascii="Aptos" w:eastAsia="Times New Roman" w:hAnsi="Aptos" w:cs="Times New Roman"/>
          <w:kern w:val="0"/>
          <w:sz w:val="22"/>
          <w:szCs w:val="22"/>
          <w:lang w:eastAsia="en-GB"/>
          <w14:ligatures w14:val="none"/>
        </w:rPr>
        <w:t xml:space="preserve"> but market pricing implies stress — or the reverse.</w:t>
      </w:r>
    </w:p>
    <w:p w14:paraId="24362552" w14:textId="77777777" w:rsidR="0032251D" w:rsidRPr="0032251D" w:rsidRDefault="0032251D">
      <w:pPr>
        <w:numPr>
          <w:ilvl w:val="0"/>
          <w:numId w:val="9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lastRenderedPageBreak/>
        <w:t>Dissonance: auction take-up healthy but holder composition concentrating — domestic absorption masking foreign retreat.</w:t>
      </w:r>
    </w:p>
    <w:p w14:paraId="4C428305"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upward.</w:t>
      </w:r>
    </w:p>
    <w:p w14:paraId="2EA9348E" w14:textId="77777777" w:rsidR="0032251D" w:rsidRPr="0032251D" w:rsidRDefault="0032251D">
      <w:pPr>
        <w:numPr>
          <w:ilvl w:val="0"/>
          <w:numId w:val="10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L1 → L5e: For banks with fiscal-dominance concerns, sovereign stress should be consistent with the rule's δ/λ weighting. Dissonance: sovereign yields rise on rate hikes — the fiscal dominance signature contradicting standard rule transmission.</w:t>
      </w:r>
    </w:p>
    <w:p w14:paraId="2C51E7FB" w14:textId="77777777" w:rsidR="0032251D" w:rsidRPr="0032251D" w:rsidRDefault="0032251D">
      <w:pPr>
        <w:numPr>
          <w:ilvl w:val="0"/>
          <w:numId w:val="10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L2 → L5e: Fiscal dominance is the most acute constraint. Dissonance: fiscal arithmetic is </w:t>
      </w:r>
      <w:proofErr w:type="gramStart"/>
      <w:r w:rsidRPr="0032251D">
        <w:rPr>
          <w:rFonts w:ascii="Aptos" w:eastAsia="Times New Roman" w:hAnsi="Aptos" w:cs="Times New Roman"/>
          <w:kern w:val="0"/>
          <w:sz w:val="22"/>
          <w:szCs w:val="22"/>
          <w:lang w:eastAsia="en-GB"/>
          <w14:ligatures w14:val="none"/>
        </w:rPr>
        <w:t>unsustainable</w:t>
      </w:r>
      <w:proofErr w:type="gramEnd"/>
      <w:r w:rsidRPr="0032251D">
        <w:rPr>
          <w:rFonts w:ascii="Aptos" w:eastAsia="Times New Roman" w:hAnsi="Aptos" w:cs="Times New Roman"/>
          <w:kern w:val="0"/>
          <w:sz w:val="22"/>
          <w:szCs w:val="22"/>
          <w:lang w:eastAsia="en-GB"/>
          <w14:ligatures w14:val="none"/>
        </w:rPr>
        <w:t xml:space="preserve"> but the reaction function treats fiscal as exogenous.</w:t>
      </w:r>
    </w:p>
    <w:p w14:paraId="5D3D4B18" w14:textId="77777777" w:rsidR="0032251D" w:rsidRPr="0032251D" w:rsidRDefault="0032251D">
      <w:pPr>
        <w:numPr>
          <w:ilvl w:val="0"/>
          <w:numId w:val="10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L3a → L5e: Rate raises sovereign funding costs. Dissonance: rate hike raises sovereign CDS more than yields imply — fiscal sustainability concern emerging.</w:t>
      </w:r>
    </w:p>
    <w:p w14:paraId="1376B96E" w14:textId="77777777" w:rsidR="0032251D" w:rsidRPr="0032251D" w:rsidRDefault="0032251D">
      <w:pPr>
        <w:numPr>
          <w:ilvl w:val="0"/>
          <w:numId w:val="10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L3b → L5e: QE absorbs sovereign issuance, lowering funding costs. Dissonance: QE active but sovereign spreads widen — fiscal dominance signal.</w:t>
      </w:r>
    </w:p>
    <w:p w14:paraId="4CB45F0B" w14:textId="77777777" w:rsidR="0032251D" w:rsidRPr="0032251D" w:rsidRDefault="0032251D">
      <w:pPr>
        <w:numPr>
          <w:ilvl w:val="0"/>
          <w:numId w:val="10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L3c → L5e: Guidance shapes sovereign issuance strategy and demand. Dissonance: sovereign issuance facing weak demand despite supportive guidance — credibility deficit.</w:t>
      </w:r>
    </w:p>
    <w:p w14:paraId="3EAEF7AC" w14:textId="77777777" w:rsidR="0032251D" w:rsidRPr="0032251D" w:rsidRDefault="0032251D">
      <w:pPr>
        <w:numPr>
          <w:ilvl w:val="0"/>
          <w:numId w:val="10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L3d → L5e: Intervention burns reserves, affecting sovereign external balance sheet. Dissonance: reserves declining </w:t>
      </w:r>
      <w:proofErr w:type="gramStart"/>
      <w:r w:rsidRPr="0032251D">
        <w:rPr>
          <w:rFonts w:ascii="Aptos" w:eastAsia="Times New Roman" w:hAnsi="Aptos" w:cs="Times New Roman"/>
          <w:kern w:val="0"/>
          <w:sz w:val="22"/>
          <w:szCs w:val="22"/>
          <w:lang w:eastAsia="en-GB"/>
          <w14:ligatures w14:val="none"/>
        </w:rPr>
        <w:t>fast</w:t>
      </w:r>
      <w:proofErr w:type="gramEnd"/>
      <w:r w:rsidRPr="0032251D">
        <w:rPr>
          <w:rFonts w:ascii="Aptos" w:eastAsia="Times New Roman" w:hAnsi="Aptos" w:cs="Times New Roman"/>
          <w:kern w:val="0"/>
          <w:sz w:val="22"/>
          <w:szCs w:val="22"/>
          <w:lang w:eastAsia="en-GB"/>
          <w14:ligatures w14:val="none"/>
        </w:rPr>
        <w:t xml:space="preserve"> but sovereign CDS does not price the stress.</w:t>
      </w:r>
    </w:p>
    <w:p w14:paraId="596050A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peer (L4 markets).</w:t>
      </w:r>
    </w:p>
    <w:p w14:paraId="5F042330" w14:textId="77777777" w:rsidR="0032251D" w:rsidRPr="0032251D" w:rsidRDefault="0032251D">
      <w:pPr>
        <w:numPr>
          <w:ilvl w:val="0"/>
          <w:numId w:val="10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L4a ↔ L5e: Curve is largely sovereign yields. Sovereign yields decoupling from curve = CDS-bond basis blowing out, segmentation.</w:t>
      </w:r>
    </w:p>
    <w:p w14:paraId="3CC6CB91" w14:textId="77777777" w:rsidR="0032251D" w:rsidRPr="0032251D" w:rsidRDefault="0032251D">
      <w:pPr>
        <w:numPr>
          <w:ilvl w:val="0"/>
          <w:numId w:val="10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L4b ↔ L5e: Sovereign FX exposure via debt composition. FX weakening with sovereign spreads widening = currency mismatch in sovereign making explicit.</w:t>
      </w:r>
    </w:p>
    <w:p w14:paraId="317C5F6E" w14:textId="77777777" w:rsidR="0032251D" w:rsidRPr="0032251D" w:rsidRDefault="0032251D">
      <w:pPr>
        <w:numPr>
          <w:ilvl w:val="0"/>
          <w:numId w:val="10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L4d ↔ L5e: Sovereign CDS vol. Sovereign vol decoupling from rates vol = tail-risk pricing intensifying.</w:t>
      </w:r>
    </w:p>
    <w:p w14:paraId="0B65CC1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peer (L5 intermediaries).</w:t>
      </w:r>
    </w:p>
    <w:p w14:paraId="5B525821" w14:textId="77777777" w:rsidR="0032251D" w:rsidRPr="0032251D" w:rsidRDefault="0032251D">
      <w:pPr>
        <w:numPr>
          <w:ilvl w:val="0"/>
          <w:numId w:val="10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L5a ↔ L5e: Doom loop — bank holdings of sovereign debt. Sovereign stress without bank stress = loop weak; bank stress without sovereign stress = bank-specific factor.</w:t>
      </w:r>
    </w:p>
    <w:p w14:paraId="010BCD6C" w14:textId="77777777" w:rsidR="0032251D" w:rsidRPr="0032251D" w:rsidRDefault="0032251D">
      <w:pPr>
        <w:numPr>
          <w:ilvl w:val="0"/>
          <w:numId w:val="10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L5b ↔ L5e: NBFI holds sovereign debt. NBFI selling sovereign positions during stress (UK LDI 2022) creates self-reinforcing pressure.</w:t>
      </w:r>
    </w:p>
    <w:p w14:paraId="3CD45D22" w14:textId="77777777" w:rsidR="0032251D" w:rsidRPr="0032251D" w:rsidRDefault="0032251D">
      <w:pPr>
        <w:numPr>
          <w:ilvl w:val="0"/>
          <w:numId w:val="10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L5c ↔ L5e: Dealers are primary dealers of sovereign debt. Sovereign issuance with dealer absorption failure (UK 2022) signals primary market dysfunction.</w:t>
      </w:r>
    </w:p>
    <w:p w14:paraId="3A05C455" w14:textId="77777777" w:rsidR="0032251D" w:rsidRPr="0032251D" w:rsidRDefault="0032251D">
      <w:pPr>
        <w:numPr>
          <w:ilvl w:val="0"/>
          <w:numId w:val="10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L5d ↔ L5e: Tax base; fiscal arithmetic depends on private-sector strength. Sovereign stress without private-sector stress = sovereign-specific (debt overhang); private-sector stress without sovereign stress = sovereign holding back tax decline through borrowing.</w:t>
      </w:r>
    </w:p>
    <w:p w14:paraId="0A49D42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w:t>
      </w:r>
    </w:p>
    <w:p w14:paraId="4D5CF638" w14:textId="77777777" w:rsidR="0032251D" w:rsidRPr="0032251D" w:rsidRDefault="0032251D">
      <w:pPr>
        <w:numPr>
          <w:ilvl w:val="0"/>
          <w:numId w:val="10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L5e → L6: Sovereign credit expectations; rating agency views vs CDS-implied default probabilities diverging = heterogeneous beliefs.</w:t>
      </w:r>
    </w:p>
    <w:p w14:paraId="025EAD92" w14:textId="77777777" w:rsidR="0032251D" w:rsidRPr="0032251D" w:rsidRDefault="0032251D">
      <w:pPr>
        <w:numPr>
          <w:ilvl w:val="0"/>
          <w:numId w:val="10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L5e → L7: Sovereign yields and CDS feed FCI. Sovereign stress without FCI response = FCI under-weighting sovereign channel (especially relevant in EM).</w:t>
      </w:r>
    </w:p>
    <w:p w14:paraId="05356ABF" w14:textId="77777777" w:rsidR="0032251D" w:rsidRPr="0032251D" w:rsidRDefault="0032251D">
      <w:pPr>
        <w:numPr>
          <w:ilvl w:val="0"/>
          <w:numId w:val="10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L5e → L8: Sovereign risk premium. Sovereign deterioration without sovereign-premium widening = repricing lagging.</w:t>
      </w:r>
    </w:p>
    <w:p w14:paraId="6D4CD769" w14:textId="77777777" w:rsidR="0032251D" w:rsidRPr="0032251D" w:rsidRDefault="0032251D">
      <w:pPr>
        <w:numPr>
          <w:ilvl w:val="0"/>
          <w:numId w:val="10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L5e → L9: Sovereign stress hits sovereign bonds, currency, equity directly. Stress without sovereign-asset response = segmentation.</w:t>
      </w:r>
    </w:p>
    <w:p w14:paraId="37F0C68F" w14:textId="77777777" w:rsidR="0032251D" w:rsidRPr="0032251D" w:rsidRDefault="0032251D">
      <w:pPr>
        <w:numPr>
          <w:ilvl w:val="0"/>
          <w:numId w:val="10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lastRenderedPageBreak/>
        <w:t>L5e → L10a: Sovereign fiscal stance affects demand directly. Sovereign stress without fiscal-multiplier transmission = constrained fiscal response.</w:t>
      </w:r>
    </w:p>
    <w:p w14:paraId="2AFE320B" w14:textId="77777777" w:rsidR="0032251D" w:rsidRPr="0032251D" w:rsidRDefault="0032251D">
      <w:pPr>
        <w:numPr>
          <w:ilvl w:val="0"/>
          <w:numId w:val="10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L5e → L10b: Sovereign-bank loop is the key stability channel. Sovereign stress without bank-system stress = loop weak; sovereign stress with cascading stress = loop active.</w:t>
      </w:r>
    </w:p>
    <w:p w14:paraId="74D29E85" w14:textId="77777777" w:rsidR="0032251D" w:rsidRPr="0032251D" w:rsidRDefault="0032251D">
      <w:pPr>
        <w:numPr>
          <w:ilvl w:val="0"/>
          <w:numId w:val="10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L5e → L10c: Sovereign stress exports via cross-border holdings and contagion. Sovereign stress contained = no spillover; sovereign stress with regional contagion = active spillover.</w:t>
      </w:r>
    </w:p>
    <w:p w14:paraId="4F183BF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The L5e node is the </w:t>
      </w:r>
      <w:r w:rsidRPr="0032251D">
        <w:rPr>
          <w:rFonts w:ascii="Aptos" w:eastAsia="Times New Roman" w:hAnsi="Aptos" w:cs="Times New Roman"/>
          <w:i/>
          <w:iCs/>
          <w:kern w:val="0"/>
          <w:sz w:val="22"/>
          <w:szCs w:val="22"/>
          <w:lang w:eastAsia="en-GB"/>
          <w14:ligatures w14:val="none"/>
        </w:rPr>
        <w:t>master node</w:t>
      </w:r>
      <w:r w:rsidRPr="0032251D">
        <w:rPr>
          <w:rFonts w:ascii="Aptos" w:eastAsia="Times New Roman" w:hAnsi="Aptos" w:cs="Times New Roman"/>
          <w:kern w:val="0"/>
          <w:sz w:val="22"/>
          <w:szCs w:val="22"/>
          <w:lang w:eastAsia="en-GB"/>
          <w14:ligatures w14:val="none"/>
        </w:rPr>
        <w:t xml:space="preserve"> in EM crisis dynamics. Its position in the framework is unique because dissonance at L5e propagates to almost every other node simultaneously — sovereign stress flows through banks (doom loop), through FX (credit-currency correlation), through markets (sovereign yields and CDS), through inflation expectations (FTPL channel), and through real economy (fiscal multiplier). This is what the Chinese property crisis (2021-2024) demonstrated most cleanly: LGFV contingent liability stress was a sovereign event in masked form, and only a full Level 4 framework that explicitly models the sovereign-bank-developer-shadow banking cascade makes the connections visible. Shallower decompositions that treat sovereign as exogenous miss the most important channels.</w:t>
      </w:r>
    </w:p>
    <w:p w14:paraId="6FC06E7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For SA specifically, the sovereign is the most fiscally stressed node in the framework as currently estimated. The combination of rising debt-to-GDP, contingent liability accumulation through parastatals, declining foreign holder share, and the tight sovereign-bank-PIC loop creates a structurally fragile setup. SARB's monetary policy operates against this backdrop — every rate decision interacts with fiscal arithmetic in ways that constrain the bank's degrees of freedom. The dissonance framework will need to track sovereign indicators (CDS, r vs g, contingent liability metrics, foreign holder share) as a </w:t>
      </w:r>
      <w:r w:rsidRPr="0032251D">
        <w:rPr>
          <w:rFonts w:ascii="Aptos" w:eastAsia="Times New Roman" w:hAnsi="Aptos" w:cs="Times New Roman"/>
          <w:i/>
          <w:iCs/>
          <w:kern w:val="0"/>
          <w:sz w:val="22"/>
          <w:szCs w:val="22"/>
          <w:lang w:eastAsia="en-GB"/>
          <w14:ligatures w14:val="none"/>
        </w:rPr>
        <w:t>primary</w:t>
      </w:r>
      <w:r w:rsidRPr="0032251D">
        <w:rPr>
          <w:rFonts w:ascii="Aptos" w:eastAsia="Times New Roman" w:hAnsi="Aptos" w:cs="Times New Roman"/>
          <w:kern w:val="0"/>
          <w:sz w:val="22"/>
          <w:szCs w:val="22"/>
          <w:lang w:eastAsia="en-GB"/>
          <w14:ligatures w14:val="none"/>
        </w:rPr>
        <w:t xml:space="preserve"> set of inputs to the SA composite, not as a secondary risk overlay. For the </w:t>
      </w:r>
      <w:proofErr w:type="gramStart"/>
      <w:r w:rsidRPr="0032251D">
        <w:rPr>
          <w:rFonts w:ascii="Aptos" w:eastAsia="Times New Roman" w:hAnsi="Aptos" w:cs="Times New Roman"/>
          <w:kern w:val="0"/>
          <w:sz w:val="22"/>
          <w:szCs w:val="22"/>
          <w:lang w:eastAsia="en-GB"/>
          <w14:ligatures w14:val="none"/>
        </w:rPr>
        <w:t>panel as a whole, the</w:t>
      </w:r>
      <w:proofErr w:type="gramEnd"/>
      <w:r w:rsidRPr="0032251D">
        <w:rPr>
          <w:rFonts w:ascii="Aptos" w:eastAsia="Times New Roman" w:hAnsi="Aptos" w:cs="Times New Roman"/>
          <w:kern w:val="0"/>
          <w:sz w:val="22"/>
          <w:szCs w:val="22"/>
          <w:lang w:eastAsia="en-GB"/>
          <w14:ligatures w14:val="none"/>
        </w:rPr>
        <w:t xml:space="preserve"> sovereign node likely carries the most predictive weight for the dissonance composite in EM, while playing a more secondary role in DM where fiscal dominance is structurally weaker but still increasingly relevant as DM debt levels have risen.</w:t>
      </w:r>
    </w:p>
    <w:p w14:paraId="445B4E08" w14:textId="77777777" w:rsidR="0032251D" w:rsidRPr="00B84586"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This concludes the L5 intermediary layer. The framework now has all five intermediary nodes specified — banks (the credit transmitter), NBFIs (the post-2008 risk migration node), dealers (the market plumbing node), households and corporates (the demand-side node), and the sovereign (the master node). The next layer is L6 — expectations — which integrates how all five intermediaries' decisions and the L4 market prices generate beliefs about future states.</w:t>
      </w:r>
    </w:p>
    <w:p w14:paraId="0EF4DBFC" w14:textId="77777777" w:rsidR="0032251D" w:rsidRPr="00B84586"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654C0B35" w14:textId="77777777" w:rsidR="0032251D" w:rsidRPr="00B84586"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6E84937C" w14:textId="77777777" w:rsidR="0032251D" w:rsidRPr="00B84586"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77B3C75C" w14:textId="77777777" w:rsidR="0032251D" w:rsidRPr="00B84586"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197AF5E5" w14:textId="77777777" w:rsidR="0032251D" w:rsidRPr="00B84586"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0D90F102" w14:textId="77777777" w:rsidR="0032251D" w:rsidRPr="00B84586"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52688E01" w14:textId="77777777" w:rsidR="0032251D" w:rsidRPr="00B84586"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3567674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0E6BBBDA" w14:textId="77777777" w:rsidR="0032251D" w:rsidRPr="0032251D" w:rsidRDefault="0032251D" w:rsidP="0032251D">
      <w:pPr>
        <w:spacing w:before="100" w:beforeAutospacing="1" w:after="100" w:afterAutospacing="1" w:line="240" w:lineRule="auto"/>
        <w:jc w:val="center"/>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lastRenderedPageBreak/>
        <w:t>Level 6 — Expectations</w:t>
      </w:r>
    </w:p>
    <w:p w14:paraId="5612596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Definition.</w:t>
      </w:r>
      <w:r w:rsidRPr="0032251D">
        <w:rPr>
          <w:rFonts w:ascii="Aptos" w:eastAsia="Times New Roman" w:hAnsi="Aptos" w:cs="Times New Roman"/>
          <w:kern w:val="0"/>
          <w:sz w:val="22"/>
          <w:szCs w:val="22"/>
          <w:lang w:eastAsia="en-GB"/>
          <w14:ligatures w14:val="none"/>
        </w:rPr>
        <w:t xml:space="preserve"> Expectations are beliefs about future states — future inflation, growth, policy rates, asset prices, default probabilities — held by economic agents and aggregated into prices and decisions. They are the cognitive bridge between current observable conditions and forward-looking choices: how much to save, where to invest, what rate to charge, what wage to demand. The L6 node integrates beliefs from multiple sources: </w:t>
      </w:r>
      <w:r w:rsidRPr="0032251D">
        <w:rPr>
          <w:rFonts w:ascii="Aptos" w:eastAsia="Times New Roman" w:hAnsi="Aptos" w:cs="Times New Roman"/>
          <w:i/>
          <w:iCs/>
          <w:kern w:val="0"/>
          <w:sz w:val="22"/>
          <w:szCs w:val="22"/>
          <w:lang w:eastAsia="en-GB"/>
          <w14:ligatures w14:val="none"/>
        </w:rPr>
        <w:t>survey expectations</w:t>
      </w:r>
      <w:r w:rsidRPr="0032251D">
        <w:rPr>
          <w:rFonts w:ascii="Aptos" w:eastAsia="Times New Roman" w:hAnsi="Aptos" w:cs="Times New Roman"/>
          <w:kern w:val="0"/>
          <w:sz w:val="22"/>
          <w:szCs w:val="22"/>
          <w:lang w:eastAsia="en-GB"/>
          <w14:ligatures w14:val="none"/>
        </w:rPr>
        <w:t xml:space="preserve"> (professional forecasters, households, corporates, fund managers); </w:t>
      </w:r>
      <w:r w:rsidRPr="0032251D">
        <w:rPr>
          <w:rFonts w:ascii="Aptos" w:eastAsia="Times New Roman" w:hAnsi="Aptos" w:cs="Times New Roman"/>
          <w:i/>
          <w:iCs/>
          <w:kern w:val="0"/>
          <w:sz w:val="22"/>
          <w:szCs w:val="22"/>
          <w:lang w:eastAsia="en-GB"/>
          <w14:ligatures w14:val="none"/>
        </w:rPr>
        <w:t>market-implied expectations</w:t>
      </w:r>
      <w:r w:rsidRPr="0032251D">
        <w:rPr>
          <w:rFonts w:ascii="Aptos" w:eastAsia="Times New Roman" w:hAnsi="Aptos" w:cs="Times New Roman"/>
          <w:kern w:val="0"/>
          <w:sz w:val="22"/>
          <w:szCs w:val="22"/>
          <w:lang w:eastAsia="en-GB"/>
          <w14:ligatures w14:val="none"/>
        </w:rPr>
        <w:t xml:space="preserve"> (BEIs, OIS curves, dividend futures, credit spreads, vol surfaces); and </w:t>
      </w:r>
      <w:r w:rsidRPr="0032251D">
        <w:rPr>
          <w:rFonts w:ascii="Aptos" w:eastAsia="Times New Roman" w:hAnsi="Aptos" w:cs="Times New Roman"/>
          <w:i/>
          <w:iCs/>
          <w:kern w:val="0"/>
          <w:sz w:val="22"/>
          <w:szCs w:val="22"/>
          <w:lang w:eastAsia="en-GB"/>
          <w14:ligatures w14:val="none"/>
        </w:rPr>
        <w:t>textual expectations</w:t>
      </w:r>
      <w:r w:rsidRPr="0032251D">
        <w:rPr>
          <w:rFonts w:ascii="Aptos" w:eastAsia="Times New Roman" w:hAnsi="Aptos" w:cs="Times New Roman"/>
          <w:kern w:val="0"/>
          <w:sz w:val="22"/>
          <w:szCs w:val="22"/>
          <w:lang w:eastAsia="en-GB"/>
          <w14:ligatures w14:val="none"/>
        </w:rPr>
        <w:t xml:space="preserve"> (extracted from statements, news, social media via NLP and increasingly LLM methods). Expectations are unique among framework nodes because they are </w:t>
      </w:r>
      <w:r w:rsidRPr="0032251D">
        <w:rPr>
          <w:rFonts w:ascii="Aptos" w:eastAsia="Times New Roman" w:hAnsi="Aptos" w:cs="Times New Roman"/>
          <w:i/>
          <w:iCs/>
          <w:kern w:val="0"/>
          <w:sz w:val="22"/>
          <w:szCs w:val="22"/>
          <w:lang w:eastAsia="en-GB"/>
          <w14:ligatures w14:val="none"/>
        </w:rPr>
        <w:t>not directly observable</w:t>
      </w:r>
      <w:r w:rsidRPr="0032251D">
        <w:rPr>
          <w:rFonts w:ascii="Aptos" w:eastAsia="Times New Roman" w:hAnsi="Aptos" w:cs="Times New Roman"/>
          <w:kern w:val="0"/>
          <w:sz w:val="22"/>
          <w:szCs w:val="22"/>
          <w:lang w:eastAsia="en-GB"/>
          <w14:ligatures w14:val="none"/>
        </w:rPr>
        <w:t xml:space="preserve"> — they must be measured through indirect indicators. They are also simultaneously a cause and a consequence: shaped by current conditions and shaped by past expectations, they then drive present decisions which determine future conditions. This makes L6 the most reflexive node in the framework.</w:t>
      </w:r>
    </w:p>
    <w:p w14:paraId="18FDDCDB"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52876589">
          <v:rect id="_x0000_i1118" alt="" style="width:451.3pt;height:.05pt;mso-width-percent:0;mso-height-percent:0;mso-width-percent:0;mso-height-percent:0" o:hralign="center" o:hrstd="t" o:hr="t" fillcolor="#a0a0a0" stroked="f"/>
        </w:pict>
      </w:r>
    </w:p>
    <w:p w14:paraId="5E0E75C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Theory</w:t>
      </w:r>
    </w:p>
    <w:p w14:paraId="6BC84FC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Several theoretical foundations underpin expectations as a distinct node.</w:t>
      </w:r>
    </w:p>
    <w:p w14:paraId="7EAA010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Rational expectations (Muth 1961; Lucas 1972).</w:t>
      </w:r>
      <w:r w:rsidRPr="0032251D">
        <w:rPr>
          <w:rFonts w:ascii="Aptos" w:eastAsia="Times New Roman" w:hAnsi="Aptos" w:cs="Times New Roman"/>
          <w:kern w:val="0"/>
          <w:sz w:val="22"/>
          <w:szCs w:val="22"/>
          <w:lang w:eastAsia="en-GB"/>
          <w14:ligatures w14:val="none"/>
        </w:rPr>
        <w:t xml:space="preserve"> Agents form expectations using all available information; expectations are unbiased on average and consistent with the underlying economic model. The "RE" benchmark dominates modern macroeconomics. Strong empirical prediction: forecast errors should not be systematically predictable. The benchmark is theoretically elegant but empirically rejected at short horizons — predictable forecast errors are pervasive in survey data.</w:t>
      </w:r>
    </w:p>
    <w:p w14:paraId="5AF7358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Adaptive expectations (Cagan 1956; Friedman 1957).</w:t>
      </w:r>
      <w:r w:rsidRPr="0032251D">
        <w:rPr>
          <w:rFonts w:ascii="Aptos" w:eastAsia="Times New Roman" w:hAnsi="Aptos" w:cs="Times New Roman"/>
          <w:kern w:val="0"/>
          <w:sz w:val="22"/>
          <w:szCs w:val="22"/>
          <w:lang w:eastAsia="en-GB"/>
          <w14:ligatures w14:val="none"/>
        </w:rPr>
        <w:t xml:space="preserve"> Agents form expectations as weighted averages of past observations. Inflation expectations adjust slowly toward recent realised inflation. Simple to model, easy to estimate, but inconsistent with rational expectations under stable regimes. Useful as a heuristic baseline for sticky beliefs.</w:t>
      </w:r>
    </w:p>
    <w:p w14:paraId="58CE365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Diagnostic expectations (</w:t>
      </w:r>
      <w:proofErr w:type="spellStart"/>
      <w:r w:rsidRPr="0032251D">
        <w:rPr>
          <w:rFonts w:ascii="Aptos" w:eastAsia="Times New Roman" w:hAnsi="Aptos" w:cs="Times New Roman"/>
          <w:i/>
          <w:iCs/>
          <w:kern w:val="0"/>
          <w:sz w:val="22"/>
          <w:szCs w:val="22"/>
          <w:lang w:eastAsia="en-GB"/>
          <w14:ligatures w14:val="none"/>
        </w:rPr>
        <w:t>Bordalo</w:t>
      </w:r>
      <w:proofErr w:type="spellEnd"/>
      <w:r w:rsidRPr="0032251D">
        <w:rPr>
          <w:rFonts w:ascii="Aptos" w:eastAsia="Times New Roman" w:hAnsi="Aptos" w:cs="Times New Roman"/>
          <w:i/>
          <w:iCs/>
          <w:kern w:val="0"/>
          <w:sz w:val="22"/>
          <w:szCs w:val="22"/>
          <w:lang w:eastAsia="en-GB"/>
          <w14:ligatures w14:val="none"/>
        </w:rPr>
        <w:t>-</w:t>
      </w:r>
      <w:proofErr w:type="spellStart"/>
      <w:r w:rsidRPr="0032251D">
        <w:rPr>
          <w:rFonts w:ascii="Aptos" w:eastAsia="Times New Roman" w:hAnsi="Aptos" w:cs="Times New Roman"/>
          <w:i/>
          <w:iCs/>
          <w:kern w:val="0"/>
          <w:sz w:val="22"/>
          <w:szCs w:val="22"/>
          <w:lang w:eastAsia="en-GB"/>
          <w14:ligatures w14:val="none"/>
        </w:rPr>
        <w:t>Gennaioli</w:t>
      </w:r>
      <w:proofErr w:type="spellEnd"/>
      <w:r w:rsidRPr="0032251D">
        <w:rPr>
          <w:rFonts w:ascii="Aptos" w:eastAsia="Times New Roman" w:hAnsi="Aptos" w:cs="Times New Roman"/>
          <w:i/>
          <w:iCs/>
          <w:kern w:val="0"/>
          <w:sz w:val="22"/>
          <w:szCs w:val="22"/>
          <w:lang w:eastAsia="en-GB"/>
          <w14:ligatures w14:val="none"/>
        </w:rPr>
        <w:t>-Shleifer 2018).</w:t>
      </w:r>
      <w:r w:rsidRPr="0032251D">
        <w:rPr>
          <w:rFonts w:ascii="Aptos" w:eastAsia="Times New Roman" w:hAnsi="Aptos" w:cs="Times New Roman"/>
          <w:kern w:val="0"/>
          <w:sz w:val="22"/>
          <w:szCs w:val="22"/>
          <w:lang w:eastAsia="en-GB"/>
          <w14:ligatures w14:val="none"/>
        </w:rPr>
        <w:t xml:space="preserve"> Agents overweight recent or salient news in their forecasts. The "representativeness heuristic" applied to macroeconomic forecasting. Generates predictable forecast errors: agents over-extrapolate from recent data, then under-react to corrections, then over-correct. Particularly important for understanding why crises and bubbles have characteristic momentum-and-reversal dynamics. </w:t>
      </w:r>
      <w:proofErr w:type="spellStart"/>
      <w:r w:rsidRPr="0032251D">
        <w:rPr>
          <w:rFonts w:ascii="Aptos" w:eastAsia="Times New Roman" w:hAnsi="Aptos" w:cs="Times New Roman"/>
          <w:kern w:val="0"/>
          <w:sz w:val="22"/>
          <w:szCs w:val="22"/>
          <w:lang w:eastAsia="en-GB"/>
          <w14:ligatures w14:val="none"/>
        </w:rPr>
        <w:t>Bordalo</w:t>
      </w:r>
      <w:proofErr w:type="spellEnd"/>
      <w:r w:rsidRPr="0032251D">
        <w:rPr>
          <w:rFonts w:ascii="Aptos" w:eastAsia="Times New Roman" w:hAnsi="Aptos" w:cs="Times New Roman"/>
          <w:kern w:val="0"/>
          <w:sz w:val="22"/>
          <w:szCs w:val="22"/>
          <w:lang w:eastAsia="en-GB"/>
          <w14:ligatures w14:val="none"/>
        </w:rPr>
        <w:t xml:space="preserve"> et al. (2020) showed professional forecasters themselves display diagnostic patterns — this is not just a household phenomenon.</w:t>
      </w:r>
    </w:p>
    <w:p w14:paraId="7A088D4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Extrapolative expectations (Greenwood-Shleifer 2014).</w:t>
      </w:r>
      <w:r w:rsidRPr="0032251D">
        <w:rPr>
          <w:rFonts w:ascii="Aptos" w:eastAsia="Times New Roman" w:hAnsi="Aptos" w:cs="Times New Roman"/>
          <w:kern w:val="0"/>
          <w:sz w:val="22"/>
          <w:szCs w:val="22"/>
          <w:lang w:eastAsia="en-GB"/>
          <w14:ligatures w14:val="none"/>
        </w:rPr>
        <w:t xml:space="preserve"> Agents project recent trends forward. Asset returns predict survey expectations of future asset returns at short horizons in ways inconsistent with rational expectations. Important for understanding momentum in asset prices.</w:t>
      </w:r>
    </w:p>
    <w:p w14:paraId="352215B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Sticky information (Mankiw-Reis 2002).</w:t>
      </w:r>
      <w:r w:rsidRPr="0032251D">
        <w:rPr>
          <w:rFonts w:ascii="Aptos" w:eastAsia="Times New Roman" w:hAnsi="Aptos" w:cs="Times New Roman"/>
          <w:kern w:val="0"/>
          <w:sz w:val="22"/>
          <w:szCs w:val="22"/>
          <w:lang w:eastAsia="en-GB"/>
          <w14:ligatures w14:val="none"/>
        </w:rPr>
        <w:t xml:space="preserve"> Agents update beliefs infrequently due to information costs. Aggregate expectations adjust slowly even when fundamentals change. Generates the empirically observed gradual response of inflation expectations to monetary policy news. The "anchored expectations" outcome is a sticky-information equilibrium in many regimes.</w:t>
      </w:r>
    </w:p>
    <w:p w14:paraId="77A9189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Rational inattention (Sims 2003).</w:t>
      </w:r>
      <w:r w:rsidRPr="0032251D">
        <w:rPr>
          <w:rFonts w:ascii="Aptos" w:eastAsia="Times New Roman" w:hAnsi="Aptos" w:cs="Times New Roman"/>
          <w:kern w:val="0"/>
          <w:sz w:val="22"/>
          <w:szCs w:val="22"/>
          <w:lang w:eastAsia="en-GB"/>
          <w14:ligatures w14:val="none"/>
        </w:rPr>
        <w:t xml:space="preserve"> Agents process information optimally subject to information-processing constraints. Slow updating is not a behavioural bias but an equilibrium feature when information is costly to process. Generates similar empirical predictions to sticky information but with different welfare implications.</w:t>
      </w:r>
    </w:p>
    <w:p w14:paraId="2D20B79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Narrative economics (Shiller 2017, 2019).</w:t>
      </w:r>
      <w:r w:rsidRPr="0032251D">
        <w:rPr>
          <w:rFonts w:ascii="Aptos" w:eastAsia="Times New Roman" w:hAnsi="Aptos" w:cs="Times New Roman"/>
          <w:kern w:val="0"/>
          <w:sz w:val="22"/>
          <w:szCs w:val="22"/>
          <w:lang w:eastAsia="en-GB"/>
          <w14:ligatures w14:val="none"/>
        </w:rPr>
        <w:t xml:space="preserve"> Beliefs spread like contagion through stories — narratives that simplify, </w:t>
      </w:r>
      <w:proofErr w:type="spellStart"/>
      <w:r w:rsidRPr="0032251D">
        <w:rPr>
          <w:rFonts w:ascii="Aptos" w:eastAsia="Times New Roman" w:hAnsi="Aptos" w:cs="Times New Roman"/>
          <w:kern w:val="0"/>
          <w:sz w:val="22"/>
          <w:szCs w:val="22"/>
          <w:lang w:eastAsia="en-GB"/>
          <w14:ligatures w14:val="none"/>
        </w:rPr>
        <w:t>dramatise</w:t>
      </w:r>
      <w:proofErr w:type="spellEnd"/>
      <w:r w:rsidRPr="0032251D">
        <w:rPr>
          <w:rFonts w:ascii="Aptos" w:eastAsia="Times New Roman" w:hAnsi="Aptos" w:cs="Times New Roman"/>
          <w:kern w:val="0"/>
          <w:sz w:val="22"/>
          <w:szCs w:val="22"/>
          <w:lang w:eastAsia="en-GB"/>
          <w14:ligatures w14:val="none"/>
        </w:rPr>
        <w:t>, and propagate. Particularly important for understanding asset bubbles, financial panics, and the role of media in expectations formation. The 2021 meme-stock episodes and the cryptocurrency cycles are textbook narrative-driven expectation dynamics.</w:t>
      </w:r>
    </w:p>
    <w:p w14:paraId="5B2FDCD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Anchoring as credibility outcome.</w:t>
      </w:r>
      <w:r w:rsidRPr="0032251D">
        <w:rPr>
          <w:rFonts w:ascii="Aptos" w:eastAsia="Times New Roman" w:hAnsi="Aptos" w:cs="Times New Roman"/>
          <w:kern w:val="0"/>
          <w:sz w:val="22"/>
          <w:szCs w:val="22"/>
          <w:lang w:eastAsia="en-GB"/>
          <w14:ligatures w14:val="none"/>
        </w:rPr>
        <w:t xml:space="preserve"> When central bank credibility is intact, long-run inflation expectations stay near the target even when realised inflation deviates. This is </w:t>
      </w:r>
      <w:r w:rsidRPr="0032251D">
        <w:rPr>
          <w:rFonts w:ascii="Aptos" w:eastAsia="Times New Roman" w:hAnsi="Aptos" w:cs="Times New Roman"/>
          <w:i/>
          <w:iCs/>
          <w:kern w:val="0"/>
          <w:sz w:val="22"/>
          <w:szCs w:val="22"/>
          <w:lang w:eastAsia="en-GB"/>
          <w14:ligatures w14:val="none"/>
        </w:rPr>
        <w:t>anchored expectations</w:t>
      </w:r>
      <w:r w:rsidRPr="0032251D">
        <w:rPr>
          <w:rFonts w:ascii="Aptos" w:eastAsia="Times New Roman" w:hAnsi="Aptos" w:cs="Times New Roman"/>
          <w:kern w:val="0"/>
          <w:sz w:val="22"/>
          <w:szCs w:val="22"/>
          <w:lang w:eastAsia="en-GB"/>
          <w14:ligatures w14:val="none"/>
        </w:rPr>
        <w:t xml:space="preserve"> — the structural outcome that monetary policy is trying to achieve. Anchoring is not a separate theory but a description of the empirical outcome under high-credibility regimes. When anchoring breaks, expectations become free-floating and the bank's job becomes exponentially harder.</w:t>
      </w:r>
    </w:p>
    <w:p w14:paraId="56372A45"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Heterogeneous agents.</w:t>
      </w:r>
      <w:r w:rsidRPr="0032251D">
        <w:rPr>
          <w:rFonts w:ascii="Aptos" w:eastAsia="Times New Roman" w:hAnsi="Aptos" w:cs="Times New Roman"/>
          <w:kern w:val="0"/>
          <w:sz w:val="22"/>
          <w:szCs w:val="22"/>
          <w:lang w:eastAsia="en-GB"/>
          <w14:ligatures w14:val="none"/>
        </w:rPr>
        <w:t xml:space="preserve"> Different agent types (rational, diagnostic, sticky, narrative-driven) coexist in any economy. Aggregate behaviour is the weighted sum of heterogeneous responses. The same shock produces different reactions across agent types — which itself generates predictable dynamics in market prices and survey data.</w:t>
      </w:r>
    </w:p>
    <w:p w14:paraId="1D5D8BEF"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53D4F41A">
          <v:rect id="_x0000_i1119" alt="" style="width:451.3pt;height:.05pt;mso-width-percent:0;mso-height-percent:0;mso-width-percent:0;mso-height-percent:0" o:hralign="center" o:hrstd="t" o:hr="t" fillcolor="#a0a0a0" stroked="f"/>
        </w:pict>
      </w:r>
    </w:p>
    <w:p w14:paraId="28CE14C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Canonical specifications and parameters</w:t>
      </w:r>
    </w:p>
    <w:p w14:paraId="04FF348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L6 node is measured through three families of indicators.</w:t>
      </w:r>
    </w:p>
    <w:p w14:paraId="4D8E5DD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Survey-based expectations.</w:t>
      </w:r>
      <w:r w:rsidRPr="0032251D">
        <w:rPr>
          <w:rFonts w:ascii="Aptos" w:eastAsia="Times New Roman" w:hAnsi="Aptos" w:cs="Times New Roman"/>
          <w:kern w:val="0"/>
          <w:sz w:val="22"/>
          <w:szCs w:val="22"/>
          <w:lang w:eastAsia="en-GB"/>
          <w14:ligatures w14:val="none"/>
        </w:rPr>
        <w:t xml:space="preserve"> The most direct measure of beliefs.</w:t>
      </w:r>
    </w:p>
    <w:p w14:paraId="69B37359" w14:textId="77777777" w:rsidR="0032251D" w:rsidRPr="0032251D" w:rsidRDefault="0032251D">
      <w:pPr>
        <w:numPr>
          <w:ilvl w:val="0"/>
          <w:numId w:val="10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Professional forecasters</w:t>
      </w:r>
      <w:r w:rsidRPr="0032251D">
        <w:rPr>
          <w:rFonts w:ascii="Aptos" w:eastAsia="Times New Roman" w:hAnsi="Aptos" w:cs="Times New Roman"/>
          <w:kern w:val="0"/>
          <w:sz w:val="22"/>
          <w:szCs w:val="22"/>
          <w:lang w:eastAsia="en-GB"/>
          <w14:ligatures w14:val="none"/>
        </w:rPr>
        <w:t xml:space="preserve">: ECB Survey of Professional Forecasters (SPF), BlueChip Economic Indicators, Survey of Professional Forecasters (US Philadelphia Fed), Focus </w:t>
      </w:r>
      <w:proofErr w:type="spellStart"/>
      <w:r w:rsidRPr="0032251D">
        <w:rPr>
          <w:rFonts w:ascii="Aptos" w:eastAsia="Times New Roman" w:hAnsi="Aptos" w:cs="Times New Roman"/>
          <w:kern w:val="0"/>
          <w:sz w:val="22"/>
          <w:szCs w:val="22"/>
          <w:lang w:eastAsia="en-GB"/>
          <w14:ligatures w14:val="none"/>
        </w:rPr>
        <w:t>Brasil</w:t>
      </w:r>
      <w:proofErr w:type="spellEnd"/>
      <w:r w:rsidRPr="0032251D">
        <w:rPr>
          <w:rFonts w:ascii="Aptos" w:eastAsia="Times New Roman" w:hAnsi="Aptos" w:cs="Times New Roman"/>
          <w:kern w:val="0"/>
          <w:sz w:val="22"/>
          <w:szCs w:val="22"/>
          <w:lang w:eastAsia="en-GB"/>
          <w14:ligatures w14:val="none"/>
        </w:rPr>
        <w:t xml:space="preserve"> (weekly Brazilian survey, the highest-frequency macro survey globally), </w:t>
      </w:r>
      <w:proofErr w:type="spellStart"/>
      <w:r w:rsidRPr="0032251D">
        <w:rPr>
          <w:rFonts w:ascii="Aptos" w:eastAsia="Times New Roman" w:hAnsi="Aptos" w:cs="Times New Roman"/>
          <w:kern w:val="0"/>
          <w:sz w:val="22"/>
          <w:szCs w:val="22"/>
          <w:lang w:eastAsia="en-GB"/>
          <w14:ligatures w14:val="none"/>
        </w:rPr>
        <w:t>Banxico</w:t>
      </w:r>
      <w:proofErr w:type="spellEnd"/>
      <w:r w:rsidRPr="0032251D">
        <w:rPr>
          <w:rFonts w:ascii="Aptos" w:eastAsia="Times New Roman" w:hAnsi="Aptos" w:cs="Times New Roman"/>
          <w:kern w:val="0"/>
          <w:sz w:val="22"/>
          <w:szCs w:val="22"/>
          <w:lang w:eastAsia="en-GB"/>
          <w14:ligatures w14:val="none"/>
        </w:rPr>
        <w:t xml:space="preserve"> expectations survey (Mexico), Reuters poll for SA, Consensus Economics global.</w:t>
      </w:r>
    </w:p>
    <w:p w14:paraId="245D008A" w14:textId="77777777" w:rsidR="0032251D" w:rsidRPr="0032251D" w:rsidRDefault="0032251D">
      <w:pPr>
        <w:numPr>
          <w:ilvl w:val="0"/>
          <w:numId w:val="10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Households</w:t>
      </w:r>
      <w:r w:rsidRPr="0032251D">
        <w:rPr>
          <w:rFonts w:ascii="Aptos" w:eastAsia="Times New Roman" w:hAnsi="Aptos" w:cs="Times New Roman"/>
          <w:kern w:val="0"/>
          <w:sz w:val="22"/>
          <w:szCs w:val="22"/>
          <w:lang w:eastAsia="en-GB"/>
          <w14:ligatures w14:val="none"/>
        </w:rPr>
        <w:t>: Michigan Survey of Consumers, New York Fed Survey of Consumer Expectations (monthly, panel-based), ECB Consumer Expectations Survey, BoE Inflation Attitudes Survey, BER Inflation Expectations Survey (SA).</w:t>
      </w:r>
    </w:p>
    <w:p w14:paraId="1EEA747E" w14:textId="77777777" w:rsidR="0032251D" w:rsidRPr="0032251D" w:rsidRDefault="0032251D">
      <w:pPr>
        <w:numPr>
          <w:ilvl w:val="0"/>
          <w:numId w:val="10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Corporates</w:t>
      </w:r>
      <w:r w:rsidRPr="0032251D">
        <w:rPr>
          <w:rFonts w:ascii="Aptos" w:eastAsia="Times New Roman" w:hAnsi="Aptos" w:cs="Times New Roman"/>
          <w:kern w:val="0"/>
          <w:sz w:val="22"/>
          <w:szCs w:val="22"/>
          <w:lang w:eastAsia="en-GB"/>
          <w14:ligatures w14:val="none"/>
        </w:rPr>
        <w:t>: Fed Beige Book, NFIB Small Business Survey, regional Fed manufacturing surveys, BER Business Confidence Index (SA).</w:t>
      </w:r>
    </w:p>
    <w:p w14:paraId="2383CEC1" w14:textId="77777777" w:rsidR="0032251D" w:rsidRPr="0032251D" w:rsidRDefault="0032251D">
      <w:pPr>
        <w:numPr>
          <w:ilvl w:val="0"/>
          <w:numId w:val="10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Investors</w:t>
      </w:r>
      <w:r w:rsidRPr="0032251D">
        <w:rPr>
          <w:rFonts w:ascii="Aptos" w:eastAsia="Times New Roman" w:hAnsi="Aptos" w:cs="Times New Roman"/>
          <w:kern w:val="0"/>
          <w:sz w:val="22"/>
          <w:szCs w:val="22"/>
          <w:lang w:eastAsia="en-GB"/>
          <w14:ligatures w14:val="none"/>
        </w:rPr>
        <w:t>: BofA Global Fund Manager Survey (monthly), AAII Sentiment Survey, JP Morgan Treasury Client Survey.</w:t>
      </w:r>
    </w:p>
    <w:p w14:paraId="129F98C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Market-implied expectations.</w:t>
      </w:r>
      <w:r w:rsidRPr="0032251D">
        <w:rPr>
          <w:rFonts w:ascii="Aptos" w:eastAsia="Times New Roman" w:hAnsi="Aptos" w:cs="Times New Roman"/>
          <w:kern w:val="0"/>
          <w:sz w:val="22"/>
          <w:szCs w:val="22"/>
          <w:lang w:eastAsia="en-GB"/>
          <w14:ligatures w14:val="none"/>
        </w:rPr>
        <w:t xml:space="preserve"> Derived from current asset prices.</w:t>
      </w:r>
    </w:p>
    <w:p w14:paraId="0FB5F6BF" w14:textId="77777777" w:rsidR="0032251D" w:rsidRPr="0032251D" w:rsidRDefault="0032251D">
      <w:pPr>
        <w:numPr>
          <w:ilvl w:val="0"/>
          <w:numId w:val="10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BEIs</w:t>
      </w:r>
      <w:r w:rsidRPr="0032251D">
        <w:rPr>
          <w:rFonts w:ascii="Aptos" w:eastAsia="Times New Roman" w:hAnsi="Aptos" w:cs="Times New Roman"/>
          <w:kern w:val="0"/>
          <w:sz w:val="22"/>
          <w:szCs w:val="22"/>
          <w:lang w:eastAsia="en-GB"/>
          <w14:ligatures w14:val="none"/>
        </w:rPr>
        <w:t xml:space="preserve"> (covered in L4c): market-implied inflation expectations.</w:t>
      </w:r>
    </w:p>
    <w:p w14:paraId="52C7C40B" w14:textId="77777777" w:rsidR="0032251D" w:rsidRPr="0032251D" w:rsidRDefault="0032251D">
      <w:pPr>
        <w:numPr>
          <w:ilvl w:val="0"/>
          <w:numId w:val="10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OIS curves</w:t>
      </w:r>
      <w:r w:rsidRPr="0032251D">
        <w:rPr>
          <w:rFonts w:ascii="Aptos" w:eastAsia="Times New Roman" w:hAnsi="Aptos" w:cs="Times New Roman"/>
          <w:kern w:val="0"/>
          <w:sz w:val="22"/>
          <w:szCs w:val="22"/>
          <w:lang w:eastAsia="en-GB"/>
          <w14:ligatures w14:val="none"/>
        </w:rPr>
        <w:t xml:space="preserve"> (covered in L4a): market-implied policy rate path.</w:t>
      </w:r>
    </w:p>
    <w:p w14:paraId="54B8BED9" w14:textId="77777777" w:rsidR="0032251D" w:rsidRPr="0032251D" w:rsidRDefault="0032251D">
      <w:pPr>
        <w:numPr>
          <w:ilvl w:val="0"/>
          <w:numId w:val="10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Dividend futures</w:t>
      </w:r>
      <w:r w:rsidRPr="0032251D">
        <w:rPr>
          <w:rFonts w:ascii="Aptos" w:eastAsia="Times New Roman" w:hAnsi="Aptos" w:cs="Times New Roman"/>
          <w:kern w:val="0"/>
          <w:sz w:val="22"/>
          <w:szCs w:val="22"/>
          <w:lang w:eastAsia="en-GB"/>
          <w14:ligatures w14:val="none"/>
        </w:rPr>
        <w:t>: market-implied equity earnings expectations.</w:t>
      </w:r>
    </w:p>
    <w:p w14:paraId="4E7E7767" w14:textId="77777777" w:rsidR="0032251D" w:rsidRPr="0032251D" w:rsidRDefault="0032251D">
      <w:pPr>
        <w:numPr>
          <w:ilvl w:val="0"/>
          <w:numId w:val="10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Credit spreads</w:t>
      </w:r>
      <w:r w:rsidRPr="0032251D">
        <w:rPr>
          <w:rFonts w:ascii="Aptos" w:eastAsia="Times New Roman" w:hAnsi="Aptos" w:cs="Times New Roman"/>
          <w:kern w:val="0"/>
          <w:sz w:val="22"/>
          <w:szCs w:val="22"/>
          <w:lang w:eastAsia="en-GB"/>
          <w14:ligatures w14:val="none"/>
        </w:rPr>
        <w:t>: market-implied default probabilities (with risk premium).</w:t>
      </w:r>
    </w:p>
    <w:p w14:paraId="64B78BD3" w14:textId="77777777" w:rsidR="0032251D" w:rsidRPr="0032251D" w:rsidRDefault="0032251D">
      <w:pPr>
        <w:numPr>
          <w:ilvl w:val="0"/>
          <w:numId w:val="10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Volatility surface</w:t>
      </w:r>
      <w:r w:rsidRPr="0032251D">
        <w:rPr>
          <w:rFonts w:ascii="Aptos" w:eastAsia="Times New Roman" w:hAnsi="Aptos" w:cs="Times New Roman"/>
          <w:kern w:val="0"/>
          <w:sz w:val="22"/>
          <w:szCs w:val="22"/>
          <w:lang w:eastAsia="en-GB"/>
          <w14:ligatures w14:val="none"/>
        </w:rPr>
        <w:t xml:space="preserve"> (L4d): market-implied uncertainty distribution.</w:t>
      </w:r>
    </w:p>
    <w:p w14:paraId="707BFC95" w14:textId="77777777" w:rsidR="0032251D" w:rsidRPr="0032251D" w:rsidRDefault="0032251D">
      <w:pPr>
        <w:numPr>
          <w:ilvl w:val="0"/>
          <w:numId w:val="10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FX forwards</w:t>
      </w:r>
      <w:r w:rsidRPr="0032251D">
        <w:rPr>
          <w:rFonts w:ascii="Aptos" w:eastAsia="Times New Roman" w:hAnsi="Aptos" w:cs="Times New Roman"/>
          <w:kern w:val="0"/>
          <w:sz w:val="22"/>
          <w:szCs w:val="22"/>
          <w:lang w:eastAsia="en-GB"/>
          <w14:ligatures w14:val="none"/>
        </w:rPr>
        <w:t>: market-implied currency expectations (under no-arbitrage).</w:t>
      </w:r>
    </w:p>
    <w:p w14:paraId="5F95E5A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Textual expectations.</w:t>
      </w:r>
      <w:r w:rsidRPr="0032251D">
        <w:rPr>
          <w:rFonts w:ascii="Aptos" w:eastAsia="Times New Roman" w:hAnsi="Aptos" w:cs="Times New Roman"/>
          <w:kern w:val="0"/>
          <w:sz w:val="22"/>
          <w:szCs w:val="22"/>
          <w:lang w:eastAsia="en-GB"/>
          <w14:ligatures w14:val="none"/>
        </w:rPr>
        <w:t xml:space="preserve"> Extracted from written and verbal communication.</w:t>
      </w:r>
    </w:p>
    <w:p w14:paraId="1498055F" w14:textId="77777777" w:rsidR="0032251D" w:rsidRPr="0032251D" w:rsidRDefault="0032251D">
      <w:pPr>
        <w:numPr>
          <w:ilvl w:val="0"/>
          <w:numId w:val="10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LDA topic models</w:t>
      </w:r>
      <w:r w:rsidRPr="0032251D">
        <w:rPr>
          <w:rFonts w:ascii="Aptos" w:eastAsia="Times New Roman" w:hAnsi="Aptos" w:cs="Times New Roman"/>
          <w:kern w:val="0"/>
          <w:sz w:val="22"/>
          <w:szCs w:val="22"/>
          <w:lang w:eastAsia="en-GB"/>
          <w14:ligatures w14:val="none"/>
        </w:rPr>
        <w:t>: identify themes in central bank communication, earnings calls, news.</w:t>
      </w:r>
    </w:p>
    <w:p w14:paraId="2712CEDA" w14:textId="77777777" w:rsidR="0032251D" w:rsidRPr="0032251D" w:rsidRDefault="0032251D">
      <w:pPr>
        <w:numPr>
          <w:ilvl w:val="0"/>
          <w:numId w:val="10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Loughran-McDonald sentiment dictionaries</w:t>
      </w:r>
      <w:r w:rsidRPr="0032251D">
        <w:rPr>
          <w:rFonts w:ascii="Aptos" w:eastAsia="Times New Roman" w:hAnsi="Aptos" w:cs="Times New Roman"/>
          <w:kern w:val="0"/>
          <w:sz w:val="22"/>
          <w:szCs w:val="22"/>
          <w:lang w:eastAsia="en-GB"/>
          <w14:ligatures w14:val="none"/>
        </w:rPr>
        <w:t>: dictionary-based sentiment scoring.</w:t>
      </w:r>
    </w:p>
    <w:p w14:paraId="179643A9" w14:textId="77777777" w:rsidR="0032251D" w:rsidRPr="0032251D" w:rsidRDefault="0032251D">
      <w:pPr>
        <w:numPr>
          <w:ilvl w:val="0"/>
          <w:numId w:val="10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LLM-based extraction</w:t>
      </w:r>
      <w:r w:rsidRPr="0032251D">
        <w:rPr>
          <w:rFonts w:ascii="Aptos" w:eastAsia="Times New Roman" w:hAnsi="Aptos" w:cs="Times New Roman"/>
          <w:kern w:val="0"/>
          <w:sz w:val="22"/>
          <w:szCs w:val="22"/>
          <w:lang w:eastAsia="en-GB"/>
          <w14:ligatures w14:val="none"/>
        </w:rPr>
        <w:t>: increasingly used; provides nuanced sentiment and topic identification.</w:t>
      </w:r>
    </w:p>
    <w:p w14:paraId="7AAE624A" w14:textId="77777777" w:rsidR="0032251D" w:rsidRPr="0032251D" w:rsidRDefault="0032251D">
      <w:pPr>
        <w:numPr>
          <w:ilvl w:val="0"/>
          <w:numId w:val="10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Social media sentiment</w:t>
      </w:r>
      <w:r w:rsidRPr="0032251D">
        <w:rPr>
          <w:rFonts w:ascii="Aptos" w:eastAsia="Times New Roman" w:hAnsi="Aptos" w:cs="Times New Roman"/>
          <w:kern w:val="0"/>
          <w:sz w:val="22"/>
          <w:szCs w:val="22"/>
          <w:lang w:eastAsia="en-GB"/>
          <w14:ligatures w14:val="none"/>
        </w:rPr>
        <w:t xml:space="preserve">: Twitter/X, Reddit, </w:t>
      </w:r>
      <w:proofErr w:type="spellStart"/>
      <w:r w:rsidRPr="0032251D">
        <w:rPr>
          <w:rFonts w:ascii="Aptos" w:eastAsia="Times New Roman" w:hAnsi="Aptos" w:cs="Times New Roman"/>
          <w:kern w:val="0"/>
          <w:sz w:val="22"/>
          <w:szCs w:val="22"/>
          <w:lang w:eastAsia="en-GB"/>
          <w14:ligatures w14:val="none"/>
        </w:rPr>
        <w:t>Stocktwits</w:t>
      </w:r>
      <w:proofErr w:type="spellEnd"/>
      <w:r w:rsidRPr="0032251D">
        <w:rPr>
          <w:rFonts w:ascii="Aptos" w:eastAsia="Times New Roman" w:hAnsi="Aptos" w:cs="Times New Roman"/>
          <w:kern w:val="0"/>
          <w:sz w:val="22"/>
          <w:szCs w:val="22"/>
          <w:lang w:eastAsia="en-GB"/>
          <w14:ligatures w14:val="none"/>
        </w:rPr>
        <w:t xml:space="preserve"> — useful for retail investor expectations and narrative tracking.</w:t>
      </w:r>
    </w:p>
    <w:p w14:paraId="0EFD9E0F" w14:textId="77777777" w:rsidR="0032251D" w:rsidRPr="0032251D" w:rsidRDefault="0032251D">
      <w:pPr>
        <w:numPr>
          <w:ilvl w:val="0"/>
          <w:numId w:val="10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Earnings call transcripts</w:t>
      </w:r>
      <w:r w:rsidRPr="0032251D">
        <w:rPr>
          <w:rFonts w:ascii="Aptos" w:eastAsia="Times New Roman" w:hAnsi="Aptos" w:cs="Times New Roman"/>
          <w:kern w:val="0"/>
          <w:sz w:val="22"/>
          <w:szCs w:val="22"/>
          <w:lang w:eastAsia="en-GB"/>
          <w14:ligatures w14:val="none"/>
        </w:rPr>
        <w:t>: corporate management expectations.</w:t>
      </w:r>
    </w:p>
    <w:p w14:paraId="32A54B9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Key cross-cutting parameters.</w:t>
      </w:r>
    </w:p>
    <w:p w14:paraId="0A51A4CB" w14:textId="77777777" w:rsidR="0032251D" w:rsidRPr="0032251D" w:rsidRDefault="0032251D">
      <w:pPr>
        <w:numPr>
          <w:ilvl w:val="0"/>
          <w:numId w:val="10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Mean / median / mode</w:t>
      </w:r>
      <w:r w:rsidRPr="0032251D">
        <w:rPr>
          <w:rFonts w:ascii="Aptos" w:eastAsia="Times New Roman" w:hAnsi="Aptos" w:cs="Times New Roman"/>
          <w:kern w:val="0"/>
          <w:sz w:val="22"/>
          <w:szCs w:val="22"/>
          <w:lang w:eastAsia="en-GB"/>
          <w14:ligatures w14:val="none"/>
        </w:rPr>
        <w:t>: central tendency of expectations; choice affects empirical results.</w:t>
      </w:r>
    </w:p>
    <w:p w14:paraId="792BB76A" w14:textId="77777777" w:rsidR="0032251D" w:rsidRPr="0032251D" w:rsidRDefault="0032251D">
      <w:pPr>
        <w:numPr>
          <w:ilvl w:val="0"/>
          <w:numId w:val="10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Dispersion</w:t>
      </w:r>
      <w:r w:rsidRPr="0032251D">
        <w:rPr>
          <w:rFonts w:ascii="Aptos" w:eastAsia="Times New Roman" w:hAnsi="Aptos" w:cs="Times New Roman"/>
          <w:kern w:val="0"/>
          <w:sz w:val="22"/>
          <w:szCs w:val="22"/>
          <w:lang w:eastAsia="en-GB"/>
          <w14:ligatures w14:val="none"/>
        </w:rPr>
        <w:t>: standard deviation, interquartile range. Disagreement is itself information.</w:t>
      </w:r>
    </w:p>
    <w:p w14:paraId="1D285C24" w14:textId="77777777" w:rsidR="0032251D" w:rsidRPr="0032251D" w:rsidRDefault="0032251D">
      <w:pPr>
        <w:numPr>
          <w:ilvl w:val="0"/>
          <w:numId w:val="10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Cross-sectional heterogeneity</w:t>
      </w:r>
      <w:r w:rsidRPr="0032251D">
        <w:rPr>
          <w:rFonts w:ascii="Aptos" w:eastAsia="Times New Roman" w:hAnsi="Aptos" w:cs="Times New Roman"/>
          <w:kern w:val="0"/>
          <w:sz w:val="22"/>
          <w:szCs w:val="22"/>
          <w:lang w:eastAsia="en-GB"/>
          <w14:ligatures w14:val="none"/>
        </w:rPr>
        <w:t>: how beliefs differ across agent types.</w:t>
      </w:r>
    </w:p>
    <w:p w14:paraId="30638382" w14:textId="77777777" w:rsidR="0032251D" w:rsidRPr="0032251D" w:rsidRDefault="0032251D">
      <w:pPr>
        <w:numPr>
          <w:ilvl w:val="0"/>
          <w:numId w:val="10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Persistence</w:t>
      </w:r>
      <w:r w:rsidRPr="0032251D">
        <w:rPr>
          <w:rFonts w:ascii="Aptos" w:eastAsia="Times New Roman" w:hAnsi="Aptos" w:cs="Times New Roman"/>
          <w:kern w:val="0"/>
          <w:sz w:val="22"/>
          <w:szCs w:val="22"/>
          <w:lang w:eastAsia="en-GB"/>
          <w14:ligatures w14:val="none"/>
        </w:rPr>
        <w:t>: how slowly expectations adjust to new information.</w:t>
      </w:r>
    </w:p>
    <w:p w14:paraId="74B8CF11" w14:textId="77777777" w:rsidR="0032251D" w:rsidRPr="0032251D" w:rsidRDefault="0032251D">
      <w:pPr>
        <w:numPr>
          <w:ilvl w:val="0"/>
          <w:numId w:val="10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Forecast horizon variation</w:t>
      </w:r>
      <w:r w:rsidRPr="0032251D">
        <w:rPr>
          <w:rFonts w:ascii="Aptos" w:eastAsia="Times New Roman" w:hAnsi="Aptos" w:cs="Times New Roman"/>
          <w:kern w:val="0"/>
          <w:sz w:val="22"/>
          <w:szCs w:val="22"/>
          <w:lang w:eastAsia="en-GB"/>
          <w14:ligatures w14:val="none"/>
        </w:rPr>
        <w:t>: 1-year, 5-year, 10-year expectations can differ meaningfully.</w:t>
      </w:r>
    </w:p>
    <w:p w14:paraId="70ECABE5" w14:textId="77777777" w:rsidR="0032251D" w:rsidRPr="0032251D" w:rsidRDefault="0032251D">
      <w:pPr>
        <w:numPr>
          <w:ilvl w:val="0"/>
          <w:numId w:val="10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Survey vs market gap</w:t>
      </w:r>
      <w:r w:rsidRPr="0032251D">
        <w:rPr>
          <w:rFonts w:ascii="Aptos" w:eastAsia="Times New Roman" w:hAnsi="Aptos" w:cs="Times New Roman"/>
          <w:kern w:val="0"/>
          <w:sz w:val="22"/>
          <w:szCs w:val="22"/>
          <w:lang w:eastAsia="en-GB"/>
          <w14:ligatures w14:val="none"/>
        </w:rPr>
        <w:t>: the difference between survey-implied and market-implied expectations is a measure of heterogeneity.</w:t>
      </w:r>
    </w:p>
    <w:p w14:paraId="428B5F9C"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59C2D07D">
          <v:rect id="_x0000_i1120" alt="" style="width:451.3pt;height:.05pt;mso-width-percent:0;mso-height-percent:0;mso-width-percent:0;mso-height-percent:0" o:hralign="center" o:hrstd="t" o:hr="t" fillcolor="#a0a0a0" stroked="f"/>
        </w:pict>
      </w:r>
    </w:p>
    <w:p w14:paraId="77DFC16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Why this matters for asset prices</w:t>
      </w:r>
    </w:p>
    <w:p w14:paraId="5E0B958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Expectations are the meta-channel through which most other framework effects operate.</w:t>
      </w:r>
    </w:p>
    <w:p w14:paraId="7D74920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Asset prices are present values of expected cash flows.</w:t>
      </w:r>
      <w:r w:rsidRPr="0032251D">
        <w:rPr>
          <w:rFonts w:ascii="Aptos" w:eastAsia="Times New Roman" w:hAnsi="Aptos" w:cs="Times New Roman"/>
          <w:kern w:val="0"/>
          <w:sz w:val="22"/>
          <w:szCs w:val="22"/>
          <w:lang w:eastAsia="en-GB"/>
          <w14:ligatures w14:val="none"/>
        </w:rPr>
        <w:t xml:space="preserve"> Equities, bonds, real estate, currencies — all are functions of expected future flows. Changes in expectations directly change prices, often with greater impact than changes in current conditions.</w:t>
      </w:r>
    </w:p>
    <w:p w14:paraId="7C1391B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Forward-looking pricing embeds expectations.</w:t>
      </w:r>
      <w:r w:rsidRPr="0032251D">
        <w:rPr>
          <w:rFonts w:ascii="Aptos" w:eastAsia="Times New Roman" w:hAnsi="Aptos" w:cs="Times New Roman"/>
          <w:kern w:val="0"/>
          <w:sz w:val="22"/>
          <w:szCs w:val="22"/>
          <w:lang w:eastAsia="en-GB"/>
          <w14:ligatures w14:val="none"/>
        </w:rPr>
        <w:t xml:space="preserve"> The yield curve embeds rate expectations. BEIs embed inflation expectations. Credit spreads embed default expectations. Vol surfaces embed uncertainty distributions. The entire L4 market layer is, at base, an expectations layer.</w:t>
      </w:r>
    </w:p>
    <w:p w14:paraId="15C97AD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Sentiment-driven momentum and reversal.</w:t>
      </w:r>
      <w:r w:rsidRPr="0032251D">
        <w:rPr>
          <w:rFonts w:ascii="Aptos" w:eastAsia="Times New Roman" w:hAnsi="Aptos" w:cs="Times New Roman"/>
          <w:kern w:val="0"/>
          <w:sz w:val="22"/>
          <w:szCs w:val="22"/>
          <w:lang w:eastAsia="en-GB"/>
          <w14:ligatures w14:val="none"/>
        </w:rPr>
        <w:t xml:space="preserve"> Extrapolative and diagnostic agents create characteristic price patterns: momentum at short horizons, reversal at longer horizons, overshooting around regime changes. These are not market anomalies — they are predictable consequences of heterogeneous expectation formation.</w:t>
      </w:r>
    </w:p>
    <w:p w14:paraId="6D7A327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Anchoring is operationalised credibility.</w:t>
      </w:r>
      <w:r w:rsidRPr="0032251D">
        <w:rPr>
          <w:rFonts w:ascii="Aptos" w:eastAsia="Times New Roman" w:hAnsi="Aptos" w:cs="Times New Roman"/>
          <w:kern w:val="0"/>
          <w:sz w:val="22"/>
          <w:szCs w:val="22"/>
          <w:lang w:eastAsia="en-GB"/>
          <w14:ligatures w14:val="none"/>
        </w:rPr>
        <w:t xml:space="preserve"> When long-run inflation expectations stay near target despite shocks, the central bank can be aggressive on transitory inflation without triggering wage-price spirals. Anchored expectations give monetary policy "free hits" — the ability to look through transitory shocks because agents are not updating their long-run priors. Un-anchoring removes this freedom and makes every inflation surprise consequential.</w:t>
      </w:r>
    </w:p>
    <w:p w14:paraId="03EFE1F2"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Forecast dispersion as a state variable.</w:t>
      </w:r>
      <w:r w:rsidRPr="0032251D">
        <w:rPr>
          <w:rFonts w:ascii="Aptos" w:eastAsia="Times New Roman" w:hAnsi="Aptos" w:cs="Times New Roman"/>
          <w:kern w:val="0"/>
          <w:sz w:val="22"/>
          <w:szCs w:val="22"/>
          <w:lang w:eastAsia="en-GB"/>
          <w14:ligatures w14:val="none"/>
        </w:rPr>
        <w:t xml:space="preserve"> When professional forecasters disagree more, asset markets price higher risk premia. Forecast dispersion is itself a tradeable signal (Anderson et al. 2009 showed dispersion predicts cross-asset volatility).</w:t>
      </w:r>
    </w:p>
    <w:p w14:paraId="24BBB00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Self-fulfilling dynamics.</w:t>
      </w:r>
      <w:r w:rsidRPr="0032251D">
        <w:rPr>
          <w:rFonts w:ascii="Aptos" w:eastAsia="Times New Roman" w:hAnsi="Aptos" w:cs="Times New Roman"/>
          <w:kern w:val="0"/>
          <w:sz w:val="22"/>
          <w:szCs w:val="22"/>
          <w:lang w:eastAsia="en-GB"/>
          <w14:ligatures w14:val="none"/>
        </w:rPr>
        <w:t xml:space="preserve"> When enough agents expect a bank run, depositors withdraw and the run materialises. When enough agents expect a currency depreciation, capital flees and the depreciation occurs. Coordination through expectations creates equilibria that are entirely belief-driven — and central banks try to coordinate the "good" equilibrium through credible communication.</w:t>
      </w:r>
    </w:p>
    <w:p w14:paraId="4F5D798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 xml:space="preserve">Coordination via expectations is how monetary policy </w:t>
      </w:r>
      <w:proofErr w:type="gramStart"/>
      <w:r w:rsidRPr="0032251D">
        <w:rPr>
          <w:rFonts w:ascii="Aptos" w:eastAsia="Times New Roman" w:hAnsi="Aptos" w:cs="Times New Roman"/>
          <w:i/>
          <w:iCs/>
          <w:kern w:val="0"/>
          <w:sz w:val="22"/>
          <w:szCs w:val="22"/>
          <w:lang w:eastAsia="en-GB"/>
          <w14:ligatures w14:val="none"/>
        </w:rPr>
        <w:t>actually works</w:t>
      </w:r>
      <w:proofErr w:type="gramEnd"/>
      <w:r w:rsidRPr="0032251D">
        <w:rPr>
          <w:rFonts w:ascii="Aptos" w:eastAsia="Times New Roman" w:hAnsi="Aptos" w:cs="Times New Roman"/>
          <w:i/>
          <w:iCs/>
          <w:kern w:val="0"/>
          <w:sz w:val="22"/>
          <w:szCs w:val="22"/>
          <w:lang w:eastAsia="en-GB"/>
          <w14:ligatures w14:val="none"/>
        </w:rPr>
        <w:t>.</w:t>
      </w:r>
      <w:r w:rsidRPr="0032251D">
        <w:rPr>
          <w:rFonts w:ascii="Aptos" w:eastAsia="Times New Roman" w:hAnsi="Aptos" w:cs="Times New Roman"/>
          <w:kern w:val="0"/>
          <w:sz w:val="22"/>
          <w:szCs w:val="22"/>
          <w:lang w:eastAsia="en-GB"/>
          <w14:ligatures w14:val="none"/>
        </w:rPr>
        <w:t xml:space="preserve"> Woodford (2003) showed in a New Keynesian framework that monetary policy operates almost entirely through expectations, not through current policy rates. The bank's job is therefore to shape </w:t>
      </w:r>
      <w:r w:rsidRPr="0032251D">
        <w:rPr>
          <w:rFonts w:ascii="Aptos" w:eastAsia="Times New Roman" w:hAnsi="Aptos" w:cs="Times New Roman"/>
          <w:i/>
          <w:iCs/>
          <w:kern w:val="0"/>
          <w:sz w:val="22"/>
          <w:szCs w:val="22"/>
          <w:lang w:eastAsia="en-GB"/>
          <w14:ligatures w14:val="none"/>
        </w:rPr>
        <w:t>beliefs about future policy</w:t>
      </w:r>
      <w:r w:rsidRPr="0032251D">
        <w:rPr>
          <w:rFonts w:ascii="Aptos" w:eastAsia="Times New Roman" w:hAnsi="Aptos" w:cs="Times New Roman"/>
          <w:kern w:val="0"/>
          <w:sz w:val="22"/>
          <w:szCs w:val="22"/>
          <w:lang w:eastAsia="en-GB"/>
          <w14:ligatures w14:val="none"/>
        </w:rPr>
        <w:t>, not just to set the current rate.</w:t>
      </w:r>
    </w:p>
    <w:p w14:paraId="500B05B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For investment managers four practitioner points dominate. First, expectations gaps — between survey and market, between professional and household, between forward-looking and backward-looking — are sources of trading signal. Second, forecast dispersion (disagreement) is itself a state variable that drives risk premia; rising dispersion typically precedes vol spikes. Third, narrative tracking via NLP/LLM provides increasingly tradeable signals — particularly for identifying regime transitions that have not yet been priced. Fourth, long-run anchored expectations are the cleanest single read on central bank credibility — more informative than short-run inflation prints, more direct than rates expectations.</w:t>
      </w:r>
    </w:p>
    <w:p w14:paraId="51E7B5CB"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1206A7E2">
          <v:rect id="_x0000_i1121" alt="" style="width:451.3pt;height:.05pt;mso-width-percent:0;mso-height-percent:0;mso-width-percent:0;mso-height-percent:0" o:hralign="center" o:hrstd="t" o:hr="t" fillcolor="#a0a0a0" stroked="f"/>
        </w:pict>
      </w:r>
    </w:p>
    <w:p w14:paraId="413604F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Regime and EM variation</w:t>
      </w:r>
    </w:p>
    <w:p w14:paraId="50683D02"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Expectations dynamics differ substantially across DM and EM.</w:t>
      </w:r>
    </w:p>
    <w:p w14:paraId="49F95D0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DM expectations.</w:t>
      </w:r>
      <w:r w:rsidRPr="0032251D">
        <w:rPr>
          <w:rFonts w:ascii="Aptos" w:eastAsia="Times New Roman" w:hAnsi="Aptos" w:cs="Times New Roman"/>
          <w:kern w:val="0"/>
          <w:sz w:val="22"/>
          <w:szCs w:val="22"/>
          <w:lang w:eastAsia="en-GB"/>
          <w14:ligatures w14:val="none"/>
        </w:rPr>
        <w:t xml:space="preserve"> Generally well-anchored — most DM banks have substantial credibility stock built up over decades of inflation targeting. Long-run inflation expectations cluster tightly around target. Dispersion across agent types is lower. Survey infrastructure is developed (multiple frequencies, panel-based methodologies, long histories). Market-implied expectations are rich because BEI markets, OIS markets, and dividend futures are deep. Cross-method agreement is generally strong. Even shocks like 2022 inflation produced bounded de-anchoring — long-run BEIs rose modestly (50-100bp) rather than dramatically.</w:t>
      </w:r>
    </w:p>
    <w:p w14:paraId="7E73A81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EM expectations.</w:t>
      </w:r>
      <w:r w:rsidRPr="0032251D">
        <w:rPr>
          <w:rFonts w:ascii="Aptos" w:eastAsia="Times New Roman" w:hAnsi="Aptos" w:cs="Times New Roman"/>
          <w:kern w:val="0"/>
          <w:sz w:val="22"/>
          <w:szCs w:val="22"/>
          <w:lang w:eastAsia="en-GB"/>
          <w14:ligatures w14:val="none"/>
        </w:rPr>
        <w:t xml:space="preserve"> More heterogeneous, with higher dispersion. Less anchored — drift is more common, especially when credibility is fragile. Hyperinflation history matters in Latin America — Argentinian and Brazilian households retain inflation-formation patterns from their hyperinflation eras even when current inflation is moderate. Survey infrastructure varies — Brazil's Focus </w:t>
      </w:r>
      <w:proofErr w:type="spellStart"/>
      <w:r w:rsidRPr="0032251D">
        <w:rPr>
          <w:rFonts w:ascii="Aptos" w:eastAsia="Times New Roman" w:hAnsi="Aptos" w:cs="Times New Roman"/>
          <w:kern w:val="0"/>
          <w:sz w:val="22"/>
          <w:szCs w:val="22"/>
          <w:lang w:eastAsia="en-GB"/>
          <w14:ligatures w14:val="none"/>
        </w:rPr>
        <w:t>Brasil</w:t>
      </w:r>
      <w:proofErr w:type="spellEnd"/>
      <w:r w:rsidRPr="0032251D">
        <w:rPr>
          <w:rFonts w:ascii="Aptos" w:eastAsia="Times New Roman" w:hAnsi="Aptos" w:cs="Times New Roman"/>
          <w:kern w:val="0"/>
          <w:sz w:val="22"/>
          <w:szCs w:val="22"/>
          <w:lang w:eastAsia="en-GB"/>
          <w14:ligatures w14:val="none"/>
        </w:rPr>
        <w:t xml:space="preserve"> is best-in-class; many EMs have only annual surveys. Foreign vs domestic investor expectations can diverge significantly — foreign investors price global risk; domestic investors price local conditions.</w:t>
      </w:r>
    </w:p>
    <w:p w14:paraId="3603870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Specific EM patterns.</w:t>
      </w:r>
    </w:p>
    <w:p w14:paraId="40607601" w14:textId="77777777" w:rsidR="0032251D" w:rsidRPr="0032251D" w:rsidRDefault="0032251D">
      <w:pPr>
        <w:numPr>
          <w:ilvl w:val="0"/>
          <w:numId w:val="10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Brazil</w:t>
      </w:r>
      <w:r w:rsidRPr="0032251D">
        <w:rPr>
          <w:rFonts w:ascii="Aptos" w:eastAsia="Times New Roman" w:hAnsi="Aptos" w:cs="Times New Roman"/>
          <w:kern w:val="0"/>
          <w:sz w:val="22"/>
          <w:szCs w:val="22"/>
          <w:lang w:eastAsia="en-GB"/>
          <w14:ligatures w14:val="none"/>
        </w:rPr>
        <w:t xml:space="preserve">: Focus </w:t>
      </w:r>
      <w:proofErr w:type="spellStart"/>
      <w:r w:rsidRPr="0032251D">
        <w:rPr>
          <w:rFonts w:ascii="Aptos" w:eastAsia="Times New Roman" w:hAnsi="Aptos" w:cs="Times New Roman"/>
          <w:kern w:val="0"/>
          <w:sz w:val="22"/>
          <w:szCs w:val="22"/>
          <w:lang w:eastAsia="en-GB"/>
          <w14:ligatures w14:val="none"/>
        </w:rPr>
        <w:t>Brasil</w:t>
      </w:r>
      <w:proofErr w:type="spellEnd"/>
      <w:r w:rsidRPr="0032251D">
        <w:rPr>
          <w:rFonts w:ascii="Aptos" w:eastAsia="Times New Roman" w:hAnsi="Aptos" w:cs="Times New Roman"/>
          <w:kern w:val="0"/>
          <w:sz w:val="22"/>
          <w:szCs w:val="22"/>
          <w:lang w:eastAsia="en-GB"/>
          <w14:ligatures w14:val="none"/>
        </w:rPr>
        <w:t xml:space="preserve"> weekly survey provides exceptional high-frequency data; inflation expectations historically track BCB target reasonably well.</w:t>
      </w:r>
    </w:p>
    <w:p w14:paraId="4F9BE95E" w14:textId="77777777" w:rsidR="0032251D" w:rsidRPr="0032251D" w:rsidRDefault="0032251D">
      <w:pPr>
        <w:numPr>
          <w:ilvl w:val="0"/>
          <w:numId w:val="10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Turkey</w:t>
      </w:r>
      <w:r w:rsidRPr="0032251D">
        <w:rPr>
          <w:rFonts w:ascii="Aptos" w:eastAsia="Times New Roman" w:hAnsi="Aptos" w:cs="Times New Roman"/>
          <w:kern w:val="0"/>
          <w:sz w:val="22"/>
          <w:szCs w:val="22"/>
          <w:lang w:eastAsia="en-GB"/>
          <w14:ligatures w14:val="none"/>
        </w:rPr>
        <w:t>: post-2018, severe expectations dispersion and persistently high mean inflation expectations far above official target — credibility collapse made operational.</w:t>
      </w:r>
    </w:p>
    <w:p w14:paraId="2B548F4B" w14:textId="77777777" w:rsidR="0032251D" w:rsidRPr="0032251D" w:rsidRDefault="0032251D">
      <w:pPr>
        <w:numPr>
          <w:ilvl w:val="0"/>
          <w:numId w:val="10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Argentina</w:t>
      </w:r>
      <w:r w:rsidRPr="0032251D">
        <w:rPr>
          <w:rFonts w:ascii="Aptos" w:eastAsia="Times New Roman" w:hAnsi="Aptos" w:cs="Times New Roman"/>
          <w:kern w:val="0"/>
          <w:sz w:val="22"/>
          <w:szCs w:val="22"/>
          <w:lang w:eastAsia="en-GB"/>
          <w14:ligatures w14:val="none"/>
        </w:rPr>
        <w:t>: hyperinflation regime makes formal expectations anchoring impossible; expectations effectively de-anchored as a structural feature.</w:t>
      </w:r>
    </w:p>
    <w:p w14:paraId="660A0969" w14:textId="77777777" w:rsidR="0032251D" w:rsidRPr="0032251D" w:rsidRDefault="0032251D">
      <w:pPr>
        <w:numPr>
          <w:ilvl w:val="0"/>
          <w:numId w:val="10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lastRenderedPageBreak/>
        <w:t>India</w:t>
      </w:r>
      <w:r w:rsidRPr="0032251D">
        <w:rPr>
          <w:rFonts w:ascii="Aptos" w:eastAsia="Times New Roman" w:hAnsi="Aptos" w:cs="Times New Roman"/>
          <w:kern w:val="0"/>
          <w:sz w:val="22"/>
          <w:szCs w:val="22"/>
          <w:lang w:eastAsia="en-GB"/>
          <w14:ligatures w14:val="none"/>
        </w:rPr>
        <w:t>: relatively well-anchored despite moderate inflation history; RBI inflation targeting framework adopted 2016.</w:t>
      </w:r>
    </w:p>
    <w:p w14:paraId="2A17E0D4" w14:textId="77777777" w:rsidR="0032251D" w:rsidRPr="0032251D" w:rsidRDefault="0032251D">
      <w:pPr>
        <w:numPr>
          <w:ilvl w:val="0"/>
          <w:numId w:val="10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China</w:t>
      </w:r>
      <w:r w:rsidRPr="0032251D">
        <w:rPr>
          <w:rFonts w:ascii="Aptos" w:eastAsia="Times New Roman" w:hAnsi="Aptos" w:cs="Times New Roman"/>
          <w:kern w:val="0"/>
          <w:sz w:val="22"/>
          <w:szCs w:val="22"/>
          <w:lang w:eastAsia="en-GB"/>
          <w14:ligatures w14:val="none"/>
        </w:rPr>
        <w:t>: limited public survey infrastructure; market-implied expectations harder to extract due to bond market depth limitations.</w:t>
      </w:r>
    </w:p>
    <w:p w14:paraId="7118FD2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SA specifically.</w:t>
      </w:r>
      <w:r w:rsidRPr="0032251D">
        <w:rPr>
          <w:rFonts w:ascii="Aptos" w:eastAsia="Times New Roman" w:hAnsi="Aptos" w:cs="Times New Roman"/>
          <w:kern w:val="0"/>
          <w:sz w:val="22"/>
          <w:szCs w:val="22"/>
          <w:lang w:eastAsia="en-GB"/>
          <w14:ligatures w14:val="none"/>
        </w:rPr>
        <w:t xml:space="preserve"> Multiple data sources: SARB Reuters poll (quarterly); Bureau for Economic Research (BER) Inflation Expectations Survey (quarterly, with household, business, and analyst sub-components — one of the best-designed EM surveys); SARB Survey of Monetary Policy Expectations. Long-run inflation expectations typically 5-6%, modestly above the 4.5% target band midpoint. Dispersion is higher than DM but lower than crisis EMs. The 5-year-ahead BEI typically tracks similarly to survey-based long-run expectations, providing cross-validation. The persistent gap between survey expectations (around 5%) and target (4.5%) reflects a modest credibility premium — anchored within the target band but not at midpoint. The recent SARB push to anchor expectations at the 4.5% midpoint (rather than within the broader 3-6% band) addresses exactly this gap. For dissonance framework purposes, SA's expectations data is rich relative to most EMs — multiple sources, regular frequency, well-designed methodology — which makes L6 a high-information node for SA empirical analysis.</w:t>
      </w:r>
    </w:p>
    <w:p w14:paraId="66B3CC34"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54780AFC">
          <v:rect id="_x0000_i1122" alt="" style="width:451.3pt;height:.05pt;mso-width-percent:0;mso-height-percent:0;mso-width-percent:0;mso-height-percent:0" o:hralign="center" o:hrstd="t" o:hr="t" fillcolor="#a0a0a0" stroked="f"/>
        </w:pict>
      </w:r>
    </w:p>
    <w:p w14:paraId="1AADD26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Empirical pitfalls</w:t>
      </w:r>
    </w:p>
    <w:p w14:paraId="196DF91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Survey response biases.</w:t>
      </w:r>
      <w:r w:rsidRPr="0032251D">
        <w:rPr>
          <w:rFonts w:ascii="Aptos" w:eastAsia="Times New Roman" w:hAnsi="Aptos" w:cs="Times New Roman"/>
          <w:kern w:val="0"/>
          <w:sz w:val="22"/>
          <w:szCs w:val="22"/>
          <w:lang w:eastAsia="en-GB"/>
          <w14:ligatures w14:val="none"/>
        </w:rPr>
        <w:t xml:space="preserve"> Framing effects (how the question is asked changes the answer), ordering effects, non-response bias (who chooses to respond). The Michigan Survey and NY Fed SCE differ partly because of methodology differences, not just sampling.</w:t>
      </w:r>
    </w:p>
    <w:p w14:paraId="2AF98CE5"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Forecast horizon variation.</w:t>
      </w:r>
      <w:r w:rsidRPr="0032251D">
        <w:rPr>
          <w:rFonts w:ascii="Aptos" w:eastAsia="Times New Roman" w:hAnsi="Aptos" w:cs="Times New Roman"/>
          <w:kern w:val="0"/>
          <w:sz w:val="22"/>
          <w:szCs w:val="22"/>
          <w:lang w:eastAsia="en-GB"/>
          <w14:ligatures w14:val="none"/>
        </w:rPr>
        <w:t xml:space="preserve"> 1-year, 5-year, 10-year inflation expectations give different signals. Long-horizon expectations are the credibility read; short-horizon expectations track recent inflation. Confusing the two leads to wrong conclusions.</w:t>
      </w:r>
    </w:p>
    <w:p w14:paraId="429F071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Aggregation problem.</w:t>
      </w:r>
      <w:r w:rsidRPr="0032251D">
        <w:rPr>
          <w:rFonts w:ascii="Aptos" w:eastAsia="Times New Roman" w:hAnsi="Aptos" w:cs="Times New Roman"/>
          <w:kern w:val="0"/>
          <w:sz w:val="22"/>
          <w:szCs w:val="22"/>
          <w:lang w:eastAsia="en-GB"/>
          <w14:ligatures w14:val="none"/>
        </w:rPr>
        <w:t xml:space="preserve"> Mean, median, and mode of survey expectations differ — sometimes meaningfully. Mean is sensitive to extreme responses; median is robust but loses tail information; mode requires distribution data. Most published headline numbers are medians or means; which one is being reported matters for cross-survey comparison.</w:t>
      </w:r>
    </w:p>
    <w:p w14:paraId="69E06F72"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Selection bias in survey panels.</w:t>
      </w:r>
      <w:r w:rsidRPr="0032251D">
        <w:rPr>
          <w:rFonts w:ascii="Aptos" w:eastAsia="Times New Roman" w:hAnsi="Aptos" w:cs="Times New Roman"/>
          <w:kern w:val="0"/>
          <w:sz w:val="22"/>
          <w:szCs w:val="22"/>
          <w:lang w:eastAsia="en-GB"/>
          <w14:ligatures w14:val="none"/>
        </w:rPr>
        <w:t xml:space="preserve"> Who agrees to respond to expectations surveys? Professional forecasters are paid to forecast; households opt in selectively; corporate executives may have positioning incentives. Panel composition shifts over time, complicating long-run trend analysis.</w:t>
      </w:r>
    </w:p>
    <w:p w14:paraId="6220640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Strategic response behaviour.</w:t>
      </w:r>
      <w:r w:rsidRPr="0032251D">
        <w:rPr>
          <w:rFonts w:ascii="Aptos" w:eastAsia="Times New Roman" w:hAnsi="Aptos" w:cs="Times New Roman"/>
          <w:kern w:val="0"/>
          <w:sz w:val="22"/>
          <w:szCs w:val="22"/>
          <w:lang w:eastAsia="en-GB"/>
          <w14:ligatures w14:val="none"/>
        </w:rPr>
        <w:t xml:space="preserve"> Some respondents may have positioning incentives — fund managers reporting hawkish expectations to drive markets in their favoured direction; corporates reporting cautious outlook to manage analyst expectations. Strategic responding is hard to identify but presumed to exist.</w:t>
      </w:r>
    </w:p>
    <w:p w14:paraId="0FAAEEF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Frequency mismatch.</w:t>
      </w:r>
      <w:r w:rsidRPr="0032251D">
        <w:rPr>
          <w:rFonts w:ascii="Aptos" w:eastAsia="Times New Roman" w:hAnsi="Aptos" w:cs="Times New Roman"/>
          <w:kern w:val="0"/>
          <w:sz w:val="22"/>
          <w:szCs w:val="22"/>
          <w:lang w:eastAsia="en-GB"/>
          <w14:ligatures w14:val="none"/>
        </w:rPr>
        <w:t xml:space="preserve"> Most surveys are monthly or quarterly; markets move daily. Real-time expectations must use market-implied measures or NLP-extracted sentiment. The lag between survey reading and market reality can be substantial.</w:t>
      </w:r>
    </w:p>
    <w:p w14:paraId="2B9E1B9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Cross-method comparison.</w:t>
      </w:r>
      <w:r w:rsidRPr="0032251D">
        <w:rPr>
          <w:rFonts w:ascii="Aptos" w:eastAsia="Times New Roman" w:hAnsi="Aptos" w:cs="Times New Roman"/>
          <w:kern w:val="0"/>
          <w:sz w:val="22"/>
          <w:szCs w:val="22"/>
          <w:lang w:eastAsia="en-GB"/>
          <w14:ligatures w14:val="none"/>
        </w:rPr>
        <w:t xml:space="preserve"> Survey-implied, market-implied, and text-implied expectations rarely agree exactly. Each </w:t>
      </w:r>
      <w:proofErr w:type="gramStart"/>
      <w:r w:rsidRPr="0032251D">
        <w:rPr>
          <w:rFonts w:ascii="Aptos" w:eastAsia="Times New Roman" w:hAnsi="Aptos" w:cs="Times New Roman"/>
          <w:kern w:val="0"/>
          <w:sz w:val="22"/>
          <w:szCs w:val="22"/>
          <w:lang w:eastAsia="en-GB"/>
          <w14:ligatures w14:val="none"/>
        </w:rPr>
        <w:t>captures</w:t>
      </w:r>
      <w:proofErr w:type="gramEnd"/>
      <w:r w:rsidRPr="0032251D">
        <w:rPr>
          <w:rFonts w:ascii="Aptos" w:eastAsia="Times New Roman" w:hAnsi="Aptos" w:cs="Times New Roman"/>
          <w:kern w:val="0"/>
          <w:sz w:val="22"/>
          <w:szCs w:val="22"/>
          <w:lang w:eastAsia="en-GB"/>
          <w14:ligatures w14:val="none"/>
        </w:rPr>
        <w:t xml:space="preserve"> something different about beliefs. The persistent gap </w:t>
      </w:r>
      <w:r w:rsidRPr="0032251D">
        <w:rPr>
          <w:rFonts w:ascii="Aptos" w:eastAsia="Times New Roman" w:hAnsi="Aptos" w:cs="Times New Roman"/>
          <w:kern w:val="0"/>
          <w:sz w:val="22"/>
          <w:szCs w:val="22"/>
          <w:lang w:eastAsia="en-GB"/>
          <w14:ligatures w14:val="none"/>
        </w:rPr>
        <w:lastRenderedPageBreak/>
        <w:t>between survey and market-implied inflation expectations in many countries reflects genuine heterogeneity, not measurement error in one source.</w:t>
      </w:r>
    </w:p>
    <w:p w14:paraId="6B959A5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Heterogeneity measurement.</w:t>
      </w:r>
      <w:r w:rsidRPr="0032251D">
        <w:rPr>
          <w:rFonts w:ascii="Aptos" w:eastAsia="Times New Roman" w:hAnsi="Aptos" w:cs="Times New Roman"/>
          <w:kern w:val="0"/>
          <w:sz w:val="22"/>
          <w:szCs w:val="22"/>
          <w:lang w:eastAsia="en-GB"/>
          <w14:ligatures w14:val="none"/>
        </w:rPr>
        <w:t xml:space="preserve"> Distributional analysis of expectations requires individual response data, which is often not publicly available. Aggregate dispersion measures hide the structure of disagreement.</w:t>
      </w:r>
    </w:p>
    <w:p w14:paraId="654DF82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Inflation expectations vs broader expectations.</w:t>
      </w:r>
      <w:r w:rsidRPr="0032251D">
        <w:rPr>
          <w:rFonts w:ascii="Aptos" w:eastAsia="Times New Roman" w:hAnsi="Aptos" w:cs="Times New Roman"/>
          <w:kern w:val="0"/>
          <w:sz w:val="22"/>
          <w:szCs w:val="22"/>
          <w:lang w:eastAsia="en-GB"/>
          <w14:ligatures w14:val="none"/>
        </w:rPr>
        <w:t xml:space="preserve"> The L6 node theoretically includes expectations of growth, asset prices, default, etc. — not just inflation. But measurement infrastructure is much weaker outside inflation. Most expectations work focuses on inflation because that is where the data is best.</w:t>
      </w:r>
    </w:p>
    <w:p w14:paraId="7B36E5FB"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0983CF81">
          <v:rect id="_x0000_i1123" alt="" style="width:451.3pt;height:.05pt;mso-width-percent:0;mso-height-percent:0;mso-width-percent:0;mso-height-percent:0" o:hralign="center" o:hrstd="t" o:hr="t" fillcolor="#a0a0a0" stroked="f"/>
        </w:pict>
      </w:r>
    </w:p>
    <w:p w14:paraId="0421D642"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Where dissonance lives</w:t>
      </w:r>
    </w:p>
    <w:p w14:paraId="2125500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Within L6:</w:t>
      </w:r>
    </w:p>
    <w:p w14:paraId="2F7D1E2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Intra-node.</w:t>
      </w:r>
      <w:r w:rsidRPr="0032251D">
        <w:rPr>
          <w:rFonts w:ascii="Aptos" w:eastAsia="Times New Roman" w:hAnsi="Aptos" w:cs="Times New Roman"/>
          <w:kern w:val="0"/>
          <w:sz w:val="22"/>
          <w:szCs w:val="22"/>
          <w:lang w:eastAsia="en-GB"/>
          <w14:ligatures w14:val="none"/>
        </w:rPr>
        <w:t xml:space="preserve"> Heterogeneous belief types should converge on similar central tendency in equilibrium. Dissonance fires when:</w:t>
      </w:r>
    </w:p>
    <w:p w14:paraId="6DF980D2" w14:textId="77777777" w:rsidR="0032251D" w:rsidRPr="0032251D" w:rsidRDefault="0032251D">
      <w:pPr>
        <w:numPr>
          <w:ilvl w:val="0"/>
          <w:numId w:val="10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Survey-implied and market-implied expectations diverge persistently — heterogeneous beliefs across agent types.</w:t>
      </w:r>
    </w:p>
    <w:p w14:paraId="17CFF845" w14:textId="77777777" w:rsidR="0032251D" w:rsidRPr="0032251D" w:rsidRDefault="0032251D">
      <w:pPr>
        <w:numPr>
          <w:ilvl w:val="0"/>
          <w:numId w:val="10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Professional and household expectations diverge — informed vs uninformed segments forming different beliefs.</w:t>
      </w:r>
    </w:p>
    <w:p w14:paraId="20742BD6" w14:textId="77777777" w:rsidR="0032251D" w:rsidRPr="0032251D" w:rsidRDefault="0032251D">
      <w:pPr>
        <w:numPr>
          <w:ilvl w:val="0"/>
          <w:numId w:val="10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Sticky-info agents lag market-implied measures — slow updating during regime transitions.</w:t>
      </w:r>
    </w:p>
    <w:p w14:paraId="23C27022" w14:textId="77777777" w:rsidR="0032251D" w:rsidRPr="0032251D" w:rsidRDefault="0032251D">
      <w:pPr>
        <w:numPr>
          <w:ilvl w:val="0"/>
          <w:numId w:val="10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Diagnostic agents over-extrapolate from recent prints, creating gaps between short-horizon and long-horizon expectations.</w:t>
      </w:r>
    </w:p>
    <w:p w14:paraId="75549573" w14:textId="77777777" w:rsidR="0032251D" w:rsidRPr="0032251D" w:rsidRDefault="0032251D">
      <w:pPr>
        <w:numPr>
          <w:ilvl w:val="0"/>
          <w:numId w:val="10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Forecast dispersion widens without underlying volatility justification — fundamental disagreement increasing.</w:t>
      </w:r>
    </w:p>
    <w:p w14:paraId="48F65975" w14:textId="77777777" w:rsidR="0032251D" w:rsidRPr="0032251D" w:rsidRDefault="0032251D">
      <w:pPr>
        <w:numPr>
          <w:ilvl w:val="0"/>
          <w:numId w:val="10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Mean and median of survey expectations diverge sharply — distribution becoming skewed.</w:t>
      </w:r>
    </w:p>
    <w:p w14:paraId="2DD2C0E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upward.</w:t>
      </w:r>
    </w:p>
    <w:p w14:paraId="09406C17" w14:textId="77777777" w:rsidR="0032251D" w:rsidRPr="0032251D" w:rsidRDefault="0032251D">
      <w:pPr>
        <w:numPr>
          <w:ilvl w:val="0"/>
          <w:numId w:val="11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L1 → L6: Long-run expectations should be anchored if the rule is credible. Dissonance fires when long-run expectations drift away from target despite stable rule estimates — credibility leak independent of estimated rule changes.</w:t>
      </w:r>
    </w:p>
    <w:p w14:paraId="077F6AFA" w14:textId="77777777" w:rsidR="0032251D" w:rsidRPr="0032251D" w:rsidRDefault="0032251D">
      <w:pPr>
        <w:numPr>
          <w:ilvl w:val="0"/>
          <w:numId w:val="11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L3a → L6: Rate moves shape near-term policy expectations. Dissonance fires when rate hikes fail to shift expectations — credibility issue.</w:t>
      </w:r>
    </w:p>
    <w:p w14:paraId="3E37AA46" w14:textId="77777777" w:rsidR="0032251D" w:rsidRPr="0032251D" w:rsidRDefault="0032251D">
      <w:pPr>
        <w:numPr>
          <w:ilvl w:val="0"/>
          <w:numId w:val="11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L3b → L6: QE/QT shape expectations about future stance and inflation. Dissonance fires when QE fails to lift inflation expectations from below target (the Japan story 2001-2013).</w:t>
      </w:r>
    </w:p>
    <w:p w14:paraId="788C14C5" w14:textId="77777777" w:rsidR="0032251D" w:rsidRPr="0032251D" w:rsidRDefault="0032251D">
      <w:pPr>
        <w:numPr>
          <w:ilvl w:val="0"/>
          <w:numId w:val="11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L3c → L6: Direct mapping — guidance is meant to shape expectations. Dissonance fires when stated guidance is not reflected in expectations data — credibility deficit.</w:t>
      </w:r>
    </w:p>
    <w:p w14:paraId="3105C580" w14:textId="77777777" w:rsidR="0032251D" w:rsidRPr="0032251D" w:rsidRDefault="0032251D">
      <w:pPr>
        <w:numPr>
          <w:ilvl w:val="0"/>
          <w:numId w:val="11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L3d → L6: FX intervention shapes inflation pass-through expectations. Dissonance fires when heavy intervention with inflation expectations still drifting — pass-through unanchored.</w:t>
      </w:r>
    </w:p>
    <w:p w14:paraId="4576839C" w14:textId="77777777" w:rsidR="0032251D" w:rsidRPr="0032251D" w:rsidRDefault="0032251D">
      <w:pPr>
        <w:numPr>
          <w:ilvl w:val="0"/>
          <w:numId w:val="11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L3e → L6: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affects credit-cycle expectations. Dissonance fires when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tightening without dampening credit-cycle expectations.</w:t>
      </w:r>
    </w:p>
    <w:p w14:paraId="6EA3D5C7" w14:textId="77777777" w:rsidR="0032251D" w:rsidRPr="0032251D" w:rsidRDefault="0032251D">
      <w:pPr>
        <w:numPr>
          <w:ilvl w:val="0"/>
          <w:numId w:val="11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lastRenderedPageBreak/>
        <w:t>L3f → L6: Facility activation shapes crisis expectations. Dissonance fires when facility activation amplifies rather than dampens stress expectations — facility seen as confirming severity rather than addressing it.</w:t>
      </w:r>
    </w:p>
    <w:p w14:paraId="1E4D38E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peer (with L4 market prices).</w:t>
      </w:r>
    </w:p>
    <w:p w14:paraId="138C5793" w14:textId="77777777" w:rsidR="0032251D" w:rsidRPr="0032251D" w:rsidRDefault="0032251D">
      <w:pPr>
        <w:numPr>
          <w:ilvl w:val="0"/>
          <w:numId w:val="11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L4a ↔ L6: Curve embeds expectations of future rates. Survey expectations and curve-implied expectations diverging = heterogeneous beliefs.</w:t>
      </w:r>
    </w:p>
    <w:p w14:paraId="0A086697" w14:textId="77777777" w:rsidR="0032251D" w:rsidRPr="0032251D" w:rsidRDefault="0032251D">
      <w:pPr>
        <w:numPr>
          <w:ilvl w:val="0"/>
          <w:numId w:val="11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L4b ↔ L6: FX moves shape inflation pass-through expectations. FX move without expectation adjustment = pass-through anchored.</w:t>
      </w:r>
    </w:p>
    <w:p w14:paraId="7F546D91" w14:textId="77777777" w:rsidR="0032251D" w:rsidRPr="0032251D" w:rsidRDefault="0032251D">
      <w:pPr>
        <w:numPr>
          <w:ilvl w:val="0"/>
          <w:numId w:val="11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L4c ↔ L6: BEIs are market-implied inflation expectations. Survey expectations and BEIs diverge = heterogeneous beliefs across markets and survey populations.</w:t>
      </w:r>
    </w:p>
    <w:p w14:paraId="64FC5526" w14:textId="77777777" w:rsidR="0032251D" w:rsidRPr="0032251D" w:rsidRDefault="0032251D">
      <w:pPr>
        <w:numPr>
          <w:ilvl w:val="0"/>
          <w:numId w:val="11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L4d ↔ L6: Vol embeds expectation uncertainty. Vol high with concentrated expectations = risk-premium driven, not expectation-driven.</w:t>
      </w:r>
    </w:p>
    <w:p w14:paraId="3F5B8E3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peer (with L5 intermediaries).</w:t>
      </w:r>
    </w:p>
    <w:p w14:paraId="366B8DAD" w14:textId="77777777" w:rsidR="0032251D" w:rsidRPr="0032251D" w:rsidRDefault="0032251D">
      <w:pPr>
        <w:numPr>
          <w:ilvl w:val="0"/>
          <w:numId w:val="11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L5a ↔ L6: Bank credit conditions shape credit expectations. Bank stress not reflected in credit expectations = survey lag.</w:t>
      </w:r>
    </w:p>
    <w:p w14:paraId="5726FA71" w14:textId="77777777" w:rsidR="0032251D" w:rsidRPr="0032251D" w:rsidRDefault="0032251D">
      <w:pPr>
        <w:numPr>
          <w:ilvl w:val="0"/>
          <w:numId w:val="11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L5b ↔ L6: NBFI positioning embeds expectations. NBFI positioning misaligned with survey expectations = behavioural vs stated belief gap.</w:t>
      </w:r>
    </w:p>
    <w:p w14:paraId="0D629DAA" w14:textId="77777777" w:rsidR="0032251D" w:rsidRPr="0032251D" w:rsidRDefault="0032251D">
      <w:pPr>
        <w:numPr>
          <w:ilvl w:val="0"/>
          <w:numId w:val="11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L5c ↔ L6: Dealer positioning embeds short-horizon expectations. Dealer positioning vs broader expectations divergent = informational asymmetry.</w:t>
      </w:r>
    </w:p>
    <w:p w14:paraId="1B4749B8" w14:textId="77777777" w:rsidR="0032251D" w:rsidRPr="0032251D" w:rsidRDefault="0032251D">
      <w:pPr>
        <w:numPr>
          <w:ilvl w:val="0"/>
          <w:numId w:val="11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L5d ↔ L6: Household and corporate expectations directly. HH expectations diverging from market-implied = sticky-info or extrapolation effects in household segment.</w:t>
      </w:r>
    </w:p>
    <w:p w14:paraId="18E3CBD9" w14:textId="77777777" w:rsidR="0032251D" w:rsidRPr="0032251D" w:rsidRDefault="0032251D">
      <w:pPr>
        <w:numPr>
          <w:ilvl w:val="0"/>
          <w:numId w:val="11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L5e ↔ L6: Sovereign credit expectations. Rating agency views vs CDS-implied default probabilities divergent = heterogeneous beliefs.</w:t>
      </w:r>
    </w:p>
    <w:p w14:paraId="760FF98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w:t>
      </w:r>
    </w:p>
    <w:p w14:paraId="5DE59F7D" w14:textId="77777777" w:rsidR="0032251D" w:rsidRPr="0032251D" w:rsidRDefault="0032251D">
      <w:pPr>
        <w:numPr>
          <w:ilvl w:val="0"/>
          <w:numId w:val="11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L6 → L7: Expectations shape forward conditions. Expectations shift without FCI response = credibility channel weak.</w:t>
      </w:r>
    </w:p>
    <w:p w14:paraId="4D24759F" w14:textId="77777777" w:rsidR="0032251D" w:rsidRPr="0032251D" w:rsidRDefault="0032251D">
      <w:pPr>
        <w:numPr>
          <w:ilvl w:val="0"/>
          <w:numId w:val="11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L6 → L8: Expectations drive cash flow forecasts. Expectations move without affecting valuation drivers = segmentation between expectation formation and asset valuation.</w:t>
      </w:r>
    </w:p>
    <w:p w14:paraId="0AC12E3B" w14:textId="77777777" w:rsidR="0032251D" w:rsidRPr="0032251D" w:rsidRDefault="0032251D">
      <w:pPr>
        <w:numPr>
          <w:ilvl w:val="0"/>
          <w:numId w:val="11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L6 → L9: Expectations drive asset prices. Expectations and asset prices diverge = positioning or technical factors dominating.</w:t>
      </w:r>
    </w:p>
    <w:p w14:paraId="30173C44" w14:textId="77777777" w:rsidR="0032251D" w:rsidRPr="0032251D" w:rsidRDefault="0032251D">
      <w:pPr>
        <w:numPr>
          <w:ilvl w:val="0"/>
          <w:numId w:val="11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L6 → L10a: Expectations affect spending and investment timing. Expectations shift without real-economy response = behavioural lag.</w:t>
      </w:r>
    </w:p>
    <w:p w14:paraId="066FC457" w14:textId="77777777" w:rsidR="0032251D" w:rsidRPr="0032251D" w:rsidRDefault="0032251D">
      <w:pPr>
        <w:numPr>
          <w:ilvl w:val="0"/>
          <w:numId w:val="11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L6 → L10b: Stability expectations affect leverage and risk-taking. Leverage builds despite caution-flagged expectations = expectations not reflected in behaviour.</w:t>
      </w:r>
    </w:p>
    <w:p w14:paraId="08CBE399" w14:textId="77777777" w:rsidR="0032251D" w:rsidRPr="0032251D" w:rsidRDefault="0032251D">
      <w:pPr>
        <w:numPr>
          <w:ilvl w:val="0"/>
          <w:numId w:val="11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L6 → L10c: Heterogeneous global expectations drive capital flows. Expectations align globally but flows don't follow = positioning friction.</w:t>
      </w:r>
    </w:p>
    <w:p w14:paraId="10E71B95"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The L6 node is the </w:t>
      </w:r>
      <w:r w:rsidRPr="0032251D">
        <w:rPr>
          <w:rFonts w:ascii="Aptos" w:eastAsia="Times New Roman" w:hAnsi="Aptos" w:cs="Times New Roman"/>
          <w:i/>
          <w:iCs/>
          <w:kern w:val="0"/>
          <w:sz w:val="22"/>
          <w:szCs w:val="22"/>
          <w:lang w:eastAsia="en-GB"/>
          <w14:ligatures w14:val="none"/>
        </w:rPr>
        <w:t>reflexive belief node</w:t>
      </w:r>
      <w:r w:rsidRPr="0032251D">
        <w:rPr>
          <w:rFonts w:ascii="Aptos" w:eastAsia="Times New Roman" w:hAnsi="Aptos" w:cs="Times New Roman"/>
          <w:kern w:val="0"/>
          <w:sz w:val="22"/>
          <w:szCs w:val="22"/>
          <w:lang w:eastAsia="en-GB"/>
          <w14:ligatures w14:val="none"/>
        </w:rPr>
        <w:t xml:space="preserve">. It sits between the observable conditions (L1-L5) and the downstream outcomes (L7-L10), but it is uniquely </w:t>
      </w:r>
      <w:r w:rsidRPr="0032251D">
        <w:rPr>
          <w:rFonts w:ascii="Aptos" w:eastAsia="Times New Roman" w:hAnsi="Aptos" w:cs="Times New Roman"/>
          <w:i/>
          <w:iCs/>
          <w:kern w:val="0"/>
          <w:sz w:val="22"/>
          <w:szCs w:val="22"/>
          <w:lang w:eastAsia="en-GB"/>
          <w14:ligatures w14:val="none"/>
        </w:rPr>
        <w:t>bidirectional</w:t>
      </w:r>
      <w:r w:rsidRPr="0032251D">
        <w:rPr>
          <w:rFonts w:ascii="Aptos" w:eastAsia="Times New Roman" w:hAnsi="Aptos" w:cs="Times New Roman"/>
          <w:kern w:val="0"/>
          <w:sz w:val="22"/>
          <w:szCs w:val="22"/>
          <w:lang w:eastAsia="en-GB"/>
          <w14:ligatures w14:val="none"/>
        </w:rPr>
        <w:t xml:space="preserve"> in its causation — past expectations shape current observable conditions, which then shape current expectations, which shape future conditions. This reflexive character makes L6 the natural place for self-fulfilling dynamics to operate — bank runs, currency crises, asset bubbles, and disinflations all involve coordination through expectations.</w:t>
      </w:r>
    </w:p>
    <w:p w14:paraId="0D19E30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lastRenderedPageBreak/>
        <w:t xml:space="preserve">For the framework, expectations are the cleanest single integration point for central bank credibility assessment. The bank's entire mission — beyond setting overnight rates — is the management of expectations across multiple agent types, multiple horizons, and multiple variables. Credibility is operationally identical to "stable, anchored long-run expectations that don't drift in response to transitory shocks." Dissonance at L6 is therefore typically the </w:t>
      </w:r>
      <w:r w:rsidRPr="0032251D">
        <w:rPr>
          <w:rFonts w:ascii="Aptos" w:eastAsia="Times New Roman" w:hAnsi="Aptos" w:cs="Times New Roman"/>
          <w:i/>
          <w:iCs/>
          <w:kern w:val="0"/>
          <w:sz w:val="22"/>
          <w:szCs w:val="22"/>
          <w:lang w:eastAsia="en-GB"/>
          <w14:ligatures w14:val="none"/>
        </w:rPr>
        <w:t>cleanest leading indicator</w:t>
      </w:r>
      <w:r w:rsidRPr="0032251D">
        <w:rPr>
          <w:rFonts w:ascii="Aptos" w:eastAsia="Times New Roman" w:hAnsi="Aptos" w:cs="Times New Roman"/>
          <w:kern w:val="0"/>
          <w:sz w:val="22"/>
          <w:szCs w:val="22"/>
          <w:lang w:eastAsia="en-GB"/>
          <w14:ligatures w14:val="none"/>
        </w:rPr>
        <w:t xml:space="preserve"> of credibility leak — before it shows up in asset prices, before it shows up in inflation outcomes, expectations themselves move.</w:t>
      </w:r>
    </w:p>
    <w:p w14:paraId="3527F483" w14:textId="77777777" w:rsidR="0032251D" w:rsidRPr="00B84586"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For SA specifically, L6 is unusually well-measured by EM standards — multiple high-quality surveys (Reuters, BER), reasonable BEI market depth, and a developed analyst community. The persistent gap between SA's long-run inflation expectations (around 5%) and SARB's target midpoint (4.5%) is the most important standing credibility signal in the SA framework. The recent SARB initiative to anchor expectations more firmly at the midpoint, rather than within the broader 3-6% band, is operationally about closing this gap. For the dissonance framework, the SA L6 node will likely carry meaningful predictive weight because the data is good, the gap is observable, and the policy interaction is direct. The 5-year-ahead BEI from the I-bond market provides the highest-frequency cross-validation against survey expectations — and the cross-method agreement (or divergence) is itself a primary dissonance signal.</w:t>
      </w:r>
    </w:p>
    <w:p w14:paraId="136C8EE8" w14:textId="77777777" w:rsidR="0032251D" w:rsidRPr="00B84586"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5E7CB923" w14:textId="77777777" w:rsidR="0032251D" w:rsidRPr="00B84586"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6F8FC6AC" w14:textId="77777777" w:rsidR="0032251D" w:rsidRPr="00B84586"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2F7B23A7" w14:textId="77777777" w:rsidR="0032251D" w:rsidRPr="00B84586"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635AB6E6" w14:textId="77777777" w:rsidR="0032251D" w:rsidRPr="00B84586"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487E699E" w14:textId="77777777" w:rsidR="0032251D" w:rsidRPr="00B84586"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7AC85F35" w14:textId="77777777" w:rsidR="0032251D" w:rsidRPr="00B84586"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41325E11" w14:textId="77777777" w:rsidR="0032251D" w:rsidRPr="00B84586"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386B21C4" w14:textId="77777777" w:rsidR="0032251D" w:rsidRPr="00B84586"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41018DE9" w14:textId="77777777" w:rsidR="0032251D" w:rsidRPr="00B84586"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7241B971" w14:textId="77777777" w:rsidR="0032251D" w:rsidRPr="00B84586"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2826E8CB" w14:textId="77777777" w:rsidR="0032251D" w:rsidRPr="00B84586"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3C18FA3F" w14:textId="77777777" w:rsidR="0032251D" w:rsidRPr="00B84586"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648BFE59" w14:textId="77777777" w:rsidR="0032251D" w:rsidRPr="00B84586"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27F5E754" w14:textId="77777777" w:rsidR="0032251D" w:rsidRPr="00B84586"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79993D2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457EFFE2" w14:textId="77777777" w:rsidR="0032251D" w:rsidRPr="0032251D" w:rsidRDefault="0032251D" w:rsidP="0032251D">
      <w:pPr>
        <w:spacing w:before="100" w:beforeAutospacing="1" w:after="100" w:afterAutospacing="1" w:line="240" w:lineRule="auto"/>
        <w:jc w:val="center"/>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lastRenderedPageBreak/>
        <w:t>Level 7 — Financial Conditions</w:t>
      </w:r>
    </w:p>
    <w:p w14:paraId="342B54D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Definition.</w:t>
      </w:r>
      <w:r w:rsidRPr="0032251D">
        <w:rPr>
          <w:rFonts w:ascii="Aptos" w:eastAsia="Times New Roman" w:hAnsi="Aptos" w:cs="Times New Roman"/>
          <w:kern w:val="0"/>
          <w:sz w:val="22"/>
          <w:szCs w:val="22"/>
          <w:lang w:eastAsia="en-GB"/>
          <w14:ligatures w14:val="none"/>
        </w:rPr>
        <w:t xml:space="preserve"> The Financial Conditions Index (FCI) is a constructed summary measure of the overall stance of financial markets, designed to capture how financial conditions are affecting real economic activity. It bundles multiple market-based variables — typically short rates, long rates, credit spreads, equity prices, and the exchange rate — into a single index calibrated to GDP impact. Modern FCIs are weighted such that a one-unit move corresponds to a roughly equivalent impact on real GDP growth a few quarters out. The conceptual function: convert the multi-dimensional reality of financial markets (curve shape, credit spreads, equity valuations, FX, vol) into the single number that </w:t>
      </w:r>
      <w:proofErr w:type="gramStart"/>
      <w:r w:rsidRPr="0032251D">
        <w:rPr>
          <w:rFonts w:ascii="Aptos" w:eastAsia="Times New Roman" w:hAnsi="Aptos" w:cs="Times New Roman"/>
          <w:kern w:val="0"/>
          <w:sz w:val="22"/>
          <w:szCs w:val="22"/>
          <w:lang w:eastAsia="en-GB"/>
          <w14:ligatures w14:val="none"/>
        </w:rPr>
        <w:t>actually transmits</w:t>
      </w:r>
      <w:proofErr w:type="gramEnd"/>
      <w:r w:rsidRPr="0032251D">
        <w:rPr>
          <w:rFonts w:ascii="Aptos" w:eastAsia="Times New Roman" w:hAnsi="Aptos" w:cs="Times New Roman"/>
          <w:kern w:val="0"/>
          <w:sz w:val="22"/>
          <w:szCs w:val="22"/>
          <w:lang w:eastAsia="en-GB"/>
          <w14:ligatures w14:val="none"/>
        </w:rPr>
        <w:t xml:space="preserve"> to the real economy. The policy rate is the </w:t>
      </w:r>
      <w:r w:rsidRPr="0032251D">
        <w:rPr>
          <w:rFonts w:ascii="Aptos" w:eastAsia="Times New Roman" w:hAnsi="Aptos" w:cs="Times New Roman"/>
          <w:i/>
          <w:iCs/>
          <w:kern w:val="0"/>
          <w:sz w:val="22"/>
          <w:szCs w:val="22"/>
          <w:lang w:eastAsia="en-GB"/>
          <w14:ligatures w14:val="none"/>
        </w:rPr>
        <w:t>instrument</w:t>
      </w:r>
      <w:r w:rsidRPr="0032251D">
        <w:rPr>
          <w:rFonts w:ascii="Aptos" w:eastAsia="Times New Roman" w:hAnsi="Aptos" w:cs="Times New Roman"/>
          <w:kern w:val="0"/>
          <w:sz w:val="22"/>
          <w:szCs w:val="22"/>
          <w:lang w:eastAsia="en-GB"/>
          <w14:ligatures w14:val="none"/>
        </w:rPr>
        <w:t xml:space="preserve">; the FCI is what does the </w:t>
      </w:r>
      <w:r w:rsidRPr="0032251D">
        <w:rPr>
          <w:rFonts w:ascii="Aptos" w:eastAsia="Times New Roman" w:hAnsi="Aptos" w:cs="Times New Roman"/>
          <w:i/>
          <w:iCs/>
          <w:kern w:val="0"/>
          <w:sz w:val="22"/>
          <w:szCs w:val="22"/>
          <w:lang w:eastAsia="en-GB"/>
          <w14:ligatures w14:val="none"/>
        </w:rPr>
        <w:t>work</w:t>
      </w:r>
      <w:r w:rsidRPr="0032251D">
        <w:rPr>
          <w:rFonts w:ascii="Aptos" w:eastAsia="Times New Roman" w:hAnsi="Aptos" w:cs="Times New Roman"/>
          <w:kern w:val="0"/>
          <w:sz w:val="22"/>
          <w:szCs w:val="22"/>
          <w:lang w:eastAsia="en-GB"/>
          <w14:ligatures w14:val="none"/>
        </w:rPr>
        <w:t>. Key indices in practice: Goldman Sachs FCI (market-practitioner standard); Chicago Fed NFCI (comprehensive, weekly, with sub-indices); Bloomberg FCI; Fed FCI-G (impact-calibrated, Fed Board); ECB FCI; BoE FCI. The L7 node integrates everything that has come before in the framework — instruments, markets, intermediaries, expectations — into the single number that maps to growth and inflation outcomes.</w:t>
      </w:r>
    </w:p>
    <w:p w14:paraId="7D63CBB2"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6B01EC6B">
          <v:rect id="_x0000_i1124" alt="" style="width:451.3pt;height:.05pt;mso-width-percent:0;mso-height-percent:0;mso-width-percent:0;mso-height-percent:0" o:hralign="center" o:hrstd="t" o:hr="t" fillcolor="#a0a0a0" stroked="f"/>
        </w:pict>
      </w:r>
    </w:p>
    <w:p w14:paraId="788A5FF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Theory</w:t>
      </w:r>
    </w:p>
    <w:p w14:paraId="6F8FE9E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Several theoretical foundations underpin the FCI as a distinct node.</w:t>
      </w:r>
    </w:p>
    <w:p w14:paraId="7F0C5FA2"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The transmission channels framework (Mishkin 1995).</w:t>
      </w:r>
      <w:r w:rsidRPr="0032251D">
        <w:rPr>
          <w:rFonts w:ascii="Aptos" w:eastAsia="Times New Roman" w:hAnsi="Aptos" w:cs="Times New Roman"/>
          <w:kern w:val="0"/>
          <w:sz w:val="22"/>
          <w:szCs w:val="22"/>
          <w:lang w:eastAsia="en-GB"/>
          <w14:ligatures w14:val="none"/>
        </w:rPr>
        <w:t xml:space="preserve"> Monetary policy affects the real economy through multiple channels operating simultaneously — interest rate channel, exchange rate channel, asset price/wealth channel, credit channel. No single variable captures the integrated effect. The policy rate operates through every channel but with different lags and elasticities; the FCI bundles the channels into a single state variable.</w:t>
      </w:r>
    </w:p>
    <w:p w14:paraId="18BDD6A5"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 xml:space="preserve">The </w:t>
      </w:r>
      <w:proofErr w:type="spellStart"/>
      <w:r w:rsidRPr="0032251D">
        <w:rPr>
          <w:rFonts w:ascii="Aptos" w:eastAsia="Times New Roman" w:hAnsi="Aptos" w:cs="Times New Roman"/>
          <w:i/>
          <w:iCs/>
          <w:kern w:val="0"/>
          <w:sz w:val="22"/>
          <w:szCs w:val="22"/>
          <w:lang w:eastAsia="en-GB"/>
          <w14:ligatures w14:val="none"/>
        </w:rPr>
        <w:t>Wicksellian</w:t>
      </w:r>
      <w:proofErr w:type="spellEnd"/>
      <w:r w:rsidRPr="0032251D">
        <w:rPr>
          <w:rFonts w:ascii="Aptos" w:eastAsia="Times New Roman" w:hAnsi="Aptos" w:cs="Times New Roman"/>
          <w:i/>
          <w:iCs/>
          <w:kern w:val="0"/>
          <w:sz w:val="22"/>
          <w:szCs w:val="22"/>
          <w:lang w:eastAsia="en-GB"/>
          <w14:ligatures w14:val="none"/>
        </w:rPr>
        <w:t xml:space="preserve"> framework extended.</w:t>
      </w:r>
      <w:r w:rsidRPr="0032251D">
        <w:rPr>
          <w:rFonts w:ascii="Aptos" w:eastAsia="Times New Roman" w:hAnsi="Aptos" w:cs="Times New Roman"/>
          <w:kern w:val="0"/>
          <w:sz w:val="22"/>
          <w:szCs w:val="22"/>
          <w:lang w:eastAsia="en-GB"/>
          <w14:ligatures w14:val="none"/>
        </w:rPr>
        <w:t xml:space="preserve"> The natural rate of interest is the rate consistent with stable inflation and output. But "rate" in the </w:t>
      </w:r>
      <w:proofErr w:type="spellStart"/>
      <w:r w:rsidRPr="0032251D">
        <w:rPr>
          <w:rFonts w:ascii="Aptos" w:eastAsia="Times New Roman" w:hAnsi="Aptos" w:cs="Times New Roman"/>
          <w:kern w:val="0"/>
          <w:sz w:val="22"/>
          <w:szCs w:val="22"/>
          <w:lang w:eastAsia="en-GB"/>
          <w14:ligatures w14:val="none"/>
        </w:rPr>
        <w:t>Wicksellian</w:t>
      </w:r>
      <w:proofErr w:type="spellEnd"/>
      <w:r w:rsidRPr="0032251D">
        <w:rPr>
          <w:rFonts w:ascii="Aptos" w:eastAsia="Times New Roman" w:hAnsi="Aptos" w:cs="Times New Roman"/>
          <w:kern w:val="0"/>
          <w:sz w:val="22"/>
          <w:szCs w:val="22"/>
          <w:lang w:eastAsia="en-GB"/>
          <w14:ligatures w14:val="none"/>
        </w:rPr>
        <w:t xml:space="preserve"> sense should really be understood as a broader financial conditions concept — the integrated stance facing borrowers and savers. When the FCI is looser than the "neutral FCI," inflation pressure builds; when tighter, disinflation. The FCI is the operational version of the </w:t>
      </w:r>
      <w:proofErr w:type="spellStart"/>
      <w:r w:rsidRPr="0032251D">
        <w:rPr>
          <w:rFonts w:ascii="Aptos" w:eastAsia="Times New Roman" w:hAnsi="Aptos" w:cs="Times New Roman"/>
          <w:kern w:val="0"/>
          <w:sz w:val="22"/>
          <w:szCs w:val="22"/>
          <w:lang w:eastAsia="en-GB"/>
          <w14:ligatures w14:val="none"/>
        </w:rPr>
        <w:t>Wicksellian</w:t>
      </w:r>
      <w:proofErr w:type="spellEnd"/>
      <w:r w:rsidRPr="0032251D">
        <w:rPr>
          <w:rFonts w:ascii="Aptos" w:eastAsia="Times New Roman" w:hAnsi="Aptos" w:cs="Times New Roman"/>
          <w:kern w:val="0"/>
          <w:sz w:val="22"/>
          <w:szCs w:val="22"/>
          <w:lang w:eastAsia="en-GB"/>
          <w14:ligatures w14:val="none"/>
        </w:rPr>
        <w:t xml:space="preserve"> rate-gap concept.</w:t>
      </w:r>
    </w:p>
    <w:p w14:paraId="45E0371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 xml:space="preserve">The </w:t>
      </w:r>
      <w:proofErr w:type="spellStart"/>
      <w:r w:rsidRPr="0032251D">
        <w:rPr>
          <w:rFonts w:ascii="Aptos" w:eastAsia="Times New Roman" w:hAnsi="Aptos" w:cs="Times New Roman"/>
          <w:i/>
          <w:iCs/>
          <w:kern w:val="0"/>
          <w:sz w:val="22"/>
          <w:szCs w:val="22"/>
          <w:lang w:eastAsia="en-GB"/>
          <w14:ligatures w14:val="none"/>
        </w:rPr>
        <w:t>Hatzius</w:t>
      </w:r>
      <w:proofErr w:type="spellEnd"/>
      <w:r w:rsidRPr="0032251D">
        <w:rPr>
          <w:rFonts w:ascii="Aptos" w:eastAsia="Times New Roman" w:hAnsi="Aptos" w:cs="Times New Roman"/>
          <w:i/>
          <w:iCs/>
          <w:kern w:val="0"/>
          <w:sz w:val="22"/>
          <w:szCs w:val="22"/>
          <w:lang w:eastAsia="en-GB"/>
          <w14:ligatures w14:val="none"/>
        </w:rPr>
        <w:t>-Hooper-Mishkin-Schoenholtz-Watson (2010) framework.</w:t>
      </w:r>
      <w:r w:rsidRPr="0032251D">
        <w:rPr>
          <w:rFonts w:ascii="Aptos" w:eastAsia="Times New Roman" w:hAnsi="Aptos" w:cs="Times New Roman"/>
          <w:kern w:val="0"/>
          <w:sz w:val="22"/>
          <w:szCs w:val="22"/>
          <w:lang w:eastAsia="en-GB"/>
          <w14:ligatures w14:val="none"/>
        </w:rPr>
        <w:t xml:space="preserve"> The foundational reference on FCI construction. Their argument: any single financial variable (rate, spread, equity price) captures only part of the transmission. The empirically reliable predictor of GDP is the </w:t>
      </w:r>
      <w:r w:rsidRPr="0032251D">
        <w:rPr>
          <w:rFonts w:ascii="Aptos" w:eastAsia="Times New Roman" w:hAnsi="Aptos" w:cs="Times New Roman"/>
          <w:i/>
          <w:iCs/>
          <w:kern w:val="0"/>
          <w:sz w:val="22"/>
          <w:szCs w:val="22"/>
          <w:lang w:eastAsia="en-GB"/>
          <w14:ligatures w14:val="none"/>
        </w:rPr>
        <w:t>combination</w:t>
      </w:r>
      <w:r w:rsidRPr="0032251D">
        <w:rPr>
          <w:rFonts w:ascii="Aptos" w:eastAsia="Times New Roman" w:hAnsi="Aptos" w:cs="Times New Roman"/>
          <w:kern w:val="0"/>
          <w:sz w:val="22"/>
          <w:szCs w:val="22"/>
          <w:lang w:eastAsia="en-GB"/>
          <w14:ligatures w14:val="none"/>
        </w:rPr>
        <w:t xml:space="preserve"> of variables, weighted by their estimated GDP impact. Their methodology — extract a common factor or use VAR-based impulse response weights — has shaped most modern FCIs.</w:t>
      </w:r>
    </w:p>
    <w:p w14:paraId="45AEE55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Policy stance as instrument vs outcome.</w:t>
      </w:r>
      <w:r w:rsidRPr="0032251D">
        <w:rPr>
          <w:rFonts w:ascii="Aptos" w:eastAsia="Times New Roman" w:hAnsi="Aptos" w:cs="Times New Roman"/>
          <w:kern w:val="0"/>
          <w:sz w:val="22"/>
          <w:szCs w:val="22"/>
          <w:lang w:eastAsia="en-GB"/>
          <w14:ligatures w14:val="none"/>
        </w:rPr>
        <w:t xml:space="preserve"> The central bank controls the policy rate directly; it does not control the FCI. Banks, NBFIs, foreign investors, dealers, household sentiment, and global conditions all jointly determine the FCI given the policy rate. </w:t>
      </w:r>
      <w:proofErr w:type="gramStart"/>
      <w:r w:rsidRPr="0032251D">
        <w:rPr>
          <w:rFonts w:ascii="Aptos" w:eastAsia="Times New Roman" w:hAnsi="Aptos" w:cs="Times New Roman"/>
          <w:kern w:val="0"/>
          <w:sz w:val="22"/>
          <w:szCs w:val="22"/>
          <w:lang w:eastAsia="en-GB"/>
          <w14:ligatures w14:val="none"/>
        </w:rPr>
        <w:t>So</w:t>
      </w:r>
      <w:proofErr w:type="gramEnd"/>
      <w:r w:rsidRPr="0032251D">
        <w:rPr>
          <w:rFonts w:ascii="Aptos" w:eastAsia="Times New Roman" w:hAnsi="Aptos" w:cs="Times New Roman"/>
          <w:kern w:val="0"/>
          <w:sz w:val="22"/>
          <w:szCs w:val="22"/>
          <w:lang w:eastAsia="en-GB"/>
          <w14:ligatures w14:val="none"/>
        </w:rPr>
        <w:t xml:space="preserve"> the FCI is the </w:t>
      </w:r>
      <w:r w:rsidRPr="0032251D">
        <w:rPr>
          <w:rFonts w:ascii="Aptos" w:eastAsia="Times New Roman" w:hAnsi="Aptos" w:cs="Times New Roman"/>
          <w:i/>
          <w:iCs/>
          <w:kern w:val="0"/>
          <w:sz w:val="22"/>
          <w:szCs w:val="22"/>
          <w:lang w:eastAsia="en-GB"/>
          <w14:ligatures w14:val="none"/>
        </w:rPr>
        <w:t>transmission outcome</w:t>
      </w:r>
      <w:r w:rsidRPr="0032251D">
        <w:rPr>
          <w:rFonts w:ascii="Aptos" w:eastAsia="Times New Roman" w:hAnsi="Aptos" w:cs="Times New Roman"/>
          <w:kern w:val="0"/>
          <w:sz w:val="22"/>
          <w:szCs w:val="22"/>
          <w:lang w:eastAsia="en-GB"/>
          <w14:ligatures w14:val="none"/>
        </w:rPr>
        <w:t xml:space="preserve"> — the actual effective stance facing the economy — while the policy rate is the </w:t>
      </w:r>
      <w:r w:rsidRPr="0032251D">
        <w:rPr>
          <w:rFonts w:ascii="Aptos" w:eastAsia="Times New Roman" w:hAnsi="Aptos" w:cs="Times New Roman"/>
          <w:i/>
          <w:iCs/>
          <w:kern w:val="0"/>
          <w:sz w:val="22"/>
          <w:szCs w:val="22"/>
          <w:lang w:eastAsia="en-GB"/>
          <w14:ligatures w14:val="none"/>
        </w:rPr>
        <w:t>instrument</w:t>
      </w:r>
      <w:r w:rsidRPr="0032251D">
        <w:rPr>
          <w:rFonts w:ascii="Aptos" w:eastAsia="Times New Roman" w:hAnsi="Aptos" w:cs="Times New Roman"/>
          <w:kern w:val="0"/>
          <w:sz w:val="22"/>
          <w:szCs w:val="22"/>
          <w:lang w:eastAsia="en-GB"/>
          <w14:ligatures w14:val="none"/>
        </w:rPr>
        <w:t>. A 100bp hike may produce 100bp of FCI tightening (clean transmission), 200bp (amplified by credit, FX, equity), or near zero (offset by easing credit, rallying equities, weakening currency). This asymmetry is the structural reason banks watch FCIs closely.</w:t>
      </w:r>
    </w:p>
    <w:p w14:paraId="61A229D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The financial cycle.</w:t>
      </w:r>
      <w:r w:rsidRPr="0032251D">
        <w:rPr>
          <w:rFonts w:ascii="Aptos" w:eastAsia="Times New Roman" w:hAnsi="Aptos" w:cs="Times New Roman"/>
          <w:kern w:val="0"/>
          <w:sz w:val="22"/>
          <w:szCs w:val="22"/>
          <w:lang w:eastAsia="en-GB"/>
          <w14:ligatures w14:val="none"/>
        </w:rPr>
        <w:t xml:space="preserve"> Borio's BIS framework argues for a separate "financial cycle" — longer and larger than the business cycle — driven by credit and asset price dynamics. The FCI is the most operational measurement of where in this cycle the economy sits. Persistent loose FCI builds financial vulnerability even when business cycle indicators look fine.</w:t>
      </w:r>
    </w:p>
    <w:p w14:paraId="252B8C5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Self-reinforcing dynamics.</w:t>
      </w:r>
      <w:r w:rsidRPr="0032251D">
        <w:rPr>
          <w:rFonts w:ascii="Aptos" w:eastAsia="Times New Roman" w:hAnsi="Aptos" w:cs="Times New Roman"/>
          <w:kern w:val="0"/>
          <w:sz w:val="22"/>
          <w:szCs w:val="22"/>
          <w:lang w:eastAsia="en-GB"/>
          <w14:ligatures w14:val="none"/>
        </w:rPr>
        <w:t xml:space="preserve"> FCIs are reflexive. Easy FCI raises asset prices, which lower future expected returns, which compresses risk premia, which loosens FCI further. The procyclical feedback is structural. Tightening cycles operate in reverse. This reflexivity is the empirical reason FCI moves tend to be larger and more persistent than fundamental shifts in monetary policy alone would predict.</w:t>
      </w:r>
    </w:p>
    <w:p w14:paraId="12B30B9F"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0C13EDF5">
          <v:rect id="_x0000_i1125" alt="" style="width:451.3pt;height:.05pt;mso-width-percent:0;mso-height-percent:0;mso-width-percent:0;mso-height-percent:0" o:hralign="center" o:hrstd="t" o:hr="t" fillcolor="#a0a0a0" stroked="f"/>
        </w:pict>
      </w:r>
    </w:p>
    <w:p w14:paraId="79D1807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Canonical specifications and parameters</w:t>
      </w:r>
    </w:p>
    <w:p w14:paraId="753A4DC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Standard FCI inputs across major indices:</w:t>
      </w:r>
    </w:p>
    <w:p w14:paraId="58C7224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Short rates (3-month, 1-year).</w:t>
      </w:r>
      <w:r w:rsidRPr="0032251D">
        <w:rPr>
          <w:rFonts w:ascii="Aptos" w:eastAsia="Times New Roman" w:hAnsi="Aptos" w:cs="Times New Roman"/>
          <w:kern w:val="0"/>
          <w:sz w:val="22"/>
          <w:szCs w:val="22"/>
          <w:lang w:eastAsia="en-GB"/>
          <w14:ligatures w14:val="none"/>
        </w:rPr>
        <w:t xml:space="preserve"> Capture current policy stance and very near-term path. Mechanically tied to L3a.</w:t>
      </w:r>
    </w:p>
    <w:p w14:paraId="6A7A431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Long rates (10-year).</w:t>
      </w:r>
      <w:r w:rsidRPr="0032251D">
        <w:rPr>
          <w:rFonts w:ascii="Aptos" w:eastAsia="Times New Roman" w:hAnsi="Aptos" w:cs="Times New Roman"/>
          <w:kern w:val="0"/>
          <w:sz w:val="22"/>
          <w:szCs w:val="22"/>
          <w:lang w:eastAsia="en-GB"/>
          <w14:ligatures w14:val="none"/>
        </w:rPr>
        <w:t xml:space="preserve"> Capture expected policy path plus term premium. Tied to L4a yield curve dynamics. Sometimes split into expected-rate and term-premium components for richer FCI construction.</w:t>
      </w:r>
    </w:p>
    <w:p w14:paraId="6F6DF3D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Credit spreads.</w:t>
      </w:r>
      <w:r w:rsidRPr="0032251D">
        <w:rPr>
          <w:rFonts w:ascii="Aptos" w:eastAsia="Times New Roman" w:hAnsi="Aptos" w:cs="Times New Roman"/>
          <w:kern w:val="0"/>
          <w:sz w:val="22"/>
          <w:szCs w:val="22"/>
          <w:lang w:eastAsia="en-GB"/>
          <w14:ligatures w14:val="none"/>
        </w:rPr>
        <w:t xml:space="preserve"> Investment grade corporate, high yield corporate, mortgage spreads (e.g., 30Y agency MBS vs 10Y Treasury), commercial paper. Capture credit conditions and risk premium. Particularly important post-2008 — explicit recognition that credit spreads carry information beyond rates alone.</w:t>
      </w:r>
    </w:p>
    <w:p w14:paraId="6830A1C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Equity prices.</w:t>
      </w:r>
      <w:r w:rsidRPr="0032251D">
        <w:rPr>
          <w:rFonts w:ascii="Aptos" w:eastAsia="Times New Roman" w:hAnsi="Aptos" w:cs="Times New Roman"/>
          <w:kern w:val="0"/>
          <w:sz w:val="22"/>
          <w:szCs w:val="22"/>
          <w:lang w:eastAsia="en-GB"/>
          <w14:ligatures w14:val="none"/>
        </w:rPr>
        <w:t xml:space="preserve"> Broad equity index level or earnings yield. Capture wealth effects on consumption and cost of capital for equity issuance. Sometimes adjusted for valuation (P/E, Shiller CAPE) rather than raw price level.</w:t>
      </w:r>
    </w:p>
    <w:p w14:paraId="2CBB0FF5"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Exchange rate.</w:t>
      </w:r>
      <w:r w:rsidRPr="0032251D">
        <w:rPr>
          <w:rFonts w:ascii="Aptos" w:eastAsia="Times New Roman" w:hAnsi="Aptos" w:cs="Times New Roman"/>
          <w:kern w:val="0"/>
          <w:sz w:val="22"/>
          <w:szCs w:val="22"/>
          <w:lang w:eastAsia="en-GB"/>
          <w14:ligatures w14:val="none"/>
        </w:rPr>
        <w:t xml:space="preserve"> Trade-weighted or REER. Captures trade balance and inflation pass-through channels. Particularly heavy weight for small open economies.</w:t>
      </w:r>
    </w:p>
    <w:p w14:paraId="1F5FFA7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Optional additions (in some FCIs).</w:t>
      </w:r>
    </w:p>
    <w:p w14:paraId="4018F74F" w14:textId="77777777" w:rsidR="0032251D" w:rsidRPr="0032251D" w:rsidRDefault="0032251D">
      <w:pPr>
        <w:numPr>
          <w:ilvl w:val="0"/>
          <w:numId w:val="11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Volatility (VIX or equivalent): captures uncertainty premium</w:t>
      </w:r>
    </w:p>
    <w:p w14:paraId="18D45523" w14:textId="77777777" w:rsidR="0032251D" w:rsidRPr="0032251D" w:rsidRDefault="0032251D">
      <w:pPr>
        <w:numPr>
          <w:ilvl w:val="0"/>
          <w:numId w:val="11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Housing prices: especially relevant for economies with significant housing wealth</w:t>
      </w:r>
    </w:p>
    <w:p w14:paraId="24D2E57A" w14:textId="77777777" w:rsidR="0032251D" w:rsidRPr="0032251D" w:rsidRDefault="0032251D">
      <w:pPr>
        <w:numPr>
          <w:ilvl w:val="0"/>
          <w:numId w:val="11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Survey-based lending conditions (SLOOS, BLS): captures bank lending standards</w:t>
      </w:r>
    </w:p>
    <w:p w14:paraId="49BA30EB" w14:textId="77777777" w:rsidR="0032251D" w:rsidRPr="0032251D" w:rsidRDefault="0032251D">
      <w:pPr>
        <w:numPr>
          <w:ilvl w:val="0"/>
          <w:numId w:val="11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Mortgage-specific rates and spreads</w:t>
      </w:r>
    </w:p>
    <w:p w14:paraId="06F378AC" w14:textId="77777777" w:rsidR="0032251D" w:rsidRPr="0032251D" w:rsidRDefault="0032251D">
      <w:pPr>
        <w:numPr>
          <w:ilvl w:val="0"/>
          <w:numId w:val="11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Money supply growth (less common in modern FCIs)</w:t>
      </w:r>
    </w:p>
    <w:p w14:paraId="45691508" w14:textId="77777777" w:rsidR="0032251D" w:rsidRPr="0032251D" w:rsidRDefault="0032251D">
      <w:pPr>
        <w:numPr>
          <w:ilvl w:val="0"/>
          <w:numId w:val="11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Bank lending growth</w:t>
      </w:r>
    </w:p>
    <w:p w14:paraId="6B58B6B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Weighting methodologies.</w:t>
      </w:r>
    </w:p>
    <w:p w14:paraId="45673A8A" w14:textId="77777777" w:rsidR="0032251D" w:rsidRPr="0032251D" w:rsidRDefault="0032251D">
      <w:pPr>
        <w:numPr>
          <w:ilvl w:val="0"/>
          <w:numId w:val="11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Equal weight</w:t>
      </w:r>
      <w:r w:rsidRPr="0032251D">
        <w:rPr>
          <w:rFonts w:ascii="Aptos" w:eastAsia="Times New Roman" w:hAnsi="Aptos" w:cs="Times New Roman"/>
          <w:kern w:val="0"/>
          <w:sz w:val="22"/>
          <w:szCs w:val="22"/>
          <w:lang w:eastAsia="en-GB"/>
          <w14:ligatures w14:val="none"/>
        </w:rPr>
        <w:t>: simple, transparent, rarely used in serious indices</w:t>
      </w:r>
    </w:p>
    <w:p w14:paraId="243D9DB8" w14:textId="77777777" w:rsidR="0032251D" w:rsidRPr="0032251D" w:rsidRDefault="0032251D">
      <w:pPr>
        <w:numPr>
          <w:ilvl w:val="0"/>
          <w:numId w:val="11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 xml:space="preserve">Principal component </w:t>
      </w:r>
      <w:proofErr w:type="gramStart"/>
      <w:r w:rsidRPr="0032251D">
        <w:rPr>
          <w:rFonts w:ascii="Aptos" w:eastAsia="Times New Roman" w:hAnsi="Aptos" w:cs="Times New Roman"/>
          <w:b/>
          <w:bCs/>
          <w:kern w:val="0"/>
          <w:sz w:val="22"/>
          <w:szCs w:val="22"/>
          <w:lang w:eastAsia="en-GB"/>
          <w14:ligatures w14:val="none"/>
        </w:rPr>
        <w:t>analysis</w:t>
      </w:r>
      <w:r w:rsidRPr="0032251D">
        <w:rPr>
          <w:rFonts w:ascii="Aptos" w:eastAsia="Times New Roman" w:hAnsi="Aptos" w:cs="Times New Roman"/>
          <w:kern w:val="0"/>
          <w:sz w:val="22"/>
          <w:szCs w:val="22"/>
          <w:lang w:eastAsia="en-GB"/>
          <w14:ligatures w14:val="none"/>
        </w:rPr>
        <w:t>:</w:t>
      </w:r>
      <w:proofErr w:type="gramEnd"/>
      <w:r w:rsidRPr="0032251D">
        <w:rPr>
          <w:rFonts w:ascii="Aptos" w:eastAsia="Times New Roman" w:hAnsi="Aptos" w:cs="Times New Roman"/>
          <w:kern w:val="0"/>
          <w:sz w:val="22"/>
          <w:szCs w:val="22"/>
          <w:lang w:eastAsia="en-GB"/>
          <w14:ligatures w14:val="none"/>
        </w:rPr>
        <w:t xml:space="preserve"> extracts the common factor across variables; widely used (Chicago Fed NFCI uses this)</w:t>
      </w:r>
    </w:p>
    <w:p w14:paraId="6AD870A9" w14:textId="77777777" w:rsidR="0032251D" w:rsidRPr="0032251D" w:rsidRDefault="0032251D">
      <w:pPr>
        <w:numPr>
          <w:ilvl w:val="0"/>
          <w:numId w:val="11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lastRenderedPageBreak/>
        <w:t>VAR-based impulse response weights</w:t>
      </w:r>
      <w:r w:rsidRPr="0032251D">
        <w:rPr>
          <w:rFonts w:ascii="Aptos" w:eastAsia="Times New Roman" w:hAnsi="Aptos" w:cs="Times New Roman"/>
          <w:kern w:val="0"/>
          <w:sz w:val="22"/>
          <w:szCs w:val="22"/>
          <w:lang w:eastAsia="en-GB"/>
          <w14:ligatures w14:val="none"/>
        </w:rPr>
        <w:t>: each variable weighted by its estimated impact on GDP</w:t>
      </w:r>
    </w:p>
    <w:p w14:paraId="0C66F4EA" w14:textId="77777777" w:rsidR="0032251D" w:rsidRPr="0032251D" w:rsidRDefault="0032251D">
      <w:pPr>
        <w:numPr>
          <w:ilvl w:val="0"/>
          <w:numId w:val="11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DSGE-based</w:t>
      </w:r>
      <w:r w:rsidRPr="0032251D">
        <w:rPr>
          <w:rFonts w:ascii="Aptos" w:eastAsia="Times New Roman" w:hAnsi="Aptos" w:cs="Times New Roman"/>
          <w:kern w:val="0"/>
          <w:sz w:val="22"/>
          <w:szCs w:val="22"/>
          <w:lang w:eastAsia="en-GB"/>
          <w14:ligatures w14:val="none"/>
        </w:rPr>
        <w:t>: full structural model identification; more theoretically grounded but less robust</w:t>
      </w:r>
    </w:p>
    <w:p w14:paraId="64CE6FAD" w14:textId="77777777" w:rsidR="0032251D" w:rsidRPr="0032251D" w:rsidRDefault="0032251D">
      <w:pPr>
        <w:numPr>
          <w:ilvl w:val="0"/>
          <w:numId w:val="11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GDP impact calibration</w:t>
      </w:r>
      <w:r w:rsidRPr="0032251D">
        <w:rPr>
          <w:rFonts w:ascii="Aptos" w:eastAsia="Times New Roman" w:hAnsi="Aptos" w:cs="Times New Roman"/>
          <w:kern w:val="0"/>
          <w:sz w:val="22"/>
          <w:szCs w:val="22"/>
          <w:lang w:eastAsia="en-GB"/>
          <w14:ligatures w14:val="none"/>
        </w:rPr>
        <w:t>: linear regression of GDP on financial variables; weights are the regression coefficients (Fed FCI-G uses this)</w:t>
      </w:r>
    </w:p>
    <w:p w14:paraId="5E9F224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weighting choice matters meaningfully. Different methodologies produce FCIs that can disagree on the direction of financial conditions changes during specific episodes. Goldman's FCI and the Chicago Fed NFCI sometimes disagree on weekly moves because of methodology differences, not because either is wrong.</w:t>
      </w:r>
    </w:p>
    <w:p w14:paraId="19F3D7B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Calibration.</w:t>
      </w:r>
      <w:r w:rsidRPr="0032251D">
        <w:rPr>
          <w:rFonts w:ascii="Aptos" w:eastAsia="Times New Roman" w:hAnsi="Aptos" w:cs="Times New Roman"/>
          <w:kern w:val="0"/>
          <w:sz w:val="22"/>
          <w:szCs w:val="22"/>
          <w:lang w:eastAsia="en-GB"/>
          <w14:ligatures w14:val="none"/>
        </w:rPr>
        <w:t xml:space="preserve"> Most modern FCIs are calibrated such that a one-unit (or one-standard-deviation) move corresponds to a known impact on GDP growth — typically 0.5-1.0 percentage point at a 1-year horizon. This makes the FCI directly interpretable as "policy stance equivalent."</w:t>
      </w:r>
    </w:p>
    <w:p w14:paraId="3AA8397D"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3197E219">
          <v:rect id="_x0000_i1126" alt="" style="width:451.3pt;height:.05pt;mso-width-percent:0;mso-height-percent:0;mso-width-percent:0;mso-height-percent:0" o:hralign="center" o:hrstd="t" o:hr="t" fillcolor="#a0a0a0" stroked="f"/>
        </w:pict>
      </w:r>
    </w:p>
    <w:p w14:paraId="62B2435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Why this matters for asset prices</w:t>
      </w:r>
    </w:p>
    <w:p w14:paraId="6BCED6D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FCI is consequential through six channels.</w:t>
      </w:r>
    </w:p>
    <w:p w14:paraId="79140B2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Real economy transmission.</w:t>
      </w:r>
      <w:r w:rsidRPr="0032251D">
        <w:rPr>
          <w:rFonts w:ascii="Aptos" w:eastAsia="Times New Roman" w:hAnsi="Aptos" w:cs="Times New Roman"/>
          <w:kern w:val="0"/>
          <w:sz w:val="22"/>
          <w:szCs w:val="22"/>
          <w:lang w:eastAsia="en-GB"/>
          <w14:ligatures w14:val="none"/>
        </w:rPr>
        <w:t xml:space="preserve"> The FCI predicts GDP growth a few quarters out with reasonable reliability. Persistent FCI tightening → slowing growth → eventually rate cuts. Persistent loosening → accelerating growth → eventually rate hikes. The FCI is therefore a leading indicator that feeds back into central bank reaction functions.</w:t>
      </w:r>
    </w:p>
    <w:p w14:paraId="10FDDC4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Effective policy stance assessment.</w:t>
      </w:r>
      <w:r w:rsidRPr="0032251D">
        <w:rPr>
          <w:rFonts w:ascii="Aptos" w:eastAsia="Times New Roman" w:hAnsi="Aptos" w:cs="Times New Roman"/>
          <w:kern w:val="0"/>
          <w:sz w:val="22"/>
          <w:szCs w:val="22"/>
          <w:lang w:eastAsia="en-GB"/>
          <w14:ligatures w14:val="none"/>
        </w:rPr>
        <w:t xml:space="preserve"> Same nominal rate move can produce very different effective stance. A 100bp hike accompanied by tighter credit spreads, falling equities, and stronger currency produces meaningful FCI tightening. The same hike accompanied by easing credit spreads, rising equities (because the market sees the bank as credible and growth as resilient), and weaker currency produces near-zero FCI tightening — the rate hike "didn't take." This is the practical reason banks watch FCIs: they reveal whether the intended stance is being achieved.</w:t>
      </w:r>
    </w:p>
    <w:p w14:paraId="75F826F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Cross-asset positioning regime.</w:t>
      </w:r>
      <w:r w:rsidRPr="0032251D">
        <w:rPr>
          <w:rFonts w:ascii="Aptos" w:eastAsia="Times New Roman" w:hAnsi="Aptos" w:cs="Times New Roman"/>
          <w:kern w:val="0"/>
          <w:sz w:val="22"/>
          <w:szCs w:val="22"/>
          <w:lang w:eastAsia="en-GB"/>
          <w14:ligatures w14:val="none"/>
        </w:rPr>
        <w:t xml:space="preserve"> Asset allocators use FCI as a regime classifier. Tightening FCI cycles historically correspond to specific cross-asset patterns — credit underperforms, equity defensives outperform, duration eventually rallies, USD typically strengthens. Loosening cycles produce the inverse. The FCI is therefore a higher-order state variable for portfolio construction.</w:t>
      </w:r>
    </w:p>
    <w:p w14:paraId="4BFAF09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Wealth effect channel.</w:t>
      </w:r>
      <w:r w:rsidRPr="0032251D">
        <w:rPr>
          <w:rFonts w:ascii="Aptos" w:eastAsia="Times New Roman" w:hAnsi="Aptos" w:cs="Times New Roman"/>
          <w:kern w:val="0"/>
          <w:sz w:val="22"/>
          <w:szCs w:val="22"/>
          <w:lang w:eastAsia="en-GB"/>
          <w14:ligatures w14:val="none"/>
        </w:rPr>
        <w:t xml:space="preserve"> Asset price changes flow through to household wealth, which affects consumption. The FCI captures this through its equity component. Rising equity prices loosen the FCI both directly (the equity component declines on tightening scale) and indirectly (through the implied wealth effect on demand).</w:t>
      </w:r>
    </w:p>
    <w:p w14:paraId="74EDF46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Financing cost channel.</w:t>
      </w:r>
      <w:r w:rsidRPr="0032251D">
        <w:rPr>
          <w:rFonts w:ascii="Aptos" w:eastAsia="Times New Roman" w:hAnsi="Aptos" w:cs="Times New Roman"/>
          <w:kern w:val="0"/>
          <w:sz w:val="22"/>
          <w:szCs w:val="22"/>
          <w:lang w:eastAsia="en-GB"/>
          <w14:ligatures w14:val="none"/>
        </w:rPr>
        <w:t xml:space="preserve"> Corporate financing cost is determined by sovereign rates plus credit spreads. The FCI captures both. Loose FCI = cheap financing = high capex, high M&amp;A, high share buybacks. Tight FCI = expensive financing = capex cuts, deleveraging, equity issuance.</w:t>
      </w:r>
    </w:p>
    <w:p w14:paraId="67C5074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FCI-policy stance gap as a state variable.</w:t>
      </w:r>
      <w:r w:rsidRPr="0032251D">
        <w:rPr>
          <w:rFonts w:ascii="Aptos" w:eastAsia="Times New Roman" w:hAnsi="Aptos" w:cs="Times New Roman"/>
          <w:kern w:val="0"/>
          <w:sz w:val="22"/>
          <w:szCs w:val="22"/>
          <w:lang w:eastAsia="en-GB"/>
          <w14:ligatures w14:val="none"/>
        </w:rPr>
        <w:t xml:space="preserve"> The gap between the FCI and what the policy rate alone would imply is itself information. A large positive gap (FCI tighter than rate suggests) </w:t>
      </w:r>
      <w:r w:rsidRPr="0032251D">
        <w:rPr>
          <w:rFonts w:ascii="Aptos" w:eastAsia="Times New Roman" w:hAnsi="Aptos" w:cs="Times New Roman"/>
          <w:kern w:val="0"/>
          <w:sz w:val="22"/>
          <w:szCs w:val="22"/>
          <w:lang w:eastAsia="en-GB"/>
          <w14:ligatures w14:val="none"/>
        </w:rPr>
        <w:lastRenderedPageBreak/>
        <w:t>implies stress in markets independent of policy stance — credit dysfunction, equity sell-off, FX pressure. A large negative gap implies markets are loosening despite policy intent — what the Fed called "financial conditions failing to tighten" in 2018 and 2023 communications.</w:t>
      </w:r>
    </w:p>
    <w:p w14:paraId="0CB5FB8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For investment managers four practitioner points dominate. First, the FCI rather than the policy rate is the right state variable for cyclical positioning — the rate is the instrument; the FCI is the outcome that </w:t>
      </w:r>
      <w:proofErr w:type="gramStart"/>
      <w:r w:rsidRPr="0032251D">
        <w:rPr>
          <w:rFonts w:ascii="Aptos" w:eastAsia="Times New Roman" w:hAnsi="Aptos" w:cs="Times New Roman"/>
          <w:kern w:val="0"/>
          <w:sz w:val="22"/>
          <w:szCs w:val="22"/>
          <w:lang w:eastAsia="en-GB"/>
          <w14:ligatures w14:val="none"/>
        </w:rPr>
        <w:t>actually drives</w:t>
      </w:r>
      <w:proofErr w:type="gramEnd"/>
      <w:r w:rsidRPr="0032251D">
        <w:rPr>
          <w:rFonts w:ascii="Aptos" w:eastAsia="Times New Roman" w:hAnsi="Aptos" w:cs="Times New Roman"/>
          <w:kern w:val="0"/>
          <w:sz w:val="22"/>
          <w:szCs w:val="22"/>
          <w:lang w:eastAsia="en-GB"/>
          <w14:ligatures w14:val="none"/>
        </w:rPr>
        <w:t xml:space="preserve"> growth. Second, FCI tightening cycles have characteristic asset class implications that are exploitable for tactical allocation. Third, the FCI-stance gap (where FCI is vs where the bank intends) is a major mismatch signal — large gaps typically precede either policy adjustment or market correction. Fourth, monitoring FCI sub-components rather than the headline is often more informative — the components that are pulling the index move tell you what is </w:t>
      </w:r>
      <w:proofErr w:type="gramStart"/>
      <w:r w:rsidRPr="0032251D">
        <w:rPr>
          <w:rFonts w:ascii="Aptos" w:eastAsia="Times New Roman" w:hAnsi="Aptos" w:cs="Times New Roman"/>
          <w:kern w:val="0"/>
          <w:sz w:val="22"/>
          <w:szCs w:val="22"/>
          <w:lang w:eastAsia="en-GB"/>
          <w14:ligatures w14:val="none"/>
        </w:rPr>
        <w:t>actually constraining</w:t>
      </w:r>
      <w:proofErr w:type="gramEnd"/>
      <w:r w:rsidRPr="0032251D">
        <w:rPr>
          <w:rFonts w:ascii="Aptos" w:eastAsia="Times New Roman" w:hAnsi="Aptos" w:cs="Times New Roman"/>
          <w:kern w:val="0"/>
          <w:sz w:val="22"/>
          <w:szCs w:val="22"/>
          <w:lang w:eastAsia="en-GB"/>
          <w14:ligatures w14:val="none"/>
        </w:rPr>
        <w:t xml:space="preserve"> or supporting the economy.</w:t>
      </w:r>
    </w:p>
    <w:p w14:paraId="3C801D40"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172D7443">
          <v:rect id="_x0000_i1127" alt="" style="width:451.3pt;height:.05pt;mso-width-percent:0;mso-height-percent:0;mso-width-percent:0;mso-height-percent:0" o:hralign="center" o:hrstd="t" o:hr="t" fillcolor="#a0a0a0" stroked="f"/>
        </w:pict>
      </w:r>
    </w:p>
    <w:p w14:paraId="19EEEF9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Regime and EM variation</w:t>
      </w:r>
    </w:p>
    <w:p w14:paraId="7E6AA82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DM FCIs.</w:t>
      </w:r>
      <w:r w:rsidRPr="0032251D">
        <w:rPr>
          <w:rFonts w:ascii="Aptos" w:eastAsia="Times New Roman" w:hAnsi="Aptos" w:cs="Times New Roman"/>
          <w:kern w:val="0"/>
          <w:sz w:val="22"/>
          <w:szCs w:val="22"/>
          <w:lang w:eastAsia="en-GB"/>
          <w14:ligatures w14:val="none"/>
        </w:rPr>
        <w:t xml:space="preserve"> Multiple high-quality indices are available with daily or weekly frequency. The US has the deepest universe — Goldman, Chicago Fed, Bloomberg, Fed Board all publish indices with somewhat different methodologies. The ECB publishes a euro-area FCI. The BoE publishes a UK FCI. Sub-components are typically available at high frequency. Methodology is transparent and the literature is dense.</w:t>
      </w:r>
    </w:p>
    <w:p w14:paraId="5CC0FB3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EM FCIs.</w:t>
      </w:r>
      <w:r w:rsidRPr="0032251D">
        <w:rPr>
          <w:rFonts w:ascii="Aptos" w:eastAsia="Times New Roman" w:hAnsi="Aptos" w:cs="Times New Roman"/>
          <w:kern w:val="0"/>
          <w:sz w:val="22"/>
          <w:szCs w:val="22"/>
          <w:lang w:eastAsia="en-GB"/>
          <w14:ligatures w14:val="none"/>
        </w:rPr>
        <w:t xml:space="preserve"> Less standardised and less well-known.</w:t>
      </w:r>
    </w:p>
    <w:p w14:paraId="727339BC" w14:textId="77777777" w:rsidR="0032251D" w:rsidRPr="0032251D" w:rsidRDefault="0032251D">
      <w:pPr>
        <w:numPr>
          <w:ilvl w:val="0"/>
          <w:numId w:val="11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IMF publishes country-level FCIs in some WEO chapters.</w:t>
      </w:r>
    </w:p>
    <w:p w14:paraId="497AD4B0" w14:textId="77777777" w:rsidR="0032251D" w:rsidRPr="0032251D" w:rsidRDefault="0032251D">
      <w:pPr>
        <w:numPr>
          <w:ilvl w:val="0"/>
          <w:numId w:val="11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Goldman publishes country FCIs for major EMs (Brazil, Mexico, Korea, Turkey, etc.).</w:t>
      </w:r>
    </w:p>
    <w:p w14:paraId="083E334A" w14:textId="77777777" w:rsidR="0032251D" w:rsidRPr="0032251D" w:rsidRDefault="0032251D">
      <w:pPr>
        <w:numPr>
          <w:ilvl w:val="0"/>
          <w:numId w:val="11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National central banks may construct internal FCIs without publishing them.</w:t>
      </w:r>
    </w:p>
    <w:p w14:paraId="55425F12" w14:textId="77777777" w:rsidR="0032251D" w:rsidRPr="0032251D" w:rsidRDefault="0032251D">
      <w:pPr>
        <w:numPr>
          <w:ilvl w:val="0"/>
          <w:numId w:val="11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Component availability varies significantly. Credit spread data is thinner in EM (smaller corporate bond markets); some components must be substituted with proxies.</w:t>
      </w:r>
    </w:p>
    <w:p w14:paraId="6E46106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EM-specific construction issues.</w:t>
      </w:r>
    </w:p>
    <w:p w14:paraId="10F10C1A" w14:textId="77777777" w:rsidR="0032251D" w:rsidRPr="0032251D" w:rsidRDefault="0032251D">
      <w:pPr>
        <w:numPr>
          <w:ilvl w:val="0"/>
          <w:numId w:val="11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Credit spreads less liquid and observable — IG/HY corporate distinction often unavailable</w:t>
      </w:r>
    </w:p>
    <w:p w14:paraId="0A6A0782" w14:textId="77777777" w:rsidR="0032251D" w:rsidRPr="0032251D" w:rsidRDefault="0032251D">
      <w:pPr>
        <w:numPr>
          <w:ilvl w:val="0"/>
          <w:numId w:val="11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Wealth effects weaker because of lower household equity ownership</w:t>
      </w:r>
    </w:p>
    <w:p w14:paraId="20AEB356" w14:textId="77777777" w:rsidR="0032251D" w:rsidRPr="0032251D" w:rsidRDefault="0032251D">
      <w:pPr>
        <w:numPr>
          <w:ilvl w:val="0"/>
          <w:numId w:val="11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FX often carries larger weight (open economies, currency mismatch concerns)</w:t>
      </w:r>
    </w:p>
    <w:p w14:paraId="6922AB0E" w14:textId="77777777" w:rsidR="0032251D" w:rsidRPr="0032251D" w:rsidRDefault="0032251D">
      <w:pPr>
        <w:numPr>
          <w:ilvl w:val="0"/>
          <w:numId w:val="11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Foreign portfolio flows are an additional component often included</w:t>
      </w:r>
    </w:p>
    <w:p w14:paraId="7209167E" w14:textId="77777777" w:rsidR="0032251D" w:rsidRPr="0032251D" w:rsidRDefault="0032251D">
      <w:pPr>
        <w:numPr>
          <w:ilvl w:val="0"/>
          <w:numId w:val="11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Sovereign CDS sometimes substituted for missing corporate credit spreads</w:t>
      </w:r>
    </w:p>
    <w:p w14:paraId="61B0DAE1" w14:textId="77777777" w:rsidR="0032251D" w:rsidRPr="0032251D" w:rsidRDefault="0032251D">
      <w:pPr>
        <w:numPr>
          <w:ilvl w:val="0"/>
          <w:numId w:val="11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Bank lending conditions surveys less frequent or absent</w:t>
      </w:r>
    </w:p>
    <w:p w14:paraId="58C9D45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SA specifically.</w:t>
      </w:r>
      <w:r w:rsidRPr="0032251D">
        <w:rPr>
          <w:rFonts w:ascii="Aptos" w:eastAsia="Times New Roman" w:hAnsi="Aptos" w:cs="Times New Roman"/>
          <w:kern w:val="0"/>
          <w:sz w:val="22"/>
          <w:szCs w:val="22"/>
          <w:lang w:eastAsia="en-GB"/>
          <w14:ligatures w14:val="none"/>
        </w:rPr>
        <w:t xml:space="preserve"> No standard published FCI for South Africa from a major institutional provider. SARB monitors financial conditions internally and publishes occasional financial stability </w:t>
      </w:r>
      <w:proofErr w:type="gramStart"/>
      <w:r w:rsidRPr="0032251D">
        <w:rPr>
          <w:rFonts w:ascii="Aptos" w:eastAsia="Times New Roman" w:hAnsi="Aptos" w:cs="Times New Roman"/>
          <w:kern w:val="0"/>
          <w:sz w:val="22"/>
          <w:szCs w:val="22"/>
          <w:lang w:eastAsia="en-GB"/>
          <w14:ligatures w14:val="none"/>
        </w:rPr>
        <w:t>reviews, but</w:t>
      </w:r>
      <w:proofErr w:type="gramEnd"/>
      <w:r w:rsidRPr="0032251D">
        <w:rPr>
          <w:rFonts w:ascii="Aptos" w:eastAsia="Times New Roman" w:hAnsi="Aptos" w:cs="Times New Roman"/>
          <w:kern w:val="0"/>
          <w:sz w:val="22"/>
          <w:szCs w:val="22"/>
          <w:lang w:eastAsia="en-GB"/>
          <w14:ligatures w14:val="none"/>
        </w:rPr>
        <w:t xml:space="preserve"> does not maintain a regularly updated public FCI. For empirical analysis, an SA FCI must be constructed from available components: short rates (3-month JIBAR or repo rate); long rates (10-year SAGB); equity prices (FTSE/JSE All Share or Top 40); ZAR REER (BIS or trade-weighted); credit spreads (limited corporate market, often proxied by sovereign CDS or specific corporate ZAR bond spreads where available). Constructing an SA FCI requires methodology choices about weighting and component selection — and this becomes part of the empirical work itself. For the dissonance framework, an SA FCI will likely use PCA-based weighting on the available components, calibrated to GDP impact via a simple VAR. The L7 node for SA is </w:t>
      </w:r>
      <w:r w:rsidRPr="0032251D">
        <w:rPr>
          <w:rFonts w:ascii="Aptos" w:eastAsia="Times New Roman" w:hAnsi="Aptos" w:cs="Times New Roman"/>
          <w:kern w:val="0"/>
          <w:sz w:val="22"/>
          <w:szCs w:val="22"/>
          <w:lang w:eastAsia="en-GB"/>
          <w14:ligatures w14:val="none"/>
        </w:rPr>
        <w:lastRenderedPageBreak/>
        <w:t xml:space="preserve">therefore </w:t>
      </w:r>
      <w:r w:rsidRPr="0032251D">
        <w:rPr>
          <w:rFonts w:ascii="Aptos" w:eastAsia="Times New Roman" w:hAnsi="Aptos" w:cs="Times New Roman"/>
          <w:i/>
          <w:iCs/>
          <w:kern w:val="0"/>
          <w:sz w:val="22"/>
          <w:szCs w:val="22"/>
          <w:lang w:eastAsia="en-GB"/>
          <w14:ligatures w14:val="none"/>
        </w:rPr>
        <w:t>constructed rather than measured</w:t>
      </w:r>
      <w:r w:rsidRPr="0032251D">
        <w:rPr>
          <w:rFonts w:ascii="Aptos" w:eastAsia="Times New Roman" w:hAnsi="Aptos" w:cs="Times New Roman"/>
          <w:kern w:val="0"/>
          <w:sz w:val="22"/>
          <w:szCs w:val="22"/>
          <w:lang w:eastAsia="en-GB"/>
          <w14:ligatures w14:val="none"/>
        </w:rPr>
        <w:t xml:space="preserve"> — which is itself a meaningful methodological limitation.</w:t>
      </w:r>
    </w:p>
    <w:p w14:paraId="51E4B97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For the </w:t>
      </w:r>
      <w:proofErr w:type="gramStart"/>
      <w:r w:rsidRPr="0032251D">
        <w:rPr>
          <w:rFonts w:ascii="Aptos" w:eastAsia="Times New Roman" w:hAnsi="Aptos" w:cs="Times New Roman"/>
          <w:kern w:val="0"/>
          <w:sz w:val="22"/>
          <w:szCs w:val="22"/>
          <w:lang w:eastAsia="en-GB"/>
          <w14:ligatures w14:val="none"/>
        </w:rPr>
        <w:t>panel as a whole, FCI</w:t>
      </w:r>
      <w:proofErr w:type="gramEnd"/>
      <w:r w:rsidRPr="0032251D">
        <w:rPr>
          <w:rFonts w:ascii="Aptos" w:eastAsia="Times New Roman" w:hAnsi="Aptos" w:cs="Times New Roman"/>
          <w:kern w:val="0"/>
          <w:sz w:val="22"/>
          <w:szCs w:val="22"/>
          <w:lang w:eastAsia="en-GB"/>
          <w14:ligatures w14:val="none"/>
        </w:rPr>
        <w:t xml:space="preserve"> availability is one of the cleanest DM/EM asymmetries: rich measurement in DM, partial measurement in EM. This affects how confidently the framework can compare L7 dissonance across countries.</w:t>
      </w:r>
    </w:p>
    <w:p w14:paraId="4EAC0796"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20D990B9">
          <v:rect id="_x0000_i1128" alt="" style="width:451.3pt;height:.05pt;mso-width-percent:0;mso-height-percent:0;mso-width-percent:0;mso-height-percent:0" o:hralign="center" o:hrstd="t" o:hr="t" fillcolor="#a0a0a0" stroked="f"/>
        </w:pict>
      </w:r>
    </w:p>
    <w:p w14:paraId="38ABDAE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Empirical pitfalls</w:t>
      </w:r>
    </w:p>
    <w:p w14:paraId="33F9F92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Methodology choice.</w:t>
      </w:r>
      <w:r w:rsidRPr="0032251D">
        <w:rPr>
          <w:rFonts w:ascii="Aptos" w:eastAsia="Times New Roman" w:hAnsi="Aptos" w:cs="Times New Roman"/>
          <w:kern w:val="0"/>
          <w:sz w:val="22"/>
          <w:szCs w:val="22"/>
          <w:lang w:eastAsia="en-GB"/>
          <w14:ligatures w14:val="none"/>
        </w:rPr>
        <w:t xml:space="preserve"> Different weighting methodologies produce different FCIs. Same data, different signals. For empirical work, the choice of FCI matters and should be transparent. Cross-checking across multiple FCI providers is good practice.</w:t>
      </w:r>
    </w:p>
    <w:p w14:paraId="17D9401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Real-time availability.</w:t>
      </w:r>
      <w:r w:rsidRPr="0032251D">
        <w:rPr>
          <w:rFonts w:ascii="Aptos" w:eastAsia="Times New Roman" w:hAnsi="Aptos" w:cs="Times New Roman"/>
          <w:kern w:val="0"/>
          <w:sz w:val="22"/>
          <w:szCs w:val="22"/>
          <w:lang w:eastAsia="en-GB"/>
          <w14:ligatures w14:val="none"/>
        </w:rPr>
        <w:t xml:space="preserve"> Components have different release frequencies and lags. Rates and equities are daily and clean; credit spreads available daily but sometimes with bid-ask noise; FX daily; bank lending conditions surveys quarterly with lag. Real-time FCI construction requires interpolation or proxy choices for the slower components.</w:t>
      </w:r>
    </w:p>
    <w:p w14:paraId="047B844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Endogeneity.</w:t>
      </w:r>
      <w:r w:rsidRPr="0032251D">
        <w:rPr>
          <w:rFonts w:ascii="Aptos" w:eastAsia="Times New Roman" w:hAnsi="Aptos" w:cs="Times New Roman"/>
          <w:kern w:val="0"/>
          <w:sz w:val="22"/>
          <w:szCs w:val="22"/>
          <w:lang w:eastAsia="en-GB"/>
          <w14:ligatures w14:val="none"/>
        </w:rPr>
        <w:t xml:space="preserve"> The FCI moves with policy and with broader macro conditions. Hard to separate FCI-driven growth changes from growth-driven FCI changes. The literature handles this through VAR identification or instrumental variables, but no approach fully resolves it.</w:t>
      </w:r>
    </w:p>
    <w:p w14:paraId="118F335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Weight stability.</w:t>
      </w:r>
      <w:r w:rsidRPr="0032251D">
        <w:rPr>
          <w:rFonts w:ascii="Aptos" w:eastAsia="Times New Roman" w:hAnsi="Aptos" w:cs="Times New Roman"/>
          <w:kern w:val="0"/>
          <w:sz w:val="22"/>
          <w:szCs w:val="22"/>
          <w:lang w:eastAsia="en-GB"/>
          <w14:ligatures w14:val="none"/>
        </w:rPr>
        <w:t xml:space="preserve"> Do component impacts on GDP change over time? Some evidence suggests yes — credit spreads have become more important post-2008; FX channel matters more in open economies as trade share rises. Static-weight FCIs may misstate the integrated stance during regime transitions.</w:t>
      </w:r>
    </w:p>
    <w:p w14:paraId="3DB0B73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Component overlap.</w:t>
      </w:r>
      <w:r w:rsidRPr="0032251D">
        <w:rPr>
          <w:rFonts w:ascii="Aptos" w:eastAsia="Times New Roman" w:hAnsi="Aptos" w:cs="Times New Roman"/>
          <w:kern w:val="0"/>
          <w:sz w:val="22"/>
          <w:szCs w:val="22"/>
          <w:lang w:eastAsia="en-GB"/>
          <w14:ligatures w14:val="none"/>
        </w:rPr>
        <w:t xml:space="preserve"> Long rates and equity earnings yields move together; credit spreads and equity vol correlate. Mechanical aggregation can double-count signals. PCA-based methodologies handle this; equal-weight methodologies do not.</w:t>
      </w:r>
    </w:p>
    <w:p w14:paraId="3F719E6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EM data gaps.</w:t>
      </w:r>
      <w:r w:rsidRPr="0032251D">
        <w:rPr>
          <w:rFonts w:ascii="Aptos" w:eastAsia="Times New Roman" w:hAnsi="Aptos" w:cs="Times New Roman"/>
          <w:kern w:val="0"/>
          <w:sz w:val="22"/>
          <w:szCs w:val="22"/>
          <w:lang w:eastAsia="en-GB"/>
          <w14:ligatures w14:val="none"/>
        </w:rPr>
        <w:t xml:space="preserve"> For many EM countries, credit spreads, mortgage rates, or bank lending surveys may not be cleanly available. Substitutions (sovereign CDS for corporate spreads; survey-based proxies for market-based ones) introduce methodology noise.</w:t>
      </w:r>
    </w:p>
    <w:p w14:paraId="04D7DFE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Headline vs core.</w:t>
      </w:r>
      <w:r w:rsidRPr="0032251D">
        <w:rPr>
          <w:rFonts w:ascii="Aptos" w:eastAsia="Times New Roman" w:hAnsi="Aptos" w:cs="Times New Roman"/>
          <w:kern w:val="0"/>
          <w:sz w:val="22"/>
          <w:szCs w:val="22"/>
          <w:lang w:eastAsia="en-GB"/>
          <w14:ligatures w14:val="none"/>
        </w:rPr>
        <w:t xml:space="preserve"> Should the FCI capture only the structural financial stance, or also transient market moves? Different choices produce indices with different volatility profiles and different empirical performance.</w:t>
      </w:r>
    </w:p>
    <w:p w14:paraId="68B5FAC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Currency basis.</w:t>
      </w:r>
      <w:r w:rsidRPr="0032251D">
        <w:rPr>
          <w:rFonts w:ascii="Aptos" w:eastAsia="Times New Roman" w:hAnsi="Aptos" w:cs="Times New Roman"/>
          <w:kern w:val="0"/>
          <w:sz w:val="22"/>
          <w:szCs w:val="22"/>
          <w:lang w:eastAsia="en-GB"/>
          <w14:ligatures w14:val="none"/>
        </w:rPr>
        <w:t xml:space="preserve"> For an open economy FCI, should the exchange rate component be USD bilateral or trade-weighted REER? Different choices give meaningfully different FCI moves during episodes when the USD moves broadly vs when specific currency pairs move idiosyncratically.</w:t>
      </w:r>
    </w:p>
    <w:p w14:paraId="2863B922"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Stale vs forward-looking.</w:t>
      </w:r>
      <w:r w:rsidRPr="0032251D">
        <w:rPr>
          <w:rFonts w:ascii="Aptos" w:eastAsia="Times New Roman" w:hAnsi="Aptos" w:cs="Times New Roman"/>
          <w:kern w:val="0"/>
          <w:sz w:val="22"/>
          <w:szCs w:val="22"/>
          <w:lang w:eastAsia="en-GB"/>
          <w14:ligatures w14:val="none"/>
        </w:rPr>
        <w:t xml:space="preserve"> The FCI uses current market prices, which embed forward-looking expectations. </w:t>
      </w:r>
      <w:proofErr w:type="gramStart"/>
      <w:r w:rsidRPr="0032251D">
        <w:rPr>
          <w:rFonts w:ascii="Aptos" w:eastAsia="Times New Roman" w:hAnsi="Aptos" w:cs="Times New Roman"/>
          <w:kern w:val="0"/>
          <w:sz w:val="22"/>
          <w:szCs w:val="22"/>
          <w:lang w:eastAsia="en-GB"/>
          <w14:ligatures w14:val="none"/>
        </w:rPr>
        <w:t>So</w:t>
      </w:r>
      <w:proofErr w:type="gramEnd"/>
      <w:r w:rsidRPr="0032251D">
        <w:rPr>
          <w:rFonts w:ascii="Aptos" w:eastAsia="Times New Roman" w:hAnsi="Aptos" w:cs="Times New Roman"/>
          <w:kern w:val="0"/>
          <w:sz w:val="22"/>
          <w:szCs w:val="22"/>
          <w:lang w:eastAsia="en-GB"/>
          <w14:ligatures w14:val="none"/>
        </w:rPr>
        <w:t xml:space="preserve"> the FCI is partly a forecast-implied measure rather than a pure observed condition. This is theoretically fine but creates interpretive complications when expectations themselves are dissonant.</w:t>
      </w:r>
    </w:p>
    <w:p w14:paraId="14C21057"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lastRenderedPageBreak/>
        <w:pict w14:anchorId="285289D1">
          <v:rect id="_x0000_i1129" alt="" style="width:451.3pt;height:.05pt;mso-width-percent:0;mso-height-percent:0;mso-width-percent:0;mso-height-percent:0" o:hralign="center" o:hrstd="t" o:hr="t" fillcolor="#a0a0a0" stroked="f"/>
        </w:pict>
      </w:r>
    </w:p>
    <w:p w14:paraId="73F99BE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Where dissonance lives</w:t>
      </w:r>
    </w:p>
    <w:p w14:paraId="49DF56B2"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Within L7:</w:t>
      </w:r>
    </w:p>
    <w:p w14:paraId="180DB9B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Intra-node.</w:t>
      </w:r>
      <w:r w:rsidRPr="0032251D">
        <w:rPr>
          <w:rFonts w:ascii="Aptos" w:eastAsia="Times New Roman" w:hAnsi="Aptos" w:cs="Times New Roman"/>
          <w:kern w:val="0"/>
          <w:sz w:val="22"/>
          <w:szCs w:val="22"/>
          <w:lang w:eastAsia="en-GB"/>
          <w14:ligatures w14:val="none"/>
        </w:rPr>
        <w:t xml:space="preserve"> FCI sub-components should jointly imply a consistent stance reading.</w:t>
      </w:r>
    </w:p>
    <w:p w14:paraId="619A6D28" w14:textId="77777777" w:rsidR="0032251D" w:rsidRPr="0032251D" w:rsidRDefault="0032251D">
      <w:pPr>
        <w:numPr>
          <w:ilvl w:val="0"/>
          <w:numId w:val="11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Dissonance: rates tighten but equity rallies — the "financial conditions failing to tighten" pattern. Headline rate move suggests one stance; the integrated FCI move suggests another.</w:t>
      </w:r>
    </w:p>
    <w:p w14:paraId="7C5A82E6" w14:textId="77777777" w:rsidR="0032251D" w:rsidRPr="0032251D" w:rsidRDefault="0032251D">
      <w:pPr>
        <w:numPr>
          <w:ilvl w:val="0"/>
          <w:numId w:val="11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Dissonance: sub-components imply different stance — credit tightening while equity loosens, or curve flattening while spreads widen.</w:t>
      </w:r>
    </w:p>
    <w:p w14:paraId="375CBCEC" w14:textId="77777777" w:rsidR="0032251D" w:rsidRPr="0032251D" w:rsidRDefault="0032251D">
      <w:pPr>
        <w:numPr>
          <w:ilvl w:val="0"/>
          <w:numId w:val="11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Dissonance: different FCI providers give different signals — methodology-driven divergence that warrants further investigation.</w:t>
      </w:r>
    </w:p>
    <w:p w14:paraId="7BC87DE0" w14:textId="77777777" w:rsidR="0032251D" w:rsidRPr="0032251D" w:rsidRDefault="0032251D">
      <w:pPr>
        <w:numPr>
          <w:ilvl w:val="0"/>
          <w:numId w:val="11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Dissonance: FCI level low but sub-component volatility rising — overall conditions calm but specific markets fragile (the pre-crisis pattern).</w:t>
      </w:r>
    </w:p>
    <w:p w14:paraId="5591F9E7" w14:textId="77777777" w:rsidR="0032251D" w:rsidRPr="0032251D" w:rsidRDefault="0032251D">
      <w:pPr>
        <w:numPr>
          <w:ilvl w:val="0"/>
          <w:numId w:val="11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Dissonance: FCI tightening but specific components (e.g., credit spreads) remaining unusually compressed — concentration of looseness in particular markets.</w:t>
      </w:r>
    </w:p>
    <w:p w14:paraId="5C2CF29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upward.</w:t>
      </w:r>
    </w:p>
    <w:p w14:paraId="4363D610" w14:textId="77777777" w:rsidR="0032251D" w:rsidRPr="0032251D" w:rsidRDefault="0032251D">
      <w:pPr>
        <w:numPr>
          <w:ilvl w:val="0"/>
          <w:numId w:val="11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L1 → L7: The rule should produce FCI consistent with the desired stance. Dissonance fires when policy tightens but FCI eases (asset price exuberance) or vice versa — transmission failure between rule and integrated stance.</w:t>
      </w:r>
    </w:p>
    <w:p w14:paraId="6817EEAA" w14:textId="77777777" w:rsidR="0032251D" w:rsidRPr="0032251D" w:rsidRDefault="0032251D">
      <w:pPr>
        <w:numPr>
          <w:ilvl w:val="0"/>
          <w:numId w:val="11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L3a → L7: Rate is one component of FCI. Dissonance fires when rate hikes but FCI eases via other components — net stance opposite of intent.</w:t>
      </w:r>
    </w:p>
    <w:p w14:paraId="792BDB34" w14:textId="77777777" w:rsidR="0032251D" w:rsidRPr="0032251D" w:rsidRDefault="0032251D">
      <w:pPr>
        <w:numPr>
          <w:ilvl w:val="0"/>
          <w:numId w:val="11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L3b → L7: Balance sheet affects long-end rates and credit spreads in FCI. Dissonance fires when balance sheet contraction does not show up in FCI — other components offset.</w:t>
      </w:r>
    </w:p>
    <w:p w14:paraId="228545DD" w14:textId="77777777" w:rsidR="0032251D" w:rsidRPr="0032251D" w:rsidRDefault="0032251D">
      <w:pPr>
        <w:numPr>
          <w:ilvl w:val="0"/>
          <w:numId w:val="11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L3c → L7: Guidance shapes expectations of future FCI. Dissonance fires when guidance does not move FCI — words do not translate into integrated stance.</w:t>
      </w:r>
    </w:p>
    <w:p w14:paraId="6DD5FF62" w14:textId="77777777" w:rsidR="0032251D" w:rsidRPr="0032251D" w:rsidRDefault="0032251D">
      <w:pPr>
        <w:numPr>
          <w:ilvl w:val="0"/>
          <w:numId w:val="11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L3d → L7: FX is an FCI component. Dissonance fires when intervention does not move the trade-weighted FX component of FCI.</w:t>
      </w:r>
    </w:p>
    <w:p w14:paraId="45B3331C" w14:textId="77777777" w:rsidR="0032251D" w:rsidRPr="0032251D" w:rsidRDefault="0032251D">
      <w:pPr>
        <w:numPr>
          <w:ilvl w:val="0"/>
          <w:numId w:val="11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L3e → L7: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affects credit spreads in FCI. Dissonance fires when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tightening does not flow through to FCI.</w:t>
      </w:r>
    </w:p>
    <w:p w14:paraId="06BC9137" w14:textId="77777777" w:rsidR="0032251D" w:rsidRPr="0032251D" w:rsidRDefault="0032251D">
      <w:pPr>
        <w:numPr>
          <w:ilvl w:val="0"/>
          <w:numId w:val="11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L3f → L7: Facilities ease funding-related FCI components. Dissonance fires when facilities are </w:t>
      </w:r>
      <w:proofErr w:type="gramStart"/>
      <w:r w:rsidRPr="0032251D">
        <w:rPr>
          <w:rFonts w:ascii="Aptos" w:eastAsia="Times New Roman" w:hAnsi="Aptos" w:cs="Times New Roman"/>
          <w:kern w:val="0"/>
          <w:sz w:val="22"/>
          <w:szCs w:val="22"/>
          <w:lang w:eastAsia="en-GB"/>
          <w14:ligatures w14:val="none"/>
        </w:rPr>
        <w:t>active</w:t>
      </w:r>
      <w:proofErr w:type="gramEnd"/>
      <w:r w:rsidRPr="0032251D">
        <w:rPr>
          <w:rFonts w:ascii="Aptos" w:eastAsia="Times New Roman" w:hAnsi="Aptos" w:cs="Times New Roman"/>
          <w:kern w:val="0"/>
          <w:sz w:val="22"/>
          <w:szCs w:val="22"/>
          <w:lang w:eastAsia="en-GB"/>
          <w14:ligatures w14:val="none"/>
        </w:rPr>
        <w:t xml:space="preserve"> but FCI continues to tighten — crisis severity exceeds tool capacity.</w:t>
      </w:r>
    </w:p>
    <w:p w14:paraId="0B1BAED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peer.</w:t>
      </w:r>
    </w:p>
    <w:p w14:paraId="401043DB" w14:textId="77777777" w:rsidR="0032251D" w:rsidRPr="0032251D" w:rsidRDefault="0032251D">
      <w:pPr>
        <w:numPr>
          <w:ilvl w:val="0"/>
          <w:numId w:val="12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L4 (markets) → L7: All L4 nodes feed into FCI directly. Curve, FX, BEIs, and vol are themselves FCI inputs in many methodologies. Disagreement between L4 nodes shows up as intra-FCI inconsistency.</w:t>
      </w:r>
    </w:p>
    <w:p w14:paraId="4B07EDCB" w14:textId="77777777" w:rsidR="0032251D" w:rsidRPr="0032251D" w:rsidRDefault="0032251D">
      <w:pPr>
        <w:numPr>
          <w:ilvl w:val="0"/>
          <w:numId w:val="12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 (intermediaries) → L7: Intermediary stress transmits to FCI through credit spreads and other components. Bank or NBFI stress should tighten FCI; if it doesn't, the FCI is under-counting that channel.</w:t>
      </w:r>
    </w:p>
    <w:p w14:paraId="0A3A584B" w14:textId="77777777" w:rsidR="0032251D" w:rsidRPr="0032251D" w:rsidRDefault="0032251D">
      <w:pPr>
        <w:numPr>
          <w:ilvl w:val="0"/>
          <w:numId w:val="12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L6 (expectations) → L7: Expectations shape forward conditions; expectation shifts should anticipate FCI moves. Persistent gaps suggest expectation channel weak.</w:t>
      </w:r>
    </w:p>
    <w:p w14:paraId="7B59FD0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w:t>
      </w:r>
    </w:p>
    <w:p w14:paraId="464CCFD5" w14:textId="77777777" w:rsidR="0032251D" w:rsidRPr="0032251D" w:rsidRDefault="0032251D">
      <w:pPr>
        <w:numPr>
          <w:ilvl w:val="0"/>
          <w:numId w:val="12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lastRenderedPageBreak/>
        <w:t>L7 → L8: FCI is the integrated discount-rate driver. Dissonance fires when FCI moves without affecting valuation drivers — segmentation in the discount-rate channel.</w:t>
      </w:r>
    </w:p>
    <w:p w14:paraId="0BCDF393" w14:textId="77777777" w:rsidR="0032251D" w:rsidRPr="0032251D" w:rsidRDefault="0032251D">
      <w:pPr>
        <w:numPr>
          <w:ilvl w:val="0"/>
          <w:numId w:val="12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L7 → L9: FCI feeds back to and from asset prices. Dissonance fires when FCI moves without asset-price response, or vice versa.</w:t>
      </w:r>
    </w:p>
    <w:p w14:paraId="77061608" w14:textId="77777777" w:rsidR="0032251D" w:rsidRPr="0032251D" w:rsidRDefault="0032251D">
      <w:pPr>
        <w:numPr>
          <w:ilvl w:val="0"/>
          <w:numId w:val="12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L7 → L10a: FCI predicts GDP a few quarters out. Dissonance fires when FCI tightens without growth slowdown — the historical relationship breaking.</w:t>
      </w:r>
    </w:p>
    <w:p w14:paraId="3F88239F" w14:textId="77777777" w:rsidR="0032251D" w:rsidRPr="0032251D" w:rsidRDefault="0032251D">
      <w:pPr>
        <w:numPr>
          <w:ilvl w:val="0"/>
          <w:numId w:val="12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L7 → L10b: FCI captures some stability indicators. Dissonance fires when FCI is </w:t>
      </w:r>
      <w:proofErr w:type="gramStart"/>
      <w:r w:rsidRPr="0032251D">
        <w:rPr>
          <w:rFonts w:ascii="Aptos" w:eastAsia="Times New Roman" w:hAnsi="Aptos" w:cs="Times New Roman"/>
          <w:kern w:val="0"/>
          <w:sz w:val="22"/>
          <w:szCs w:val="22"/>
          <w:lang w:eastAsia="en-GB"/>
          <w14:ligatures w14:val="none"/>
        </w:rPr>
        <w:t>calm</w:t>
      </w:r>
      <w:proofErr w:type="gramEnd"/>
      <w:r w:rsidRPr="0032251D">
        <w:rPr>
          <w:rFonts w:ascii="Aptos" w:eastAsia="Times New Roman" w:hAnsi="Aptos" w:cs="Times New Roman"/>
          <w:kern w:val="0"/>
          <w:sz w:val="22"/>
          <w:szCs w:val="22"/>
          <w:lang w:eastAsia="en-GB"/>
          <w14:ligatures w14:val="none"/>
        </w:rPr>
        <w:t xml:space="preserve"> but leverage is building elsewhere — coverage gap, with stability stress accumulating outside the FCI perimeter.</w:t>
      </w:r>
    </w:p>
    <w:p w14:paraId="64CB6832" w14:textId="77777777" w:rsidR="0032251D" w:rsidRPr="0032251D" w:rsidRDefault="0032251D">
      <w:pPr>
        <w:numPr>
          <w:ilvl w:val="0"/>
          <w:numId w:val="12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L7 → L10c: FCI moves correlate cross-border. Dissonance fires when domestic FCI moves without global </w:t>
      </w:r>
      <w:proofErr w:type="spellStart"/>
      <w:r w:rsidRPr="0032251D">
        <w:rPr>
          <w:rFonts w:ascii="Aptos" w:eastAsia="Times New Roman" w:hAnsi="Aptos" w:cs="Times New Roman"/>
          <w:kern w:val="0"/>
          <w:sz w:val="22"/>
          <w:szCs w:val="22"/>
          <w:lang w:eastAsia="en-GB"/>
          <w14:ligatures w14:val="none"/>
        </w:rPr>
        <w:t>comovement</w:t>
      </w:r>
      <w:proofErr w:type="spellEnd"/>
      <w:r w:rsidRPr="0032251D">
        <w:rPr>
          <w:rFonts w:ascii="Aptos" w:eastAsia="Times New Roman" w:hAnsi="Aptos" w:cs="Times New Roman"/>
          <w:kern w:val="0"/>
          <w:sz w:val="22"/>
          <w:szCs w:val="22"/>
          <w:lang w:eastAsia="en-GB"/>
          <w14:ligatures w14:val="none"/>
        </w:rPr>
        <w:t xml:space="preserve"> — transmission to peer countries failing.</w:t>
      </w:r>
    </w:p>
    <w:p w14:paraId="6A69336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The L7 node is the </w:t>
      </w:r>
      <w:r w:rsidRPr="0032251D">
        <w:rPr>
          <w:rFonts w:ascii="Aptos" w:eastAsia="Times New Roman" w:hAnsi="Aptos" w:cs="Times New Roman"/>
          <w:i/>
          <w:iCs/>
          <w:kern w:val="0"/>
          <w:sz w:val="22"/>
          <w:szCs w:val="22"/>
          <w:lang w:eastAsia="en-GB"/>
          <w14:ligatures w14:val="none"/>
        </w:rPr>
        <w:t>integration node</w:t>
      </w:r>
      <w:r w:rsidRPr="0032251D">
        <w:rPr>
          <w:rFonts w:ascii="Aptos" w:eastAsia="Times New Roman" w:hAnsi="Aptos" w:cs="Times New Roman"/>
          <w:kern w:val="0"/>
          <w:sz w:val="22"/>
          <w:szCs w:val="22"/>
          <w:lang w:eastAsia="en-GB"/>
          <w14:ligatures w14:val="none"/>
        </w:rPr>
        <w:t xml:space="preserve"> between L1-L6 inputs and L8-L10 outcomes. It bundles every prior framework dimension — policy stance, market prices, intermediary effects, expectations — into the single number that maps to growth and inflation outcomes. Dissonance at L7 typically reveals one of two things: either the integration is breaking down (sub-components disagree, the FCI is unstable), or the broader framework is in a transition regime where historical FCI-GDP relationships are themselves changing.</w:t>
      </w:r>
    </w:p>
    <w:p w14:paraId="60E6168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For investment managers, L7 dissonance is among the most actionable framework signals because the FCI is the most direct read on effective policy stance. When the FCI-rate gap is large (FCI much looser or tighter than the policy rate would imply), the bank's intent and the market's outcome have diverged — which typically precedes either a policy adjustment or a market correction. The 2023 US episode where FCI loosened during a hiking cycle (equity rally, narrowing credit spreads, falling vol) was a clear FCI-stance dissonance that the Fed explicitly addressed in communications.</w:t>
      </w:r>
    </w:p>
    <w:p w14:paraId="75FB8C5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For SA specifically, the L7 node requires construction rather than direct measurement, which is both a limitation and an opportunity. The construction methodology becomes part of the empirical contribution — the SA FCI built for the dissonance framework will be one of the more developed FCI constructions available for SA. The components are available; the methodology choice is the key analytical decision. The PIC and SARB internal staff almost certainly construct internal versions; making a public version available with documented methodology is itself a useful research output. For the dissonance framework, the SA L7 will likely use PCA-extracted weights across rates, equity, REER, and sovereign-CDS components, calibrated to GDP via a simple VAR — and the construction choices themselves become part of the framework documentation. The L7 node will likely carry meaningful predictive weight for SA because financial conditions tend to lead the real economy with a reasonably reliable lag, and the SA business cycle has been historically sensitive to financial conditions through the bank lending channel.</w:t>
      </w:r>
    </w:p>
    <w:p w14:paraId="3EAFE14E" w14:textId="51BC28D7" w:rsidR="0032251D" w:rsidRPr="00B84586" w:rsidRDefault="0032251D" w:rsidP="0032251D">
      <w:pPr>
        <w:spacing w:after="0" w:line="240" w:lineRule="auto"/>
        <w:rPr>
          <w:rFonts w:ascii="Aptos" w:eastAsia="Times New Roman" w:hAnsi="Aptos" w:cs="Times New Roman"/>
          <w:kern w:val="0"/>
          <w:sz w:val="22"/>
          <w:szCs w:val="22"/>
          <w:lang w:eastAsia="en-GB"/>
          <w14:ligatures w14:val="none"/>
        </w:rPr>
      </w:pPr>
    </w:p>
    <w:p w14:paraId="17F25AC1" w14:textId="77777777" w:rsidR="0032251D" w:rsidRPr="00B84586" w:rsidRDefault="0032251D" w:rsidP="0032251D">
      <w:pPr>
        <w:spacing w:after="0" w:line="240" w:lineRule="auto"/>
        <w:rPr>
          <w:rFonts w:ascii="Aptos" w:eastAsia="Times New Roman" w:hAnsi="Aptos" w:cs="Times New Roman"/>
          <w:kern w:val="0"/>
          <w:sz w:val="22"/>
          <w:szCs w:val="22"/>
          <w:lang w:eastAsia="en-GB"/>
          <w14:ligatures w14:val="none"/>
        </w:rPr>
      </w:pPr>
    </w:p>
    <w:p w14:paraId="08FB23FC" w14:textId="77777777" w:rsidR="0032251D" w:rsidRPr="00B84586" w:rsidRDefault="0032251D" w:rsidP="0032251D">
      <w:pPr>
        <w:spacing w:after="0" w:line="240" w:lineRule="auto"/>
        <w:rPr>
          <w:rFonts w:ascii="Aptos" w:eastAsia="Times New Roman" w:hAnsi="Aptos" w:cs="Times New Roman"/>
          <w:kern w:val="0"/>
          <w:sz w:val="22"/>
          <w:szCs w:val="22"/>
          <w:lang w:eastAsia="en-GB"/>
          <w14:ligatures w14:val="none"/>
        </w:rPr>
      </w:pPr>
    </w:p>
    <w:p w14:paraId="0DB086BE" w14:textId="77777777" w:rsidR="0032251D" w:rsidRPr="00B84586" w:rsidRDefault="0032251D" w:rsidP="0032251D">
      <w:pPr>
        <w:spacing w:after="0" w:line="240" w:lineRule="auto"/>
        <w:rPr>
          <w:rFonts w:ascii="Aptos" w:eastAsia="Times New Roman" w:hAnsi="Aptos" w:cs="Times New Roman"/>
          <w:kern w:val="0"/>
          <w:sz w:val="22"/>
          <w:szCs w:val="22"/>
          <w:lang w:eastAsia="en-GB"/>
          <w14:ligatures w14:val="none"/>
        </w:rPr>
      </w:pPr>
    </w:p>
    <w:p w14:paraId="229A0CDF" w14:textId="77777777" w:rsidR="0032251D" w:rsidRPr="0032251D" w:rsidRDefault="0032251D" w:rsidP="0032251D">
      <w:pPr>
        <w:spacing w:after="0" w:line="240" w:lineRule="auto"/>
        <w:rPr>
          <w:rFonts w:ascii="Aptos" w:eastAsia="Times New Roman" w:hAnsi="Aptos" w:cs="Times New Roman"/>
          <w:kern w:val="0"/>
          <w:sz w:val="22"/>
          <w:szCs w:val="22"/>
          <w:lang w:eastAsia="en-GB"/>
          <w14:ligatures w14:val="none"/>
        </w:rPr>
      </w:pPr>
    </w:p>
    <w:p w14:paraId="53CC026C" w14:textId="77777777" w:rsidR="0032251D" w:rsidRPr="00B84586" w:rsidRDefault="0032251D" w:rsidP="0032251D">
      <w:pPr>
        <w:spacing w:before="100" w:beforeAutospacing="1" w:after="100" w:afterAutospacing="1" w:line="240" w:lineRule="auto"/>
        <w:rPr>
          <w:rFonts w:ascii="Aptos" w:eastAsia="Times New Roman" w:hAnsi="Aptos" w:cs="Times New Roman"/>
          <w:b/>
          <w:bCs/>
          <w:kern w:val="0"/>
          <w:sz w:val="22"/>
          <w:szCs w:val="22"/>
          <w:lang w:eastAsia="en-GB"/>
          <w14:ligatures w14:val="none"/>
        </w:rPr>
      </w:pPr>
    </w:p>
    <w:p w14:paraId="2DE3BBAF" w14:textId="77777777" w:rsidR="0032251D" w:rsidRPr="00B84586" w:rsidRDefault="0032251D" w:rsidP="0032251D">
      <w:pPr>
        <w:spacing w:before="100" w:beforeAutospacing="1" w:after="100" w:afterAutospacing="1" w:line="240" w:lineRule="auto"/>
        <w:rPr>
          <w:rFonts w:ascii="Aptos" w:eastAsia="Times New Roman" w:hAnsi="Aptos" w:cs="Times New Roman"/>
          <w:b/>
          <w:bCs/>
          <w:kern w:val="0"/>
          <w:sz w:val="22"/>
          <w:szCs w:val="22"/>
          <w:lang w:eastAsia="en-GB"/>
          <w14:ligatures w14:val="none"/>
        </w:rPr>
      </w:pPr>
    </w:p>
    <w:p w14:paraId="7C634AD8" w14:textId="5485D907" w:rsidR="0032251D" w:rsidRPr="0032251D" w:rsidRDefault="0032251D" w:rsidP="0032251D">
      <w:pPr>
        <w:spacing w:before="100" w:beforeAutospacing="1" w:after="100" w:afterAutospacing="1" w:line="240" w:lineRule="auto"/>
        <w:jc w:val="center"/>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lastRenderedPageBreak/>
        <w:t>Level 8 — Valuation Drivers</w:t>
      </w:r>
    </w:p>
    <w:p w14:paraId="083B34B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Definition.</w:t>
      </w:r>
      <w:r w:rsidRPr="0032251D">
        <w:rPr>
          <w:rFonts w:ascii="Aptos" w:eastAsia="Times New Roman" w:hAnsi="Aptos" w:cs="Times New Roman"/>
          <w:kern w:val="0"/>
          <w:sz w:val="22"/>
          <w:szCs w:val="22"/>
          <w:lang w:eastAsia="en-GB"/>
          <w14:ligatures w14:val="none"/>
        </w:rPr>
        <w:t xml:space="preserve"> The valuation drivers are the conceptual primitives behind all asset valuation — the four components that decompose any asset price into its causal building blocks. The four drivers: </w:t>
      </w:r>
      <w:r w:rsidRPr="0032251D">
        <w:rPr>
          <w:rFonts w:ascii="Aptos" w:eastAsia="Times New Roman" w:hAnsi="Aptos" w:cs="Times New Roman"/>
          <w:i/>
          <w:iCs/>
          <w:kern w:val="0"/>
          <w:sz w:val="22"/>
          <w:szCs w:val="22"/>
          <w:lang w:eastAsia="en-GB"/>
          <w14:ligatures w14:val="none"/>
        </w:rPr>
        <w:t>discount rate</w:t>
      </w:r>
      <w:r w:rsidRPr="0032251D">
        <w:rPr>
          <w:rFonts w:ascii="Aptos" w:eastAsia="Times New Roman" w:hAnsi="Aptos" w:cs="Times New Roman"/>
          <w:kern w:val="0"/>
          <w:sz w:val="22"/>
          <w:szCs w:val="22"/>
          <w:lang w:eastAsia="en-GB"/>
          <w14:ligatures w14:val="none"/>
        </w:rPr>
        <w:t xml:space="preserve"> (the risk-free rate at the appropriate maturity); </w:t>
      </w:r>
      <w:r w:rsidRPr="0032251D">
        <w:rPr>
          <w:rFonts w:ascii="Aptos" w:eastAsia="Times New Roman" w:hAnsi="Aptos" w:cs="Times New Roman"/>
          <w:i/>
          <w:iCs/>
          <w:kern w:val="0"/>
          <w:sz w:val="22"/>
          <w:szCs w:val="22"/>
          <w:lang w:eastAsia="en-GB"/>
          <w14:ligatures w14:val="none"/>
        </w:rPr>
        <w:t>cash flows</w:t>
      </w:r>
      <w:r w:rsidRPr="0032251D">
        <w:rPr>
          <w:rFonts w:ascii="Aptos" w:eastAsia="Times New Roman" w:hAnsi="Aptos" w:cs="Times New Roman"/>
          <w:kern w:val="0"/>
          <w:sz w:val="22"/>
          <w:szCs w:val="22"/>
          <w:lang w:eastAsia="en-GB"/>
          <w14:ligatures w14:val="none"/>
        </w:rPr>
        <w:t xml:space="preserve"> (the expected future income — coupons, dividends, rents, earnings); </w:t>
      </w:r>
      <w:r w:rsidRPr="0032251D">
        <w:rPr>
          <w:rFonts w:ascii="Aptos" w:eastAsia="Times New Roman" w:hAnsi="Aptos" w:cs="Times New Roman"/>
          <w:i/>
          <w:iCs/>
          <w:kern w:val="0"/>
          <w:sz w:val="22"/>
          <w:szCs w:val="22"/>
          <w:lang w:eastAsia="en-GB"/>
          <w14:ligatures w14:val="none"/>
        </w:rPr>
        <w:t>risk premium</w:t>
      </w:r>
      <w:r w:rsidRPr="0032251D">
        <w:rPr>
          <w:rFonts w:ascii="Aptos" w:eastAsia="Times New Roman" w:hAnsi="Aptos" w:cs="Times New Roman"/>
          <w:kern w:val="0"/>
          <w:sz w:val="22"/>
          <w:szCs w:val="22"/>
          <w:lang w:eastAsia="en-GB"/>
          <w14:ligatures w14:val="none"/>
        </w:rPr>
        <w:t xml:space="preserve"> (compensation for bearing risk — equity risk premium, credit spread, FX risk premium, liquidity premium); and </w:t>
      </w:r>
      <w:r w:rsidRPr="0032251D">
        <w:rPr>
          <w:rFonts w:ascii="Aptos" w:eastAsia="Times New Roman" w:hAnsi="Aptos" w:cs="Times New Roman"/>
          <w:i/>
          <w:iCs/>
          <w:kern w:val="0"/>
          <w:sz w:val="22"/>
          <w:szCs w:val="22"/>
          <w:lang w:eastAsia="en-GB"/>
          <w14:ligatures w14:val="none"/>
        </w:rPr>
        <w:t>convenience yield</w:t>
      </w:r>
      <w:r w:rsidRPr="0032251D">
        <w:rPr>
          <w:rFonts w:ascii="Aptos" w:eastAsia="Times New Roman" w:hAnsi="Aptos" w:cs="Times New Roman"/>
          <w:kern w:val="0"/>
          <w:sz w:val="22"/>
          <w:szCs w:val="22"/>
          <w:lang w:eastAsia="en-GB"/>
          <w14:ligatures w14:val="none"/>
        </w:rPr>
        <w:t xml:space="preserve"> (the non-pecuniary benefit of holding safe assets — collateral value, regulatory utility, flight-to-quality demand). Together these form the conceptual translation layer between framework dynamics (L1-L7) and the observable terminal node L9 (asset prices). Every movement in the upstream nodes ultimately reaches asset prices by moving one or more of these four drivers. L8 is therefore unusual in the framework: it is not a market or institution but a </w:t>
      </w:r>
      <w:r w:rsidRPr="0032251D">
        <w:rPr>
          <w:rFonts w:ascii="Aptos" w:eastAsia="Times New Roman" w:hAnsi="Aptos" w:cs="Times New Roman"/>
          <w:i/>
          <w:iCs/>
          <w:kern w:val="0"/>
          <w:sz w:val="22"/>
          <w:szCs w:val="22"/>
          <w:lang w:eastAsia="en-GB"/>
          <w14:ligatures w14:val="none"/>
        </w:rPr>
        <w:t>conceptual decomposition</w:t>
      </w:r>
      <w:r w:rsidRPr="0032251D">
        <w:rPr>
          <w:rFonts w:ascii="Aptos" w:eastAsia="Times New Roman" w:hAnsi="Aptos" w:cs="Times New Roman"/>
          <w:kern w:val="0"/>
          <w:sz w:val="22"/>
          <w:szCs w:val="22"/>
          <w:lang w:eastAsia="en-GB"/>
          <w14:ligatures w14:val="none"/>
        </w:rPr>
        <w:t>. It functions as the framework's analytical bridge — the layer where the abstract becomes the priceable.</w:t>
      </w:r>
    </w:p>
    <w:p w14:paraId="6260ECEC"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468902DB">
          <v:rect id="_x0000_i1130" alt="" style="width:451.3pt;height:.05pt;mso-width-percent:0;mso-height-percent:0;mso-width-percent:0;mso-height-percent:0" o:hralign="center" o:hrstd="t" o:hr="t" fillcolor="#a0a0a0" stroked="f"/>
        </w:pict>
      </w:r>
    </w:p>
    <w:p w14:paraId="3B6E014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Theory</w:t>
      </w:r>
    </w:p>
    <w:p w14:paraId="0634286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Several theoretical foundations underpin the valuation drivers as a distinct node.</w:t>
      </w:r>
    </w:p>
    <w:p w14:paraId="19FF044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The discounted cash flow framework (Williams 1938).</w:t>
      </w:r>
      <w:r w:rsidRPr="0032251D">
        <w:rPr>
          <w:rFonts w:ascii="Aptos" w:eastAsia="Times New Roman" w:hAnsi="Aptos" w:cs="Times New Roman"/>
          <w:kern w:val="0"/>
          <w:sz w:val="22"/>
          <w:szCs w:val="22"/>
          <w:lang w:eastAsia="en-GB"/>
          <w14:ligatures w14:val="none"/>
        </w:rPr>
        <w:t xml:space="preserve"> The foundational pricing equation: asset value = present value of expected future cash flows. The Williams formulation made cash flows and discount rates the two primitive components of any asset price. Modern asset pricing extends this — the discount rate is decomposed into risk-free rate plus risk premium, and the convenience yield is added as a fourth driver — but the core Williams insight remains the operational foundation.</w:t>
      </w:r>
    </w:p>
    <w:p w14:paraId="67542A9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The Campbell-Shiller decomposition (1988).</w:t>
      </w:r>
      <w:r w:rsidRPr="0032251D">
        <w:rPr>
          <w:rFonts w:ascii="Aptos" w:eastAsia="Times New Roman" w:hAnsi="Aptos" w:cs="Times New Roman"/>
          <w:kern w:val="0"/>
          <w:sz w:val="22"/>
          <w:szCs w:val="22"/>
          <w:lang w:eastAsia="en-GB"/>
          <w14:ligatures w14:val="none"/>
        </w:rPr>
        <w:t xml:space="preserve"> The log-linear approximation that decomposes asset returns into </w:t>
      </w:r>
      <w:r w:rsidRPr="0032251D">
        <w:rPr>
          <w:rFonts w:ascii="Aptos" w:eastAsia="Times New Roman" w:hAnsi="Aptos" w:cs="Times New Roman"/>
          <w:i/>
          <w:iCs/>
          <w:kern w:val="0"/>
          <w:sz w:val="22"/>
          <w:szCs w:val="22"/>
          <w:lang w:eastAsia="en-GB"/>
          <w14:ligatures w14:val="none"/>
        </w:rPr>
        <w:t>discount rate news</w:t>
      </w:r>
      <w:r w:rsidRPr="0032251D">
        <w:rPr>
          <w:rFonts w:ascii="Aptos" w:eastAsia="Times New Roman" w:hAnsi="Aptos" w:cs="Times New Roman"/>
          <w:kern w:val="0"/>
          <w:sz w:val="22"/>
          <w:szCs w:val="22"/>
          <w:lang w:eastAsia="en-GB"/>
          <w14:ligatures w14:val="none"/>
        </w:rPr>
        <w:t xml:space="preserve"> and </w:t>
      </w:r>
      <w:r w:rsidRPr="0032251D">
        <w:rPr>
          <w:rFonts w:ascii="Aptos" w:eastAsia="Times New Roman" w:hAnsi="Aptos" w:cs="Times New Roman"/>
          <w:i/>
          <w:iCs/>
          <w:kern w:val="0"/>
          <w:sz w:val="22"/>
          <w:szCs w:val="22"/>
          <w:lang w:eastAsia="en-GB"/>
          <w14:ligatures w14:val="none"/>
        </w:rPr>
        <w:t>cash flow news</w:t>
      </w:r>
      <w:r w:rsidRPr="0032251D">
        <w:rPr>
          <w:rFonts w:ascii="Aptos" w:eastAsia="Times New Roman" w:hAnsi="Aptos" w:cs="Times New Roman"/>
          <w:kern w:val="0"/>
          <w:sz w:val="22"/>
          <w:szCs w:val="22"/>
          <w:lang w:eastAsia="en-GB"/>
          <w14:ligatures w14:val="none"/>
        </w:rPr>
        <w:t>. The empirical finding: most variation in asset returns comes from discount rate news (changes in expected returns / risk premia), not cash flow news (changes in expected fundamentals). This was a paradigm-shifting result — it relocated the analytical focus from forecasting earnings to understanding discount rate dynamics.</w:t>
      </w:r>
    </w:p>
    <w:p w14:paraId="22F2433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Cochrane (2011) "Discount rates."</w:t>
      </w:r>
      <w:r w:rsidRPr="0032251D">
        <w:rPr>
          <w:rFonts w:ascii="Aptos" w:eastAsia="Times New Roman" w:hAnsi="Aptos" w:cs="Times New Roman"/>
          <w:kern w:val="0"/>
          <w:sz w:val="22"/>
          <w:szCs w:val="22"/>
          <w:lang w:eastAsia="en-GB"/>
          <w14:ligatures w14:val="none"/>
        </w:rPr>
        <w:t xml:space="preserve"> The AFA Presidential Address summarising the core empirical insight of modern asset pricing: </w:t>
      </w:r>
      <w:r w:rsidRPr="0032251D">
        <w:rPr>
          <w:rFonts w:ascii="Aptos" w:eastAsia="Times New Roman" w:hAnsi="Aptos" w:cs="Times New Roman"/>
          <w:i/>
          <w:iCs/>
          <w:kern w:val="0"/>
          <w:sz w:val="22"/>
          <w:szCs w:val="22"/>
          <w:lang w:eastAsia="en-GB"/>
          <w14:ligatures w14:val="none"/>
        </w:rPr>
        <w:t>expected returns vary over time</w:t>
      </w:r>
      <w:r w:rsidRPr="0032251D">
        <w:rPr>
          <w:rFonts w:ascii="Aptos" w:eastAsia="Times New Roman" w:hAnsi="Aptos" w:cs="Times New Roman"/>
          <w:kern w:val="0"/>
          <w:sz w:val="22"/>
          <w:szCs w:val="22"/>
          <w:lang w:eastAsia="en-GB"/>
          <w14:ligatures w14:val="none"/>
        </w:rPr>
        <w:t>. The risk premium is not constant; it is the dominant source of price variation. The implications run through every framework node — when risk premia rise (intermediary stress, uncertainty, low risk appetite), discount rates rise without any change in the policy rate, and asset prices fall. When risk premia compress (calm regimes, ample intermediary capacity, search-for-yield), asset prices rise without any change in fundamentals.</w:t>
      </w:r>
    </w:p>
    <w:p w14:paraId="430A3BF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CAPM and APT.</w:t>
      </w:r>
      <w:r w:rsidRPr="0032251D">
        <w:rPr>
          <w:rFonts w:ascii="Aptos" w:eastAsia="Times New Roman" w:hAnsi="Aptos" w:cs="Times New Roman"/>
          <w:kern w:val="0"/>
          <w:sz w:val="22"/>
          <w:szCs w:val="22"/>
          <w:lang w:eastAsia="en-GB"/>
          <w14:ligatures w14:val="none"/>
        </w:rPr>
        <w:t xml:space="preserve"> Sharpe (1964) and subsequent extensions provided the cross-sectional structure for thinking about risk premia — expected returns are determined by exposure to systematic risk factors. The modern multi-factor frameworks (Fama-French; Carhart; q-factor) operationalise this for cross-sectional analysis.</w:t>
      </w:r>
    </w:p>
    <w:p w14:paraId="7AAB9DD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The Krishnamurthy-Vissing-Jorgensen convenience yield framework (2012).</w:t>
      </w:r>
      <w:r w:rsidRPr="0032251D">
        <w:rPr>
          <w:rFonts w:ascii="Aptos" w:eastAsia="Times New Roman" w:hAnsi="Aptos" w:cs="Times New Roman"/>
          <w:kern w:val="0"/>
          <w:sz w:val="22"/>
          <w:szCs w:val="22"/>
          <w:lang w:eastAsia="en-GB"/>
          <w14:ligatures w14:val="none"/>
        </w:rPr>
        <w:t xml:space="preserve"> The convenience yield is the non-pecuniary benefit of holding safe assets — collateral value (acceptable in repo, derivatives, central counterparties), liquidity (sellable at scale in stress), regulatory utility </w:t>
      </w:r>
      <w:r w:rsidRPr="0032251D">
        <w:rPr>
          <w:rFonts w:ascii="Aptos" w:eastAsia="Times New Roman" w:hAnsi="Aptos" w:cs="Times New Roman"/>
          <w:kern w:val="0"/>
          <w:sz w:val="22"/>
          <w:szCs w:val="22"/>
          <w:lang w:eastAsia="en-GB"/>
          <w14:ligatures w14:val="none"/>
        </w:rPr>
        <w:lastRenderedPageBreak/>
        <w:t>(HQLA, LCR), and flight-to-quality demand. Investors accept lower yields on safe assets because they provide these services. The convenience yield varies meaningfully over time — spiking in stress, compressing under QE — and is itself an important fourth driver that the standard three-component decomposition misses.</w:t>
      </w:r>
    </w:p>
    <w:p w14:paraId="24D42265"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Intermediary asset pricing (He-Krishnamurthy 2013; Adrian-</w:t>
      </w:r>
      <w:proofErr w:type="spellStart"/>
      <w:r w:rsidRPr="0032251D">
        <w:rPr>
          <w:rFonts w:ascii="Aptos" w:eastAsia="Times New Roman" w:hAnsi="Aptos" w:cs="Times New Roman"/>
          <w:i/>
          <w:iCs/>
          <w:kern w:val="0"/>
          <w:sz w:val="22"/>
          <w:szCs w:val="22"/>
          <w:lang w:eastAsia="en-GB"/>
          <w14:ligatures w14:val="none"/>
        </w:rPr>
        <w:t>Etula</w:t>
      </w:r>
      <w:proofErr w:type="spellEnd"/>
      <w:r w:rsidRPr="0032251D">
        <w:rPr>
          <w:rFonts w:ascii="Aptos" w:eastAsia="Times New Roman" w:hAnsi="Aptos" w:cs="Times New Roman"/>
          <w:i/>
          <w:iCs/>
          <w:kern w:val="0"/>
          <w:sz w:val="22"/>
          <w:szCs w:val="22"/>
          <w:lang w:eastAsia="en-GB"/>
          <w14:ligatures w14:val="none"/>
        </w:rPr>
        <w:t>-Muir 2014).</w:t>
      </w:r>
      <w:r w:rsidRPr="0032251D">
        <w:rPr>
          <w:rFonts w:ascii="Aptos" w:eastAsia="Times New Roman" w:hAnsi="Aptos" w:cs="Times New Roman"/>
          <w:kern w:val="0"/>
          <w:sz w:val="22"/>
          <w:szCs w:val="22"/>
          <w:lang w:eastAsia="en-GB"/>
          <w14:ligatures w14:val="none"/>
        </w:rPr>
        <w:t xml:space="preserve"> Risk premia depend on intermediary balance sheet capacity. When intermediaries (dealers, NBFIs) are constrained, the risk premium component of the discount rate widens. This integrates L5 into L8 directly — intermediary stress is, mechanically, a risk premium event.</w:t>
      </w:r>
    </w:p>
    <w:p w14:paraId="793840F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Time-varying risk premia as central empirical finding.</w:t>
      </w:r>
      <w:r w:rsidRPr="0032251D">
        <w:rPr>
          <w:rFonts w:ascii="Aptos" w:eastAsia="Times New Roman" w:hAnsi="Aptos" w:cs="Times New Roman"/>
          <w:kern w:val="0"/>
          <w:sz w:val="22"/>
          <w:szCs w:val="22"/>
          <w:lang w:eastAsia="en-GB"/>
          <w14:ligatures w14:val="none"/>
        </w:rPr>
        <w:t xml:space="preserve"> The dominant insight of post-2000 asset pricing: risk premia move, often more than cash flow expectations. This shifts the analytical question from "what are earnings doing?" to "what is the discount rate doing and why?" — and the L8 node is where this question gets answered.</w:t>
      </w:r>
    </w:p>
    <w:p w14:paraId="7E209652"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749DDF7C">
          <v:rect id="_x0000_i1131" alt="" style="width:451.3pt;height:.05pt;mso-width-percent:0;mso-height-percent:0;mso-width-percent:0;mso-height-percent:0" o:hralign="center" o:hrstd="t" o:hr="t" fillcolor="#a0a0a0" stroked="f"/>
        </w:pict>
      </w:r>
    </w:p>
    <w:p w14:paraId="4333C525"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Canonical decomposition and components</w:t>
      </w:r>
    </w:p>
    <w:p w14:paraId="341EF1F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fundamental decomposition for any asset:</w:t>
      </w:r>
    </w:p>
    <w:p w14:paraId="22344155"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Price = </w:t>
      </w:r>
      <w:proofErr w:type="gramStart"/>
      <w:r w:rsidRPr="0032251D">
        <w:rPr>
          <w:rFonts w:ascii="Aptos" w:eastAsia="Times New Roman" w:hAnsi="Aptos" w:cs="Times New Roman"/>
          <w:kern w:val="0"/>
          <w:sz w:val="22"/>
          <w:szCs w:val="22"/>
          <w:lang w:eastAsia="en-GB"/>
          <w14:ligatures w14:val="none"/>
        </w:rPr>
        <w:t>E[</w:t>
      </w:r>
      <w:proofErr w:type="gramEnd"/>
      <w:r w:rsidRPr="0032251D">
        <w:rPr>
          <w:rFonts w:ascii="Aptos" w:eastAsia="Times New Roman" w:hAnsi="Aptos" w:cs="Times New Roman"/>
          <w:kern w:val="0"/>
          <w:sz w:val="22"/>
          <w:szCs w:val="22"/>
          <w:lang w:eastAsia="en-GB"/>
          <w14:ligatures w14:val="none"/>
        </w:rPr>
        <w:t>Cash flows] / (Risk-free rate + Risk premium) ± Convenience yield adjustment</w:t>
      </w:r>
    </w:p>
    <w:p w14:paraId="49BB15B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Each component has rich internal structure.</w:t>
      </w:r>
    </w:p>
    <w:p w14:paraId="293E1F3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Discount rate (risk-free rate).</w:t>
      </w:r>
    </w:p>
    <w:p w14:paraId="4F418C14" w14:textId="77777777" w:rsidR="0032251D" w:rsidRPr="0032251D" w:rsidRDefault="0032251D">
      <w:pPr>
        <w:numPr>
          <w:ilvl w:val="0"/>
          <w:numId w:val="12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Yield curve at the appropriate maturity (matched to cash flow timing)</w:t>
      </w:r>
    </w:p>
    <w:p w14:paraId="20A7AD17" w14:textId="77777777" w:rsidR="0032251D" w:rsidRPr="0032251D" w:rsidRDefault="0032251D">
      <w:pPr>
        <w:numPr>
          <w:ilvl w:val="0"/>
          <w:numId w:val="12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Real vs nominal components (Fisher decomposition)</w:t>
      </w:r>
    </w:p>
    <w:p w14:paraId="5BA80C51" w14:textId="77777777" w:rsidR="0032251D" w:rsidRPr="0032251D" w:rsidRDefault="0032251D">
      <w:pPr>
        <w:numPr>
          <w:ilvl w:val="0"/>
          <w:numId w:val="12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Term structure relevance (different cash flow horizons require different discount rates)</w:t>
      </w:r>
    </w:p>
    <w:p w14:paraId="58ED6BC5" w14:textId="77777777" w:rsidR="0032251D" w:rsidRPr="0032251D" w:rsidRDefault="0032251D">
      <w:pPr>
        <w:numPr>
          <w:ilvl w:val="0"/>
          <w:numId w:val="12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Cross-currency considerations (which currency's risk-free rate applies)</w:t>
      </w:r>
    </w:p>
    <w:p w14:paraId="274C576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This driver is directly tied to L4a (yield curve) and is the cleanest single mechanical channel from monetary policy to asset prices.</w:t>
      </w:r>
    </w:p>
    <w:p w14:paraId="36C30242"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Cash flows.</w:t>
      </w:r>
    </w:p>
    <w:p w14:paraId="723A7C02" w14:textId="77777777" w:rsidR="0032251D" w:rsidRPr="0032251D" w:rsidRDefault="0032251D">
      <w:pPr>
        <w:numPr>
          <w:ilvl w:val="0"/>
          <w:numId w:val="12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Expected earnings, dividends, coupons, rents, royalties</w:t>
      </w:r>
    </w:p>
    <w:p w14:paraId="48B4575B" w14:textId="77777777" w:rsidR="0032251D" w:rsidRPr="0032251D" w:rsidRDefault="0032251D">
      <w:pPr>
        <w:numPr>
          <w:ilvl w:val="0"/>
          <w:numId w:val="12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Growth rates (g in the Gordon framework)</w:t>
      </w:r>
    </w:p>
    <w:p w14:paraId="498816D9" w14:textId="77777777" w:rsidR="0032251D" w:rsidRPr="0032251D" w:rsidRDefault="0032251D">
      <w:pPr>
        <w:numPr>
          <w:ilvl w:val="0"/>
          <w:numId w:val="12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Cash flow volatility (which feeds into risk premium)</w:t>
      </w:r>
    </w:p>
    <w:p w14:paraId="04E1660B" w14:textId="77777777" w:rsidR="0032251D" w:rsidRPr="0032251D" w:rsidRDefault="0032251D">
      <w:pPr>
        <w:numPr>
          <w:ilvl w:val="0"/>
          <w:numId w:val="12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Default probability (for credit assets)</w:t>
      </w:r>
    </w:p>
    <w:p w14:paraId="561453FD" w14:textId="77777777" w:rsidR="0032251D" w:rsidRPr="0032251D" w:rsidRDefault="0032251D">
      <w:pPr>
        <w:numPr>
          <w:ilvl w:val="0"/>
          <w:numId w:val="12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Cyclicality and procyclicality</w:t>
      </w:r>
    </w:p>
    <w:p w14:paraId="64E70040" w14:textId="77777777" w:rsidR="0032251D" w:rsidRPr="0032251D" w:rsidRDefault="0032251D">
      <w:pPr>
        <w:numPr>
          <w:ilvl w:val="0"/>
          <w:numId w:val="12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Currency of denomination (for FX-sensitive assets)</w:t>
      </w:r>
    </w:p>
    <w:p w14:paraId="0D01944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Cash flow expectations are tied to L6 (expectations) and the L10a real economy node.</w:t>
      </w:r>
    </w:p>
    <w:p w14:paraId="10A3543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Risk premium.</w:t>
      </w:r>
    </w:p>
    <w:p w14:paraId="64E3BB8B" w14:textId="77777777" w:rsidR="0032251D" w:rsidRPr="0032251D" w:rsidRDefault="0032251D">
      <w:pPr>
        <w:numPr>
          <w:ilvl w:val="0"/>
          <w:numId w:val="12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Equity risk premium (ERP)</w:t>
      </w:r>
      <w:r w:rsidRPr="0032251D">
        <w:rPr>
          <w:rFonts w:ascii="Aptos" w:eastAsia="Times New Roman" w:hAnsi="Aptos" w:cs="Times New Roman"/>
          <w:kern w:val="0"/>
          <w:sz w:val="22"/>
          <w:szCs w:val="22"/>
          <w:lang w:eastAsia="en-GB"/>
          <w14:ligatures w14:val="none"/>
        </w:rPr>
        <w:t>: compensation for bearing equity risk over risk-free</w:t>
      </w:r>
    </w:p>
    <w:p w14:paraId="0F9EA85A" w14:textId="77777777" w:rsidR="0032251D" w:rsidRPr="0032251D" w:rsidRDefault="0032251D">
      <w:pPr>
        <w:numPr>
          <w:ilvl w:val="0"/>
          <w:numId w:val="12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 xml:space="preserve">Credit </w:t>
      </w:r>
      <w:proofErr w:type="gramStart"/>
      <w:r w:rsidRPr="0032251D">
        <w:rPr>
          <w:rFonts w:ascii="Aptos" w:eastAsia="Times New Roman" w:hAnsi="Aptos" w:cs="Times New Roman"/>
          <w:b/>
          <w:bCs/>
          <w:kern w:val="0"/>
          <w:sz w:val="22"/>
          <w:szCs w:val="22"/>
          <w:lang w:eastAsia="en-GB"/>
          <w14:ligatures w14:val="none"/>
        </w:rPr>
        <w:t>spread</w:t>
      </w:r>
      <w:r w:rsidRPr="0032251D">
        <w:rPr>
          <w:rFonts w:ascii="Aptos" w:eastAsia="Times New Roman" w:hAnsi="Aptos" w:cs="Times New Roman"/>
          <w:kern w:val="0"/>
          <w:sz w:val="22"/>
          <w:szCs w:val="22"/>
          <w:lang w:eastAsia="en-GB"/>
          <w14:ligatures w14:val="none"/>
        </w:rPr>
        <w:t>:</w:t>
      </w:r>
      <w:proofErr w:type="gramEnd"/>
      <w:r w:rsidRPr="0032251D">
        <w:rPr>
          <w:rFonts w:ascii="Aptos" w:eastAsia="Times New Roman" w:hAnsi="Aptos" w:cs="Times New Roman"/>
          <w:kern w:val="0"/>
          <w:sz w:val="22"/>
          <w:szCs w:val="22"/>
          <w:lang w:eastAsia="en-GB"/>
          <w14:ligatures w14:val="none"/>
        </w:rPr>
        <w:t xml:space="preserve"> compensation for default and credit-related risk</w:t>
      </w:r>
    </w:p>
    <w:p w14:paraId="54AD4AE7" w14:textId="77777777" w:rsidR="0032251D" w:rsidRPr="0032251D" w:rsidRDefault="0032251D">
      <w:pPr>
        <w:numPr>
          <w:ilvl w:val="0"/>
          <w:numId w:val="12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FX risk premium</w:t>
      </w:r>
      <w:r w:rsidRPr="0032251D">
        <w:rPr>
          <w:rFonts w:ascii="Aptos" w:eastAsia="Times New Roman" w:hAnsi="Aptos" w:cs="Times New Roman"/>
          <w:kern w:val="0"/>
          <w:sz w:val="22"/>
          <w:szCs w:val="22"/>
          <w:lang w:eastAsia="en-GB"/>
          <w14:ligatures w14:val="none"/>
        </w:rPr>
        <w:t>: compensation for bearing currency risk (UIP failure)</w:t>
      </w:r>
    </w:p>
    <w:p w14:paraId="171F6154" w14:textId="77777777" w:rsidR="0032251D" w:rsidRPr="0032251D" w:rsidRDefault="0032251D">
      <w:pPr>
        <w:numPr>
          <w:ilvl w:val="0"/>
          <w:numId w:val="12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lastRenderedPageBreak/>
        <w:t>Term premium</w:t>
      </w:r>
      <w:r w:rsidRPr="0032251D">
        <w:rPr>
          <w:rFonts w:ascii="Aptos" w:eastAsia="Times New Roman" w:hAnsi="Aptos" w:cs="Times New Roman"/>
          <w:kern w:val="0"/>
          <w:sz w:val="22"/>
          <w:szCs w:val="22"/>
          <w:lang w:eastAsia="en-GB"/>
          <w14:ligatures w14:val="none"/>
        </w:rPr>
        <w:t>: compensation for duration risk (in L4a, but feeds L8)</w:t>
      </w:r>
    </w:p>
    <w:p w14:paraId="29E58C17" w14:textId="77777777" w:rsidR="0032251D" w:rsidRPr="0032251D" w:rsidRDefault="0032251D">
      <w:pPr>
        <w:numPr>
          <w:ilvl w:val="0"/>
          <w:numId w:val="12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Liquidity risk premium</w:t>
      </w:r>
      <w:r w:rsidRPr="0032251D">
        <w:rPr>
          <w:rFonts w:ascii="Aptos" w:eastAsia="Times New Roman" w:hAnsi="Aptos" w:cs="Times New Roman"/>
          <w:kern w:val="0"/>
          <w:sz w:val="22"/>
          <w:szCs w:val="22"/>
          <w:lang w:eastAsia="en-GB"/>
          <w14:ligatures w14:val="none"/>
        </w:rPr>
        <w:t>: compensation for holding illiquid assets</w:t>
      </w:r>
    </w:p>
    <w:p w14:paraId="663C0726" w14:textId="77777777" w:rsidR="0032251D" w:rsidRPr="0032251D" w:rsidRDefault="0032251D">
      <w:pPr>
        <w:numPr>
          <w:ilvl w:val="0"/>
          <w:numId w:val="12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Factor premia</w:t>
      </w:r>
      <w:r w:rsidRPr="0032251D">
        <w:rPr>
          <w:rFonts w:ascii="Aptos" w:eastAsia="Times New Roman" w:hAnsi="Aptos" w:cs="Times New Roman"/>
          <w:kern w:val="0"/>
          <w:sz w:val="22"/>
          <w:szCs w:val="22"/>
          <w:lang w:eastAsia="en-GB"/>
          <w14:ligatures w14:val="none"/>
        </w:rPr>
        <w:t>: size, value, momentum, quality, low-vol — empirical risk factors</w:t>
      </w:r>
    </w:p>
    <w:p w14:paraId="27EB30D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Risk premia are heavily influenced by L5 intermediary capacity, L4d volatility, and L6 expectations dispersion.</w:t>
      </w:r>
    </w:p>
    <w:p w14:paraId="04BE9C5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Convenience yield.</w:t>
      </w:r>
    </w:p>
    <w:p w14:paraId="1F80EB29" w14:textId="77777777" w:rsidR="0032251D" w:rsidRPr="0032251D" w:rsidRDefault="0032251D">
      <w:pPr>
        <w:numPr>
          <w:ilvl w:val="0"/>
          <w:numId w:val="12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Liquidity premium for safe assets</w:t>
      </w:r>
      <w:r w:rsidRPr="0032251D">
        <w:rPr>
          <w:rFonts w:ascii="Aptos" w:eastAsia="Times New Roman" w:hAnsi="Aptos" w:cs="Times New Roman"/>
          <w:kern w:val="0"/>
          <w:sz w:val="22"/>
          <w:szCs w:val="22"/>
          <w:lang w:eastAsia="en-GB"/>
          <w14:ligatures w14:val="none"/>
        </w:rPr>
        <w:t>: USD cash, US Treasuries, Bunds</w:t>
      </w:r>
    </w:p>
    <w:p w14:paraId="2FCA3BCB" w14:textId="77777777" w:rsidR="0032251D" w:rsidRPr="0032251D" w:rsidRDefault="0032251D">
      <w:pPr>
        <w:numPr>
          <w:ilvl w:val="0"/>
          <w:numId w:val="12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Collateral value</w:t>
      </w:r>
      <w:r w:rsidRPr="0032251D">
        <w:rPr>
          <w:rFonts w:ascii="Aptos" w:eastAsia="Times New Roman" w:hAnsi="Aptos" w:cs="Times New Roman"/>
          <w:kern w:val="0"/>
          <w:sz w:val="22"/>
          <w:szCs w:val="22"/>
          <w:lang w:eastAsia="en-GB"/>
          <w14:ligatures w14:val="none"/>
        </w:rPr>
        <w:t>: accepted in repo, derivatives, CCP margin</w:t>
      </w:r>
    </w:p>
    <w:p w14:paraId="7C64A18D" w14:textId="77777777" w:rsidR="0032251D" w:rsidRPr="0032251D" w:rsidRDefault="0032251D">
      <w:pPr>
        <w:numPr>
          <w:ilvl w:val="0"/>
          <w:numId w:val="12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Regulatory value</w:t>
      </w:r>
      <w:r w:rsidRPr="0032251D">
        <w:rPr>
          <w:rFonts w:ascii="Aptos" w:eastAsia="Times New Roman" w:hAnsi="Aptos" w:cs="Times New Roman"/>
          <w:kern w:val="0"/>
          <w:sz w:val="22"/>
          <w:szCs w:val="22"/>
          <w:lang w:eastAsia="en-GB"/>
          <w14:ligatures w14:val="none"/>
        </w:rPr>
        <w:t>: LCR, HQLA, capital relief</w:t>
      </w:r>
    </w:p>
    <w:p w14:paraId="3B969103" w14:textId="77777777" w:rsidR="0032251D" w:rsidRPr="0032251D" w:rsidRDefault="0032251D">
      <w:pPr>
        <w:numPr>
          <w:ilvl w:val="0"/>
          <w:numId w:val="12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Flight-to-quality demand</w:t>
      </w:r>
      <w:r w:rsidRPr="0032251D">
        <w:rPr>
          <w:rFonts w:ascii="Aptos" w:eastAsia="Times New Roman" w:hAnsi="Aptos" w:cs="Times New Roman"/>
          <w:kern w:val="0"/>
          <w:sz w:val="22"/>
          <w:szCs w:val="22"/>
          <w:lang w:eastAsia="en-GB"/>
          <w14:ligatures w14:val="none"/>
        </w:rPr>
        <w:t>: spikes in stress; cross-asset effect</w:t>
      </w:r>
    </w:p>
    <w:p w14:paraId="1A46046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convenience yield is heavily influenced by L3b (balance sheet operations affect the supply of safe assets), L5c (dealer balance sheet capacity affects collateral pricing), and L7 (financial conditions affect the demand for safety).</w:t>
      </w:r>
    </w:p>
    <w:p w14:paraId="0B245F0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Asset-class specificity of driver weightings.</w:t>
      </w:r>
    </w:p>
    <w:p w14:paraId="0D5E6770" w14:textId="77777777" w:rsidR="0032251D" w:rsidRPr="0032251D" w:rsidRDefault="0032251D">
      <w:pPr>
        <w:numPr>
          <w:ilvl w:val="0"/>
          <w:numId w:val="12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Government bonds (DM)</w:t>
      </w:r>
      <w:r w:rsidRPr="0032251D">
        <w:rPr>
          <w:rFonts w:ascii="Aptos" w:eastAsia="Times New Roman" w:hAnsi="Aptos" w:cs="Times New Roman"/>
          <w:kern w:val="0"/>
          <w:sz w:val="22"/>
          <w:szCs w:val="22"/>
          <w:lang w:eastAsia="en-GB"/>
          <w14:ligatures w14:val="none"/>
        </w:rPr>
        <w:t>: discount rate + term premium dominant; cash flows fixed; convenience yield meaningful</w:t>
      </w:r>
    </w:p>
    <w:p w14:paraId="79B2E9A2" w14:textId="77777777" w:rsidR="0032251D" w:rsidRPr="0032251D" w:rsidRDefault="0032251D">
      <w:pPr>
        <w:numPr>
          <w:ilvl w:val="0"/>
          <w:numId w:val="12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Government bonds (EM)</w:t>
      </w:r>
      <w:r w:rsidRPr="0032251D">
        <w:rPr>
          <w:rFonts w:ascii="Aptos" w:eastAsia="Times New Roman" w:hAnsi="Aptos" w:cs="Times New Roman"/>
          <w:kern w:val="0"/>
          <w:sz w:val="22"/>
          <w:szCs w:val="22"/>
          <w:lang w:eastAsia="en-GB"/>
          <w14:ligatures w14:val="none"/>
        </w:rPr>
        <w:t>: discount rate + term premium + credit risk premium + currency risk premium; convenience yield negative</w:t>
      </w:r>
    </w:p>
    <w:p w14:paraId="5FB9E3A9" w14:textId="77777777" w:rsidR="0032251D" w:rsidRPr="0032251D" w:rsidRDefault="0032251D">
      <w:pPr>
        <w:numPr>
          <w:ilvl w:val="0"/>
          <w:numId w:val="12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Credit</w:t>
      </w:r>
      <w:r w:rsidRPr="0032251D">
        <w:rPr>
          <w:rFonts w:ascii="Aptos" w:eastAsia="Times New Roman" w:hAnsi="Aptos" w:cs="Times New Roman"/>
          <w:kern w:val="0"/>
          <w:sz w:val="22"/>
          <w:szCs w:val="22"/>
          <w:lang w:eastAsia="en-GB"/>
          <w14:ligatures w14:val="none"/>
        </w:rPr>
        <w:t>: discount rate + credit risk premium; cash flows mostly fixed with default risk</w:t>
      </w:r>
    </w:p>
    <w:p w14:paraId="795FB550" w14:textId="77777777" w:rsidR="0032251D" w:rsidRPr="0032251D" w:rsidRDefault="0032251D">
      <w:pPr>
        <w:numPr>
          <w:ilvl w:val="0"/>
          <w:numId w:val="12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Equities</w:t>
      </w:r>
      <w:r w:rsidRPr="0032251D">
        <w:rPr>
          <w:rFonts w:ascii="Aptos" w:eastAsia="Times New Roman" w:hAnsi="Aptos" w:cs="Times New Roman"/>
          <w:kern w:val="0"/>
          <w:sz w:val="22"/>
          <w:szCs w:val="22"/>
          <w:lang w:eastAsia="en-GB"/>
          <w14:ligatures w14:val="none"/>
        </w:rPr>
        <w:t>: all four drivers operate; growth assumptions in cash flows critical</w:t>
      </w:r>
    </w:p>
    <w:p w14:paraId="67BBC5FB" w14:textId="77777777" w:rsidR="0032251D" w:rsidRPr="0032251D" w:rsidRDefault="0032251D">
      <w:pPr>
        <w:numPr>
          <w:ilvl w:val="0"/>
          <w:numId w:val="12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FX</w:t>
      </w:r>
      <w:r w:rsidRPr="0032251D">
        <w:rPr>
          <w:rFonts w:ascii="Aptos" w:eastAsia="Times New Roman" w:hAnsi="Aptos" w:cs="Times New Roman"/>
          <w:kern w:val="0"/>
          <w:sz w:val="22"/>
          <w:szCs w:val="22"/>
          <w:lang w:eastAsia="en-GB"/>
          <w14:ligatures w14:val="none"/>
        </w:rPr>
        <w:t>: relative drivers across countries — no absolute valuation</w:t>
      </w:r>
    </w:p>
    <w:p w14:paraId="29A71B0E" w14:textId="77777777" w:rsidR="0032251D" w:rsidRPr="0032251D" w:rsidRDefault="0032251D">
      <w:pPr>
        <w:numPr>
          <w:ilvl w:val="0"/>
          <w:numId w:val="12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Commodities</w:t>
      </w:r>
      <w:r w:rsidRPr="0032251D">
        <w:rPr>
          <w:rFonts w:ascii="Aptos" w:eastAsia="Times New Roman" w:hAnsi="Aptos" w:cs="Times New Roman"/>
          <w:kern w:val="0"/>
          <w:sz w:val="22"/>
          <w:szCs w:val="22"/>
          <w:lang w:eastAsia="en-GB"/>
          <w14:ligatures w14:val="none"/>
        </w:rPr>
        <w:t>: convenience yield central (the term originated for storable commodities — Keynes 1930)</w:t>
      </w:r>
    </w:p>
    <w:p w14:paraId="0AC5BF02" w14:textId="77777777" w:rsidR="0032251D" w:rsidRPr="0032251D" w:rsidRDefault="0032251D">
      <w:pPr>
        <w:numPr>
          <w:ilvl w:val="0"/>
          <w:numId w:val="12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Real estate</w:t>
      </w:r>
      <w:r w:rsidRPr="0032251D">
        <w:rPr>
          <w:rFonts w:ascii="Aptos" w:eastAsia="Times New Roman" w:hAnsi="Aptos" w:cs="Times New Roman"/>
          <w:kern w:val="0"/>
          <w:sz w:val="22"/>
          <w:szCs w:val="22"/>
          <w:lang w:eastAsia="en-GB"/>
          <w14:ligatures w14:val="none"/>
        </w:rPr>
        <w:t>: discount rate, rental cash flows, illiquidity premium prominent</w:t>
      </w:r>
    </w:p>
    <w:p w14:paraId="5F3D57D0" w14:textId="77777777" w:rsidR="0032251D" w:rsidRPr="0032251D" w:rsidRDefault="0032251D">
      <w:pPr>
        <w:numPr>
          <w:ilvl w:val="0"/>
          <w:numId w:val="12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Private credit/PE</w:t>
      </w:r>
      <w:r w:rsidRPr="0032251D">
        <w:rPr>
          <w:rFonts w:ascii="Aptos" w:eastAsia="Times New Roman" w:hAnsi="Aptos" w:cs="Times New Roman"/>
          <w:kern w:val="0"/>
          <w:sz w:val="22"/>
          <w:szCs w:val="22"/>
          <w:lang w:eastAsia="en-GB"/>
          <w14:ligatures w14:val="none"/>
        </w:rPr>
        <w:t>: illiquidity premium dominant; valuations partly stale</w:t>
      </w:r>
    </w:p>
    <w:p w14:paraId="4F5EA738"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5D92FE5A">
          <v:rect id="_x0000_i1132" alt="" style="width:451.3pt;height:.05pt;mso-width-percent:0;mso-height-percent:0;mso-width-percent:0;mso-height-percent:0" o:hralign="center" o:hrstd="t" o:hr="t" fillcolor="#a0a0a0" stroked="f"/>
        </w:pict>
      </w:r>
    </w:p>
    <w:p w14:paraId="7D41F55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Why this matters for asset prices</w:t>
      </w:r>
    </w:p>
    <w:p w14:paraId="666D2CC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The L8 node is the </w:t>
      </w:r>
      <w:r w:rsidRPr="0032251D">
        <w:rPr>
          <w:rFonts w:ascii="Aptos" w:eastAsia="Times New Roman" w:hAnsi="Aptos" w:cs="Times New Roman"/>
          <w:i/>
          <w:iCs/>
          <w:kern w:val="0"/>
          <w:sz w:val="22"/>
          <w:szCs w:val="22"/>
          <w:lang w:eastAsia="en-GB"/>
          <w14:ligatures w14:val="none"/>
        </w:rPr>
        <w:t>causal interpretation layer</w:t>
      </w:r>
      <w:r w:rsidRPr="0032251D">
        <w:rPr>
          <w:rFonts w:ascii="Aptos" w:eastAsia="Times New Roman" w:hAnsi="Aptos" w:cs="Times New Roman"/>
          <w:kern w:val="0"/>
          <w:sz w:val="22"/>
          <w:szCs w:val="22"/>
          <w:lang w:eastAsia="en-GB"/>
          <w14:ligatures w14:val="none"/>
        </w:rPr>
        <w:t xml:space="preserve"> for asset price movements.</w:t>
      </w:r>
    </w:p>
    <w:p w14:paraId="055C581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Decomposition for diagnostic purposes.</w:t>
      </w:r>
      <w:r w:rsidRPr="0032251D">
        <w:rPr>
          <w:rFonts w:ascii="Aptos" w:eastAsia="Times New Roman" w:hAnsi="Aptos" w:cs="Times New Roman"/>
          <w:kern w:val="0"/>
          <w:sz w:val="22"/>
          <w:szCs w:val="22"/>
          <w:lang w:eastAsia="en-GB"/>
          <w14:ligatures w14:val="none"/>
        </w:rPr>
        <w:t xml:space="preserve"> When asset prices move, the four-driver framework allows the question "which driver moved?" — and the answer determines what the move means. A 10% equity decline driven by rising discount rates is fundamentally different from one driven by falling expected cash flows, which is fundamentally different from one driven by widening risk premia. Same observable, different causal interpretation, different appropriate response.</w:t>
      </w:r>
    </w:p>
    <w:p w14:paraId="42AB425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Cross-asset comparison.</w:t>
      </w:r>
      <w:r w:rsidRPr="0032251D">
        <w:rPr>
          <w:rFonts w:ascii="Aptos" w:eastAsia="Times New Roman" w:hAnsi="Aptos" w:cs="Times New Roman"/>
          <w:kern w:val="0"/>
          <w:sz w:val="22"/>
          <w:szCs w:val="22"/>
          <w:lang w:eastAsia="en-GB"/>
          <w14:ligatures w14:val="none"/>
        </w:rPr>
        <w:t xml:space="preserve"> The same four-driver decomposition applies across assets. This allows direct comparison: when equities and credit both sell off, was it discount rate news (curve repricing) or risk premium news (intermediary stress)? The decomposition framework makes the question answerable. Same shock, different relative exposures across asset classes.</w:t>
      </w:r>
    </w:p>
    <w:p w14:paraId="3F1DE0D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Time-varying risk premia identification.</w:t>
      </w:r>
      <w:r w:rsidRPr="0032251D">
        <w:rPr>
          <w:rFonts w:ascii="Aptos" w:eastAsia="Times New Roman" w:hAnsi="Aptos" w:cs="Times New Roman"/>
          <w:kern w:val="0"/>
          <w:sz w:val="22"/>
          <w:szCs w:val="22"/>
          <w:lang w:eastAsia="en-GB"/>
          <w14:ligatures w14:val="none"/>
        </w:rPr>
        <w:t xml:space="preserve"> Modern asset pricing relies on identifying time-varying risk premia as the dominant source of price variation. The L8 decomposition makes this operational. Risk premium news is the largest single source of asset price variation in most empirical studies — exceeding cash flow news by a meaningful margin.</w:t>
      </w:r>
    </w:p>
    <w:p w14:paraId="7847B05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Discount rate transmission channel.</w:t>
      </w:r>
      <w:r w:rsidRPr="0032251D">
        <w:rPr>
          <w:rFonts w:ascii="Aptos" w:eastAsia="Times New Roman" w:hAnsi="Aptos" w:cs="Times New Roman"/>
          <w:kern w:val="0"/>
          <w:sz w:val="22"/>
          <w:szCs w:val="22"/>
          <w:lang w:eastAsia="en-GB"/>
          <w14:ligatures w14:val="none"/>
        </w:rPr>
        <w:t xml:space="preserve"> Monetary policy operates through asset prices primarily by changing the discount rate. Rate changes affect the risk-free component directly; balance sheet operations affect term premium and convenience yield; guidance affects expected future discount rates. The mapping from policy to asset prices runs through this driver.</w:t>
      </w:r>
    </w:p>
    <w:p w14:paraId="714596D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Wealth and cost-of-capital channels.</w:t>
      </w:r>
      <w:r w:rsidRPr="0032251D">
        <w:rPr>
          <w:rFonts w:ascii="Aptos" w:eastAsia="Times New Roman" w:hAnsi="Aptos" w:cs="Times New Roman"/>
          <w:kern w:val="0"/>
          <w:sz w:val="22"/>
          <w:szCs w:val="22"/>
          <w:lang w:eastAsia="en-GB"/>
          <w14:ligatures w14:val="none"/>
        </w:rPr>
        <w:t xml:space="preserve"> The real economy effects of asset prices operate through L8 drivers in reverse. Rising asset prices (via any driver) increase household wealth → consumption rises. Lower discount rates lower cost of capital → corporate investment rises. The L8-to-real-economy transmission is fundamental.</w:t>
      </w:r>
    </w:p>
    <w:p w14:paraId="15B93CE2"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Convenience yield as a leading indicator.</w:t>
      </w:r>
      <w:r w:rsidRPr="0032251D">
        <w:rPr>
          <w:rFonts w:ascii="Aptos" w:eastAsia="Times New Roman" w:hAnsi="Aptos" w:cs="Times New Roman"/>
          <w:kern w:val="0"/>
          <w:sz w:val="22"/>
          <w:szCs w:val="22"/>
          <w:lang w:eastAsia="en-GB"/>
          <w14:ligatures w14:val="none"/>
        </w:rPr>
        <w:t xml:space="preserve"> Convenience yield spikes (Treasuries trading at premium to OIS, swap spreads inverting, dollar funding stress) are early signals of broader stress. They reveal demand for safety before risk premia broadly widen. Krishnamurthy-Vissing-Jorgensen's convenience yield measurement provides one of the cleanest leading indicators of financial stress.</w:t>
      </w:r>
    </w:p>
    <w:p w14:paraId="7E615E2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For investment managers four practitioner points dominate. First, decomposing price moves by driver is more informative than tracking price moves alone — the same observable move can have opposite portfolio implications depending on which driver moved. Second, risk premium positioning (timing the risk premium cycle) is generally more rewarding than cash flow forecasting because risk premia move more than cash flows. Third, convenience yield monitoring provides leading information on dollar funding stress and safe-asset demand — particularly relevant for EM positioning. Fourth, the discount rate vs risk premium distinction matters for hedge construction — duration hedges work against discount rate moves but not against risk premium moves, and vice versa.</w:t>
      </w:r>
    </w:p>
    <w:p w14:paraId="7866C766"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3291E100">
          <v:rect id="_x0000_i1133" alt="" style="width:451.3pt;height:.05pt;mso-width-percent:0;mso-height-percent:0;mso-width-percent:0;mso-height-percent:0" o:hralign="center" o:hrstd="t" o:hr="t" fillcolor="#a0a0a0" stroked="f"/>
        </w:pict>
      </w:r>
    </w:p>
    <w:p w14:paraId="19FC993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Regime and EM variation</w:t>
      </w:r>
    </w:p>
    <w:p w14:paraId="0A8E313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four-driver framework applies universally but with different relative weightings across DM and EM.</w:t>
      </w:r>
    </w:p>
    <w:p w14:paraId="0C01DB5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DM characteristics.</w:t>
      </w:r>
    </w:p>
    <w:p w14:paraId="3E48C82A" w14:textId="77777777" w:rsidR="0032251D" w:rsidRPr="0032251D" w:rsidRDefault="0032251D">
      <w:pPr>
        <w:numPr>
          <w:ilvl w:val="0"/>
          <w:numId w:val="12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Discount rate dominantly drives bond prices</w:t>
      </w:r>
    </w:p>
    <w:p w14:paraId="0933BD24" w14:textId="77777777" w:rsidR="0032251D" w:rsidRPr="0032251D" w:rsidRDefault="0032251D">
      <w:pPr>
        <w:numPr>
          <w:ilvl w:val="0"/>
          <w:numId w:val="12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Risk premia smaller and more stable</w:t>
      </w:r>
    </w:p>
    <w:p w14:paraId="20EBC54D" w14:textId="77777777" w:rsidR="0032251D" w:rsidRPr="0032251D" w:rsidRDefault="0032251D">
      <w:pPr>
        <w:numPr>
          <w:ilvl w:val="0"/>
          <w:numId w:val="12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Convenience </w:t>
      </w:r>
      <w:proofErr w:type="gramStart"/>
      <w:r w:rsidRPr="0032251D">
        <w:rPr>
          <w:rFonts w:ascii="Aptos" w:eastAsia="Times New Roman" w:hAnsi="Aptos" w:cs="Times New Roman"/>
          <w:kern w:val="0"/>
          <w:sz w:val="22"/>
          <w:szCs w:val="22"/>
          <w:lang w:eastAsia="en-GB"/>
          <w14:ligatures w14:val="none"/>
        </w:rPr>
        <w:t>yield</w:t>
      </w:r>
      <w:proofErr w:type="gramEnd"/>
      <w:r w:rsidRPr="0032251D">
        <w:rPr>
          <w:rFonts w:ascii="Aptos" w:eastAsia="Times New Roman" w:hAnsi="Aptos" w:cs="Times New Roman"/>
          <w:kern w:val="0"/>
          <w:sz w:val="22"/>
          <w:szCs w:val="22"/>
          <w:lang w:eastAsia="en-GB"/>
          <w14:ligatures w14:val="none"/>
        </w:rPr>
        <w:t xml:space="preserve"> meaningful for safe-haven currencies (USD, EUR, JPY, CHF positive)</w:t>
      </w:r>
    </w:p>
    <w:p w14:paraId="0FFCEFCB" w14:textId="77777777" w:rsidR="0032251D" w:rsidRPr="0032251D" w:rsidRDefault="0032251D">
      <w:pPr>
        <w:numPr>
          <w:ilvl w:val="0"/>
          <w:numId w:val="12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Cash flow uncertainty lower for established corporates</w:t>
      </w:r>
    </w:p>
    <w:p w14:paraId="758809E5" w14:textId="77777777" w:rsidR="0032251D" w:rsidRPr="0032251D" w:rsidRDefault="0032251D">
      <w:pPr>
        <w:numPr>
          <w:ilvl w:val="0"/>
          <w:numId w:val="12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Real assets (real estate, infrastructure) trade with measurable illiquidity premia</w:t>
      </w:r>
    </w:p>
    <w:p w14:paraId="7EF09D82" w14:textId="77777777" w:rsidR="0032251D" w:rsidRPr="0032251D" w:rsidRDefault="0032251D">
      <w:pPr>
        <w:numPr>
          <w:ilvl w:val="0"/>
          <w:numId w:val="12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Risk premium decomposition is empirically rich (deep markets allow clean estimation)</w:t>
      </w:r>
    </w:p>
    <w:p w14:paraId="6FD7861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EM characteristics.</w:t>
      </w:r>
    </w:p>
    <w:p w14:paraId="3A3F7EDD" w14:textId="77777777" w:rsidR="0032251D" w:rsidRPr="0032251D" w:rsidRDefault="0032251D">
      <w:pPr>
        <w:numPr>
          <w:ilvl w:val="0"/>
          <w:numId w:val="12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Risk premia structurally larger and more volatile</w:t>
      </w:r>
    </w:p>
    <w:p w14:paraId="30F2B6C8" w14:textId="77777777" w:rsidR="0032251D" w:rsidRPr="0032251D" w:rsidRDefault="0032251D">
      <w:pPr>
        <w:numPr>
          <w:ilvl w:val="0"/>
          <w:numId w:val="12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Convenience </w:t>
      </w:r>
      <w:proofErr w:type="gramStart"/>
      <w:r w:rsidRPr="0032251D">
        <w:rPr>
          <w:rFonts w:ascii="Aptos" w:eastAsia="Times New Roman" w:hAnsi="Aptos" w:cs="Times New Roman"/>
          <w:kern w:val="0"/>
          <w:sz w:val="22"/>
          <w:szCs w:val="22"/>
          <w:lang w:eastAsia="en-GB"/>
          <w14:ligatures w14:val="none"/>
        </w:rPr>
        <w:t>yield</w:t>
      </w:r>
      <w:proofErr w:type="gramEnd"/>
      <w:r w:rsidRPr="0032251D">
        <w:rPr>
          <w:rFonts w:ascii="Aptos" w:eastAsia="Times New Roman" w:hAnsi="Aptos" w:cs="Times New Roman"/>
          <w:kern w:val="0"/>
          <w:sz w:val="22"/>
          <w:szCs w:val="22"/>
          <w:lang w:eastAsia="en-GB"/>
          <w14:ligatures w14:val="none"/>
        </w:rPr>
        <w:t xml:space="preserve"> typically negative (EM assets are not safe havens)</w:t>
      </w:r>
    </w:p>
    <w:p w14:paraId="6A5AEFF8" w14:textId="77777777" w:rsidR="0032251D" w:rsidRPr="0032251D" w:rsidRDefault="0032251D">
      <w:pPr>
        <w:numPr>
          <w:ilvl w:val="0"/>
          <w:numId w:val="12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lastRenderedPageBreak/>
        <w:t>Cash flow uncertainty higher (political risk, structural volatility, currency risk)</w:t>
      </w:r>
    </w:p>
    <w:p w14:paraId="3DB4EAB7" w14:textId="77777777" w:rsidR="0032251D" w:rsidRPr="0032251D" w:rsidRDefault="0032251D">
      <w:pPr>
        <w:numPr>
          <w:ilvl w:val="0"/>
          <w:numId w:val="12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Discount rate composition is complex — nominal yields embed credit risk, currency risk, and rate expectations jointly</w:t>
      </w:r>
    </w:p>
    <w:p w14:paraId="609D3E5A" w14:textId="77777777" w:rsidR="0032251D" w:rsidRPr="0032251D" w:rsidRDefault="0032251D">
      <w:pPr>
        <w:numPr>
          <w:ilvl w:val="0"/>
          <w:numId w:val="12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Liquidity premium varies more across cycles</w:t>
      </w:r>
    </w:p>
    <w:p w14:paraId="0B6DF4AA" w14:textId="77777777" w:rsidR="0032251D" w:rsidRPr="0032251D" w:rsidRDefault="0032251D">
      <w:pPr>
        <w:numPr>
          <w:ilvl w:val="0"/>
          <w:numId w:val="12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Foreign investor risk premium often distinct from domestic investor risk premium</w:t>
      </w:r>
    </w:p>
    <w:p w14:paraId="144FDBC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Specific EM patterns.</w:t>
      </w:r>
    </w:p>
    <w:p w14:paraId="56B00A3C" w14:textId="77777777" w:rsidR="0032251D" w:rsidRPr="0032251D" w:rsidRDefault="0032251D">
      <w:pPr>
        <w:numPr>
          <w:ilvl w:val="0"/>
          <w:numId w:val="12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Brazil</w:t>
      </w:r>
      <w:r w:rsidRPr="0032251D">
        <w:rPr>
          <w:rFonts w:ascii="Aptos" w:eastAsia="Times New Roman" w:hAnsi="Aptos" w:cs="Times New Roman"/>
          <w:kern w:val="0"/>
          <w:sz w:val="22"/>
          <w:szCs w:val="22"/>
          <w:lang w:eastAsia="en-GB"/>
          <w14:ligatures w14:val="none"/>
        </w:rPr>
        <w:t>: high real risk-free rates with moderate risk premia; equity risk premium structurally elevated</w:t>
      </w:r>
    </w:p>
    <w:p w14:paraId="3A857391" w14:textId="77777777" w:rsidR="0032251D" w:rsidRPr="0032251D" w:rsidRDefault="0032251D">
      <w:pPr>
        <w:numPr>
          <w:ilvl w:val="0"/>
          <w:numId w:val="12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Mexico</w:t>
      </w:r>
      <w:r w:rsidRPr="0032251D">
        <w:rPr>
          <w:rFonts w:ascii="Aptos" w:eastAsia="Times New Roman" w:hAnsi="Aptos" w:cs="Times New Roman"/>
          <w:kern w:val="0"/>
          <w:sz w:val="22"/>
          <w:szCs w:val="22"/>
          <w:lang w:eastAsia="en-GB"/>
          <w14:ligatures w14:val="none"/>
        </w:rPr>
        <w:t>: relatively stable risk premia (anchored institutional framework); cleaner driver decomposition</w:t>
      </w:r>
    </w:p>
    <w:p w14:paraId="2CAF5E5D" w14:textId="77777777" w:rsidR="0032251D" w:rsidRPr="0032251D" w:rsidRDefault="0032251D">
      <w:pPr>
        <w:numPr>
          <w:ilvl w:val="0"/>
          <w:numId w:val="12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China</w:t>
      </w:r>
      <w:r w:rsidRPr="0032251D">
        <w:rPr>
          <w:rFonts w:ascii="Aptos" w:eastAsia="Times New Roman" w:hAnsi="Aptos" w:cs="Times New Roman"/>
          <w:kern w:val="0"/>
          <w:sz w:val="22"/>
          <w:szCs w:val="22"/>
          <w:lang w:eastAsia="en-GB"/>
          <w14:ligatures w14:val="none"/>
        </w:rPr>
        <w:t>: opaque risk premia due to limited market signals; cash flow uncertainty around SOEs</w:t>
      </w:r>
    </w:p>
    <w:p w14:paraId="5EC3E3B6" w14:textId="77777777" w:rsidR="0032251D" w:rsidRPr="0032251D" w:rsidRDefault="0032251D">
      <w:pPr>
        <w:numPr>
          <w:ilvl w:val="0"/>
          <w:numId w:val="12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Turkey, Argentina</w:t>
      </w:r>
      <w:r w:rsidRPr="0032251D">
        <w:rPr>
          <w:rFonts w:ascii="Aptos" w:eastAsia="Times New Roman" w:hAnsi="Aptos" w:cs="Times New Roman"/>
          <w:kern w:val="0"/>
          <w:sz w:val="22"/>
          <w:szCs w:val="22"/>
          <w:lang w:eastAsia="en-GB"/>
          <w14:ligatures w14:val="none"/>
        </w:rPr>
        <w:t>: extreme risk premia; convenience yield deeply negative; driver decomposition often dominated by risk premium variation</w:t>
      </w:r>
    </w:p>
    <w:p w14:paraId="1C03935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SA specifically.</w:t>
      </w:r>
    </w:p>
    <w:p w14:paraId="50390CE2" w14:textId="77777777" w:rsidR="0032251D" w:rsidRPr="0032251D" w:rsidRDefault="0032251D">
      <w:pPr>
        <w:numPr>
          <w:ilvl w:val="0"/>
          <w:numId w:val="13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SAGB curve provides the discount rate input for SA assets</w:t>
      </w:r>
    </w:p>
    <w:p w14:paraId="37B0197C" w14:textId="77777777" w:rsidR="0032251D" w:rsidRPr="0032251D" w:rsidRDefault="0032251D">
      <w:pPr>
        <w:numPr>
          <w:ilvl w:val="0"/>
          <w:numId w:val="13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ZAR earnings translation creates FX-sensitive cash flow effects for foreign-revenue companies (Naspers, Anglo American, Sasol, BHP listed on JSE)</w:t>
      </w:r>
    </w:p>
    <w:p w14:paraId="79CE8CA6" w14:textId="77777777" w:rsidR="0032251D" w:rsidRPr="0032251D" w:rsidRDefault="0032251D">
      <w:pPr>
        <w:numPr>
          <w:ilvl w:val="0"/>
          <w:numId w:val="13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EM risk premia: ~4-6% nominal sovereign credit + currency premium over US Treasuries</w:t>
      </w:r>
    </w:p>
    <w:p w14:paraId="03F6BE02" w14:textId="77777777" w:rsidR="0032251D" w:rsidRPr="0032251D" w:rsidRDefault="0032251D">
      <w:pPr>
        <w:numPr>
          <w:ilvl w:val="0"/>
          <w:numId w:val="13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Limited corporate bond market constrains clean credit risk premium measurement</w:t>
      </w:r>
    </w:p>
    <w:p w14:paraId="2BE41663" w14:textId="77777777" w:rsidR="0032251D" w:rsidRPr="0032251D" w:rsidRDefault="0032251D">
      <w:pPr>
        <w:numPr>
          <w:ilvl w:val="0"/>
          <w:numId w:val="13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Equity risk premium estimation challenging due to JSE concentration and offshore listings</w:t>
      </w:r>
    </w:p>
    <w:p w14:paraId="683BAEA0" w14:textId="77777777" w:rsidR="0032251D" w:rsidRPr="0032251D" w:rsidRDefault="0032251D">
      <w:pPr>
        <w:numPr>
          <w:ilvl w:val="0"/>
          <w:numId w:val="13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PIC-driven flow can create specific risk premium dynamics through forced buying/selling</w:t>
      </w:r>
    </w:p>
    <w:p w14:paraId="54A72816" w14:textId="77777777" w:rsidR="0032251D" w:rsidRPr="0032251D" w:rsidRDefault="0032251D">
      <w:pPr>
        <w:numPr>
          <w:ilvl w:val="0"/>
          <w:numId w:val="13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Foreign investor base for SAGBs (peaked at 40%+, now ~20%) adds discount rate and risk premium volatility through positioning shifts</w:t>
      </w:r>
    </w:p>
    <w:p w14:paraId="2BB9A66A" w14:textId="77777777" w:rsidR="0032251D" w:rsidRPr="0032251D" w:rsidRDefault="0032251D">
      <w:pPr>
        <w:numPr>
          <w:ilvl w:val="0"/>
          <w:numId w:val="13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Real assets (commercial property, infrastructure) trade with substantial illiquidity premia</w:t>
      </w:r>
    </w:p>
    <w:p w14:paraId="0C3202D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For the SA L8 node, the decomposition is operationally harder than in DM because: (1) thinner corporate credit market makes credit risk premium less observable; (2) limited derivatives infrastructure for equity makes risk premium extraction model-dependent; (3) sovereign credit risk is significant and intertwines with discount rate decomposition.</w:t>
      </w:r>
    </w:p>
    <w:p w14:paraId="75A456EF"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713AB82B">
          <v:rect id="_x0000_i1134" alt="" style="width:451.3pt;height:.05pt;mso-width-percent:0;mso-height-percent:0;mso-width-percent:0;mso-height-percent:0" o:hralign="center" o:hrstd="t" o:hr="t" fillcolor="#a0a0a0" stroked="f"/>
        </w:pict>
      </w:r>
    </w:p>
    <w:p w14:paraId="3CA804B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Measurement choices</w:t>
      </w:r>
    </w:p>
    <w:p w14:paraId="14C8A32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Term premium estimation.</w:t>
      </w:r>
      <w:r w:rsidRPr="0032251D">
        <w:rPr>
          <w:rFonts w:ascii="Aptos" w:eastAsia="Times New Roman" w:hAnsi="Aptos" w:cs="Times New Roman"/>
          <w:kern w:val="0"/>
          <w:sz w:val="22"/>
          <w:szCs w:val="22"/>
          <w:lang w:eastAsia="en-GB"/>
          <w14:ligatures w14:val="none"/>
        </w:rPr>
        <w:t xml:space="preserve"> Adrian-Crump-Moench (ACM) is the standard for US Treasuries — affine model with five factors, daily updates from NY Fed. Kim-Wright (2005) provides an alternative three-factor latent variable specification. Both give different decompositions for the same observed curve — model dependence is significant.</w:t>
      </w:r>
    </w:p>
    <w:p w14:paraId="70274F5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Excess bond premium (Gilchrist-Zakrajšek 2012).</w:t>
      </w:r>
      <w:r w:rsidRPr="0032251D">
        <w:rPr>
          <w:rFonts w:ascii="Aptos" w:eastAsia="Times New Roman" w:hAnsi="Aptos" w:cs="Times New Roman"/>
          <w:kern w:val="0"/>
          <w:sz w:val="22"/>
          <w:szCs w:val="22"/>
          <w:lang w:eastAsia="en-GB"/>
          <w14:ligatures w14:val="none"/>
        </w:rPr>
        <w:t xml:space="preserve"> The credit risk premium component net of expected default loss. The GZ methodology is the workhorse credit risk premium measure. Empirically, excess bond premium predicts both economic activity and asset returns better than raw credit spreads.</w:t>
      </w:r>
    </w:p>
    <w:p w14:paraId="2F1B2CA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Equity risk premium estimation.</w:t>
      </w:r>
      <w:r w:rsidRPr="0032251D">
        <w:rPr>
          <w:rFonts w:ascii="Aptos" w:eastAsia="Times New Roman" w:hAnsi="Aptos" w:cs="Times New Roman"/>
          <w:kern w:val="0"/>
          <w:sz w:val="22"/>
          <w:szCs w:val="22"/>
          <w:lang w:eastAsia="en-GB"/>
          <w14:ligatures w14:val="none"/>
        </w:rPr>
        <w:t xml:space="preserve"> Multiple methods:</w:t>
      </w:r>
    </w:p>
    <w:p w14:paraId="408C9BC5" w14:textId="77777777" w:rsidR="0032251D" w:rsidRPr="0032251D" w:rsidRDefault="0032251D">
      <w:pPr>
        <w:numPr>
          <w:ilvl w:val="0"/>
          <w:numId w:val="13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Damodaran implied ERP</w:t>
      </w:r>
      <w:r w:rsidRPr="0032251D">
        <w:rPr>
          <w:rFonts w:ascii="Aptos" w:eastAsia="Times New Roman" w:hAnsi="Aptos" w:cs="Times New Roman"/>
          <w:kern w:val="0"/>
          <w:sz w:val="22"/>
          <w:szCs w:val="22"/>
          <w:lang w:eastAsia="en-GB"/>
          <w14:ligatures w14:val="none"/>
        </w:rPr>
        <w:t>: implied from current S&amp;P 500 prices and analyst expectations of cash flows</w:t>
      </w:r>
    </w:p>
    <w:p w14:paraId="6D40A8A2" w14:textId="77777777" w:rsidR="0032251D" w:rsidRPr="0032251D" w:rsidRDefault="0032251D">
      <w:pPr>
        <w:numPr>
          <w:ilvl w:val="0"/>
          <w:numId w:val="13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Dividend yield + expected growth</w:t>
      </w:r>
      <w:r w:rsidRPr="0032251D">
        <w:rPr>
          <w:rFonts w:ascii="Aptos" w:eastAsia="Times New Roman" w:hAnsi="Aptos" w:cs="Times New Roman"/>
          <w:kern w:val="0"/>
          <w:sz w:val="22"/>
          <w:szCs w:val="22"/>
          <w:lang w:eastAsia="en-GB"/>
          <w14:ligatures w14:val="none"/>
        </w:rPr>
        <w:t>: traditional Gordon-style estimate</w:t>
      </w:r>
    </w:p>
    <w:p w14:paraId="64924769" w14:textId="77777777" w:rsidR="0032251D" w:rsidRPr="0032251D" w:rsidRDefault="0032251D">
      <w:pPr>
        <w:numPr>
          <w:ilvl w:val="0"/>
          <w:numId w:val="13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Survey-based</w:t>
      </w:r>
      <w:r w:rsidRPr="0032251D">
        <w:rPr>
          <w:rFonts w:ascii="Aptos" w:eastAsia="Times New Roman" w:hAnsi="Aptos" w:cs="Times New Roman"/>
          <w:kern w:val="0"/>
          <w:sz w:val="22"/>
          <w:szCs w:val="22"/>
          <w:lang w:eastAsia="en-GB"/>
          <w14:ligatures w14:val="none"/>
        </w:rPr>
        <w:t>: CFO surveys, analyst surveys, Robert Shiller's CAPE-implied</w:t>
      </w:r>
    </w:p>
    <w:p w14:paraId="5ACA6B06" w14:textId="77777777" w:rsidR="0032251D" w:rsidRPr="0032251D" w:rsidRDefault="0032251D">
      <w:pPr>
        <w:numPr>
          <w:ilvl w:val="0"/>
          <w:numId w:val="13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Realised vs implied</w:t>
      </w:r>
      <w:r w:rsidRPr="0032251D">
        <w:rPr>
          <w:rFonts w:ascii="Aptos" w:eastAsia="Times New Roman" w:hAnsi="Aptos" w:cs="Times New Roman"/>
          <w:kern w:val="0"/>
          <w:sz w:val="22"/>
          <w:szCs w:val="22"/>
          <w:lang w:eastAsia="en-GB"/>
          <w14:ligatures w14:val="none"/>
        </w:rPr>
        <w:t>: historical excess returns vs forward-looking implied Different methods give meaningfully different ERP estimates (typically 3-7% range for the US).</w:t>
      </w:r>
    </w:p>
    <w:p w14:paraId="2278A3E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Convenience yield estimation.</w:t>
      </w:r>
    </w:p>
    <w:p w14:paraId="09342C16" w14:textId="77777777" w:rsidR="0032251D" w:rsidRPr="0032251D" w:rsidRDefault="0032251D">
      <w:pPr>
        <w:numPr>
          <w:ilvl w:val="0"/>
          <w:numId w:val="13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Treasury-OIS basis</w:t>
      </w:r>
      <w:r w:rsidRPr="0032251D">
        <w:rPr>
          <w:rFonts w:ascii="Aptos" w:eastAsia="Times New Roman" w:hAnsi="Aptos" w:cs="Times New Roman"/>
          <w:kern w:val="0"/>
          <w:sz w:val="22"/>
          <w:szCs w:val="22"/>
          <w:lang w:eastAsia="en-GB"/>
          <w14:ligatures w14:val="none"/>
        </w:rPr>
        <w:t>: simplest measure for US Treasuries</w:t>
      </w:r>
    </w:p>
    <w:p w14:paraId="318BFBB2" w14:textId="77777777" w:rsidR="0032251D" w:rsidRPr="0032251D" w:rsidRDefault="0032251D">
      <w:pPr>
        <w:numPr>
          <w:ilvl w:val="0"/>
          <w:numId w:val="13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Krishnamurthy-Vissing-Jorgensen</w:t>
      </w:r>
      <w:r w:rsidRPr="0032251D">
        <w:rPr>
          <w:rFonts w:ascii="Aptos" w:eastAsia="Times New Roman" w:hAnsi="Aptos" w:cs="Times New Roman"/>
          <w:kern w:val="0"/>
          <w:sz w:val="22"/>
          <w:szCs w:val="22"/>
          <w:lang w:eastAsia="en-GB"/>
          <w14:ligatures w14:val="none"/>
        </w:rPr>
        <w:t>: more comprehensive decomposition using yield differentials between safe assets with different characteristics</w:t>
      </w:r>
    </w:p>
    <w:p w14:paraId="62439BE0" w14:textId="77777777" w:rsidR="0032251D" w:rsidRPr="0032251D" w:rsidRDefault="0032251D">
      <w:pPr>
        <w:numPr>
          <w:ilvl w:val="0"/>
          <w:numId w:val="13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CIP basis</w:t>
      </w:r>
      <w:r w:rsidRPr="0032251D">
        <w:rPr>
          <w:rFonts w:ascii="Aptos" w:eastAsia="Times New Roman" w:hAnsi="Aptos" w:cs="Times New Roman"/>
          <w:kern w:val="0"/>
          <w:sz w:val="22"/>
          <w:szCs w:val="22"/>
          <w:lang w:eastAsia="en-GB"/>
          <w14:ligatures w14:val="none"/>
        </w:rPr>
        <w:t>: for cross-currency convenience yield asymmetries</w:t>
      </w:r>
    </w:p>
    <w:p w14:paraId="56BFD3C3" w14:textId="77777777" w:rsidR="0032251D" w:rsidRPr="0032251D" w:rsidRDefault="0032251D">
      <w:pPr>
        <w:numPr>
          <w:ilvl w:val="0"/>
          <w:numId w:val="13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Cross-asset basis trades</w:t>
      </w:r>
      <w:r w:rsidRPr="0032251D">
        <w:rPr>
          <w:rFonts w:ascii="Aptos" w:eastAsia="Times New Roman" w:hAnsi="Aptos" w:cs="Times New Roman"/>
          <w:kern w:val="0"/>
          <w:sz w:val="22"/>
          <w:szCs w:val="22"/>
          <w:lang w:eastAsia="en-GB"/>
          <w14:ligatures w14:val="none"/>
        </w:rPr>
        <w:t>: Treasury vs other safe assets</w:t>
      </w:r>
    </w:p>
    <w:p w14:paraId="182BD58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Cash flow expectations.</w:t>
      </w:r>
    </w:p>
    <w:p w14:paraId="64AC69C6" w14:textId="77777777" w:rsidR="0032251D" w:rsidRPr="0032251D" w:rsidRDefault="0032251D">
      <w:pPr>
        <w:numPr>
          <w:ilvl w:val="0"/>
          <w:numId w:val="13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Analyst consensus (IBES, Refinitiv)</w:t>
      </w:r>
    </w:p>
    <w:p w14:paraId="4562ABD1" w14:textId="77777777" w:rsidR="0032251D" w:rsidRPr="0032251D" w:rsidRDefault="0032251D">
      <w:pPr>
        <w:numPr>
          <w:ilvl w:val="0"/>
          <w:numId w:val="13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Dividend futures (implied dividend growth)</w:t>
      </w:r>
    </w:p>
    <w:p w14:paraId="7566576D" w14:textId="77777777" w:rsidR="0032251D" w:rsidRPr="0032251D" w:rsidRDefault="0032251D">
      <w:pPr>
        <w:numPr>
          <w:ilvl w:val="0"/>
          <w:numId w:val="13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Earnings yield (inverted P/E as forward earnings proxy)</w:t>
      </w:r>
    </w:p>
    <w:p w14:paraId="7234DD04" w14:textId="77777777" w:rsidR="0032251D" w:rsidRPr="0032251D" w:rsidRDefault="0032251D">
      <w:pPr>
        <w:numPr>
          <w:ilvl w:val="0"/>
          <w:numId w:val="13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Cash flow yield (more conservative cash-based measure)</w:t>
      </w:r>
    </w:p>
    <w:p w14:paraId="710FDC5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Real-time measurement challenges.</w:t>
      </w:r>
      <w:r w:rsidRPr="0032251D">
        <w:rPr>
          <w:rFonts w:ascii="Aptos" w:eastAsia="Times New Roman" w:hAnsi="Aptos" w:cs="Times New Roman"/>
          <w:kern w:val="0"/>
          <w:sz w:val="22"/>
          <w:szCs w:val="22"/>
          <w:lang w:eastAsia="en-GB"/>
          <w14:ligatures w14:val="none"/>
        </w:rPr>
        <w:t xml:space="preserve"> Risk premium decomposition is inherently backward-fitted — the model is calibrated to historical data and may not capture regime breaks. The 2020 episode (extreme convenience yield, distorted credit spreads, dealer constraints) saw conventional decompositions fail temporarily.</w:t>
      </w:r>
    </w:p>
    <w:p w14:paraId="0885A3A5"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Cross-asset consistency.</w:t>
      </w:r>
      <w:r w:rsidRPr="0032251D">
        <w:rPr>
          <w:rFonts w:ascii="Aptos" w:eastAsia="Times New Roman" w:hAnsi="Aptos" w:cs="Times New Roman"/>
          <w:kern w:val="0"/>
          <w:sz w:val="22"/>
          <w:szCs w:val="22"/>
          <w:lang w:eastAsia="en-GB"/>
          <w14:ligatures w14:val="none"/>
        </w:rPr>
        <w:t xml:space="preserve"> Decompositions for different asset classes use different methodologies. Cross-asset comparison requires either common factor approaches (one model for all assets) or careful normalisation.</w:t>
      </w:r>
    </w:p>
    <w:p w14:paraId="09E3ABEA"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37106C60">
          <v:rect id="_x0000_i1135" alt="" style="width:451.3pt;height:.05pt;mso-width-percent:0;mso-height-percent:0;mso-width-percent:0;mso-height-percent:0" o:hralign="center" o:hrstd="t" o:hr="t" fillcolor="#a0a0a0" stroked="f"/>
        </w:pict>
      </w:r>
    </w:p>
    <w:p w14:paraId="7E46E19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Where dissonance lives</w:t>
      </w:r>
    </w:p>
    <w:p w14:paraId="004A00F5"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Within L8:</w:t>
      </w:r>
    </w:p>
    <w:p w14:paraId="32135E0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Intra-node.</w:t>
      </w:r>
      <w:r w:rsidRPr="0032251D">
        <w:rPr>
          <w:rFonts w:ascii="Aptos" w:eastAsia="Times New Roman" w:hAnsi="Aptos" w:cs="Times New Roman"/>
          <w:kern w:val="0"/>
          <w:sz w:val="22"/>
          <w:szCs w:val="22"/>
          <w:lang w:eastAsia="en-GB"/>
          <w14:ligatures w14:val="none"/>
        </w:rPr>
        <w:t xml:space="preserve"> The four drivers should move consistently with the regime narrative. Dissonance fires when:</w:t>
      </w:r>
    </w:p>
    <w:p w14:paraId="2C0B97D4" w14:textId="77777777" w:rsidR="0032251D" w:rsidRPr="0032251D" w:rsidRDefault="0032251D">
      <w:pPr>
        <w:numPr>
          <w:ilvl w:val="0"/>
          <w:numId w:val="13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Discount rate and risk premium move in opposite directions in stress.</w:t>
      </w:r>
      <w:r w:rsidRPr="0032251D">
        <w:rPr>
          <w:rFonts w:ascii="Aptos" w:eastAsia="Times New Roman" w:hAnsi="Aptos" w:cs="Times New Roman"/>
          <w:kern w:val="0"/>
          <w:sz w:val="22"/>
          <w:szCs w:val="22"/>
          <w:lang w:eastAsia="en-GB"/>
          <w14:ligatures w14:val="none"/>
        </w:rPr>
        <w:t xml:space="preserve"> This is the </w:t>
      </w:r>
      <w:r w:rsidRPr="0032251D">
        <w:rPr>
          <w:rFonts w:ascii="Aptos" w:eastAsia="Times New Roman" w:hAnsi="Aptos" w:cs="Times New Roman"/>
          <w:b/>
          <w:bCs/>
          <w:kern w:val="0"/>
          <w:sz w:val="22"/>
          <w:szCs w:val="22"/>
          <w:lang w:eastAsia="en-GB"/>
          <w14:ligatures w14:val="none"/>
        </w:rPr>
        <w:t>classic credibility break signature</w:t>
      </w:r>
      <w:r w:rsidRPr="0032251D">
        <w:rPr>
          <w:rFonts w:ascii="Aptos" w:eastAsia="Times New Roman" w:hAnsi="Aptos" w:cs="Times New Roman"/>
          <w:kern w:val="0"/>
          <w:sz w:val="22"/>
          <w:szCs w:val="22"/>
          <w:lang w:eastAsia="en-GB"/>
          <w14:ligatures w14:val="none"/>
        </w:rPr>
        <w:t xml:space="preserve"> — discount rates fall (flight-to-quality bid into Treasuries) while risk premia rise (everything else sells off). Without the bank holding inflation expectations anchored, this divergence is muted; with anchored expectations, it's the dominant stress pattern.</w:t>
      </w:r>
    </w:p>
    <w:p w14:paraId="53CC5AFC" w14:textId="77777777" w:rsidR="0032251D" w:rsidRPr="0032251D" w:rsidRDefault="0032251D">
      <w:pPr>
        <w:numPr>
          <w:ilvl w:val="0"/>
          <w:numId w:val="13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Convenience yield spikes without changes in other drivers.</w:t>
      </w:r>
      <w:r w:rsidRPr="0032251D">
        <w:rPr>
          <w:rFonts w:ascii="Aptos" w:eastAsia="Times New Roman" w:hAnsi="Aptos" w:cs="Times New Roman"/>
          <w:kern w:val="0"/>
          <w:sz w:val="22"/>
          <w:szCs w:val="22"/>
          <w:lang w:eastAsia="en-GB"/>
          <w14:ligatures w14:val="none"/>
        </w:rPr>
        <w:t xml:space="preserve"> Pure safe-asset demand event — typically the leading indicator of dollar funding stress, repo dysfunction, or anticipated stress.</w:t>
      </w:r>
    </w:p>
    <w:p w14:paraId="61CB4D83" w14:textId="77777777" w:rsidR="0032251D" w:rsidRPr="0032251D" w:rsidRDefault="0032251D">
      <w:pPr>
        <w:numPr>
          <w:ilvl w:val="0"/>
          <w:numId w:val="13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Cash flow expectations and risk premium decouple.</w:t>
      </w:r>
      <w:r w:rsidRPr="0032251D">
        <w:rPr>
          <w:rFonts w:ascii="Aptos" w:eastAsia="Times New Roman" w:hAnsi="Aptos" w:cs="Times New Roman"/>
          <w:kern w:val="0"/>
          <w:sz w:val="22"/>
          <w:szCs w:val="22"/>
          <w:lang w:eastAsia="en-GB"/>
          <w14:ligatures w14:val="none"/>
        </w:rPr>
        <w:t xml:space="preserve"> Earnings expectations holding up while risk premium widens = sentiment/positioning-driven sell-off without fundamental justification.</w:t>
      </w:r>
    </w:p>
    <w:p w14:paraId="4F697DDF" w14:textId="77777777" w:rsidR="0032251D" w:rsidRPr="0032251D" w:rsidRDefault="0032251D">
      <w:pPr>
        <w:numPr>
          <w:ilvl w:val="0"/>
          <w:numId w:val="13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Cross-asset driver decompositions disagree.</w:t>
      </w:r>
      <w:r w:rsidRPr="0032251D">
        <w:rPr>
          <w:rFonts w:ascii="Aptos" w:eastAsia="Times New Roman" w:hAnsi="Aptos" w:cs="Times New Roman"/>
          <w:kern w:val="0"/>
          <w:sz w:val="22"/>
          <w:szCs w:val="22"/>
          <w:lang w:eastAsia="en-GB"/>
          <w14:ligatures w14:val="none"/>
        </w:rPr>
        <w:t xml:space="preserve"> Equity risk premium signals stress while credit risk premium doesn't (or vice versa) — segmentation in how stress is being priced.</w:t>
      </w:r>
    </w:p>
    <w:p w14:paraId="1D0EA15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upward.</w:t>
      </w:r>
    </w:p>
    <w:p w14:paraId="55504B77" w14:textId="77777777" w:rsidR="0032251D" w:rsidRPr="0032251D" w:rsidRDefault="0032251D">
      <w:pPr>
        <w:numPr>
          <w:ilvl w:val="0"/>
          <w:numId w:val="13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L1 → L8: Rule moves should produce discount rate moves consistent with intended stance. Dissonance: policy moves but implied discount rates across asset classes do not reflect it — transmission breakdown.</w:t>
      </w:r>
    </w:p>
    <w:p w14:paraId="046BEB4D" w14:textId="77777777" w:rsidR="0032251D" w:rsidRPr="0032251D" w:rsidRDefault="0032251D">
      <w:pPr>
        <w:numPr>
          <w:ilvl w:val="0"/>
          <w:numId w:val="13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L3a → L8: Rate sets the risk-free component. Dissonance: rate move not flowing through to discount rates — segmentation between policy rate and effective discount rates.</w:t>
      </w:r>
    </w:p>
    <w:p w14:paraId="3B2E9EFF" w14:textId="77777777" w:rsidR="0032251D" w:rsidRPr="0032251D" w:rsidRDefault="0032251D">
      <w:pPr>
        <w:numPr>
          <w:ilvl w:val="0"/>
          <w:numId w:val="13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L3b → L8: Balance sheet operations affect term premium AND convenience yield. Dissonance: balance sheet </w:t>
      </w:r>
      <w:proofErr w:type="gramStart"/>
      <w:r w:rsidRPr="0032251D">
        <w:rPr>
          <w:rFonts w:ascii="Aptos" w:eastAsia="Times New Roman" w:hAnsi="Aptos" w:cs="Times New Roman"/>
          <w:kern w:val="0"/>
          <w:sz w:val="22"/>
          <w:szCs w:val="22"/>
          <w:lang w:eastAsia="en-GB"/>
          <w14:ligatures w14:val="none"/>
        </w:rPr>
        <w:t>move</w:t>
      </w:r>
      <w:proofErr w:type="gramEnd"/>
      <w:r w:rsidRPr="0032251D">
        <w:rPr>
          <w:rFonts w:ascii="Aptos" w:eastAsia="Times New Roman" w:hAnsi="Aptos" w:cs="Times New Roman"/>
          <w:kern w:val="0"/>
          <w:sz w:val="22"/>
          <w:szCs w:val="22"/>
          <w:lang w:eastAsia="en-GB"/>
          <w14:ligatures w14:val="none"/>
        </w:rPr>
        <w:t xml:space="preserve"> without expected driver response.</w:t>
      </w:r>
    </w:p>
    <w:p w14:paraId="0696750E" w14:textId="77777777" w:rsidR="0032251D" w:rsidRPr="0032251D" w:rsidRDefault="0032251D">
      <w:pPr>
        <w:numPr>
          <w:ilvl w:val="0"/>
          <w:numId w:val="13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L3c → L8: Guidance shapes expected future discount rates. Dissonance: guidance moves but forward discount rates do not.</w:t>
      </w:r>
    </w:p>
    <w:p w14:paraId="55155A73" w14:textId="77777777" w:rsidR="0032251D" w:rsidRPr="0032251D" w:rsidRDefault="0032251D">
      <w:pPr>
        <w:numPr>
          <w:ilvl w:val="0"/>
          <w:numId w:val="13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L3d → L8: FX intervention affects FX risk premium. Dissonance: intervention without FX risk premium response.</w:t>
      </w:r>
    </w:p>
    <w:p w14:paraId="2F3BC8BE" w14:textId="77777777" w:rsidR="0032251D" w:rsidRPr="0032251D" w:rsidRDefault="0032251D">
      <w:pPr>
        <w:numPr>
          <w:ilvl w:val="0"/>
          <w:numId w:val="13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L3e → L8: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affects credit risk premium. Dissonance: tightening without credit spread response.</w:t>
      </w:r>
    </w:p>
    <w:p w14:paraId="2390E822" w14:textId="77777777" w:rsidR="0032251D" w:rsidRPr="0032251D" w:rsidRDefault="0032251D">
      <w:pPr>
        <w:numPr>
          <w:ilvl w:val="0"/>
          <w:numId w:val="13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L3f → L8: Facilities compress liquidity premia. Dissonance: facility usage without liquidity premium compression — facility ineffective.</w:t>
      </w:r>
    </w:p>
    <w:p w14:paraId="0926224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peer.</w:t>
      </w:r>
    </w:p>
    <w:p w14:paraId="16FE44BB" w14:textId="77777777" w:rsidR="0032251D" w:rsidRPr="0032251D" w:rsidRDefault="0032251D">
      <w:pPr>
        <w:numPr>
          <w:ilvl w:val="0"/>
          <w:numId w:val="13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L4 → L8: Each L4 market is itself one or more drivers (curve = discount rate; FX = currency risk premium; inflation-linked = real rate + inflation risk premium; vol = risk premium component). L4-L8 dissonance is mostly </w:t>
      </w:r>
      <w:proofErr w:type="spellStart"/>
      <w:r w:rsidRPr="0032251D">
        <w:rPr>
          <w:rFonts w:ascii="Aptos" w:eastAsia="Times New Roman" w:hAnsi="Aptos" w:cs="Times New Roman"/>
          <w:kern w:val="0"/>
          <w:sz w:val="22"/>
          <w:szCs w:val="22"/>
          <w:lang w:eastAsia="en-GB"/>
          <w14:ligatures w14:val="none"/>
        </w:rPr>
        <w:t>relabeling</w:t>
      </w:r>
      <w:proofErr w:type="spellEnd"/>
      <w:r w:rsidRPr="0032251D">
        <w:rPr>
          <w:rFonts w:ascii="Aptos" w:eastAsia="Times New Roman" w:hAnsi="Aptos" w:cs="Times New Roman"/>
          <w:kern w:val="0"/>
          <w:sz w:val="22"/>
          <w:szCs w:val="22"/>
          <w:lang w:eastAsia="en-GB"/>
          <w14:ligatures w14:val="none"/>
        </w:rPr>
        <w:t xml:space="preserve"> rather than independent dissonance.</w:t>
      </w:r>
    </w:p>
    <w:p w14:paraId="339F773A" w14:textId="77777777" w:rsidR="0032251D" w:rsidRPr="0032251D" w:rsidRDefault="0032251D">
      <w:pPr>
        <w:numPr>
          <w:ilvl w:val="0"/>
          <w:numId w:val="13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L5b → L8: NBFI risk-bearing affects risk premia (intermediary pricing). NBFI deleveraging without risk premium response = repricing lagging stress.</w:t>
      </w:r>
    </w:p>
    <w:p w14:paraId="07ADB5E1" w14:textId="77777777" w:rsidR="0032251D" w:rsidRPr="0032251D" w:rsidRDefault="0032251D">
      <w:pPr>
        <w:numPr>
          <w:ilvl w:val="0"/>
          <w:numId w:val="13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L5c → L8: Dealer constraints widen all risk premia. Dealer constraints without cross-asset risk premium response.</w:t>
      </w:r>
    </w:p>
    <w:p w14:paraId="2E2728FE" w14:textId="77777777" w:rsidR="0032251D" w:rsidRPr="0032251D" w:rsidRDefault="0032251D">
      <w:pPr>
        <w:numPr>
          <w:ilvl w:val="0"/>
          <w:numId w:val="13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L5e → L8: Sovereign risk premium specifically. Sovereign deterioration without sovereign premium widening = repricing lagging.</w:t>
      </w:r>
    </w:p>
    <w:p w14:paraId="2F5C7137" w14:textId="77777777" w:rsidR="0032251D" w:rsidRPr="0032251D" w:rsidRDefault="0032251D">
      <w:pPr>
        <w:numPr>
          <w:ilvl w:val="0"/>
          <w:numId w:val="13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L6 → L8: Expectations drive cash flow forecasts. Expectations move without affecting valuation drivers = segmentation between expectation formation and asset valuation.</w:t>
      </w:r>
    </w:p>
    <w:p w14:paraId="087015C3" w14:textId="77777777" w:rsidR="0032251D" w:rsidRPr="0032251D" w:rsidRDefault="0032251D">
      <w:pPr>
        <w:numPr>
          <w:ilvl w:val="0"/>
          <w:numId w:val="13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L7 → L8: FCI is the integrated discount-rate driver. FCI moves without driver response = measurement weighting issue.</w:t>
      </w:r>
    </w:p>
    <w:p w14:paraId="4EFF97F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w:t>
      </w:r>
    </w:p>
    <w:p w14:paraId="3E755BBC" w14:textId="77777777" w:rsidR="0032251D" w:rsidRPr="0032251D" w:rsidRDefault="0032251D">
      <w:pPr>
        <w:numPr>
          <w:ilvl w:val="0"/>
          <w:numId w:val="13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L8 → L9: Drivers determine prices mechanically through valuation equations. Dissonance fires when prices move without driver justification — sentiment, flows, or technical factors dominating fundamental drivers.</w:t>
      </w:r>
    </w:p>
    <w:p w14:paraId="374D0AF2" w14:textId="77777777" w:rsidR="0032251D" w:rsidRPr="0032251D" w:rsidRDefault="0032251D">
      <w:pPr>
        <w:numPr>
          <w:ilvl w:val="0"/>
          <w:numId w:val="13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L8 → L10a: Discount rates affect real investment decisions. Dissonance: discount-rate moves without investment response — Q-theory transmission failing.</w:t>
      </w:r>
    </w:p>
    <w:p w14:paraId="21A9C2FA" w14:textId="77777777" w:rsidR="0032251D" w:rsidRPr="0032251D" w:rsidRDefault="0032251D">
      <w:pPr>
        <w:numPr>
          <w:ilvl w:val="0"/>
          <w:numId w:val="13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L8 → L10b: Risk-premium compression </w:t>
      </w:r>
      <w:proofErr w:type="gramStart"/>
      <w:r w:rsidRPr="0032251D">
        <w:rPr>
          <w:rFonts w:ascii="Aptos" w:eastAsia="Times New Roman" w:hAnsi="Aptos" w:cs="Times New Roman"/>
          <w:kern w:val="0"/>
          <w:sz w:val="22"/>
          <w:szCs w:val="22"/>
          <w:lang w:eastAsia="en-GB"/>
          <w14:ligatures w14:val="none"/>
        </w:rPr>
        <w:t>breeds</w:t>
      </w:r>
      <w:proofErr w:type="gramEnd"/>
      <w:r w:rsidRPr="0032251D">
        <w:rPr>
          <w:rFonts w:ascii="Aptos" w:eastAsia="Times New Roman" w:hAnsi="Aptos" w:cs="Times New Roman"/>
          <w:kern w:val="0"/>
          <w:sz w:val="22"/>
          <w:szCs w:val="22"/>
          <w:lang w:eastAsia="en-GB"/>
          <w14:ligatures w14:val="none"/>
        </w:rPr>
        <w:t xml:space="preserve"> leverage. Dissonance: risk premia compress without leverage accumulating — credit cycle channel weak.</w:t>
      </w:r>
    </w:p>
    <w:p w14:paraId="08A9BB3A" w14:textId="77777777" w:rsidR="0032251D" w:rsidRPr="0032251D" w:rsidRDefault="0032251D">
      <w:pPr>
        <w:numPr>
          <w:ilvl w:val="0"/>
          <w:numId w:val="13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lastRenderedPageBreak/>
        <w:t>L8 → L10c: Cross-asset convenience yield drives EM flows. Dissonance: convenience yield moves without EM flow response — flow channel disrupted.</w:t>
      </w:r>
    </w:p>
    <w:p w14:paraId="728061B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The L8 node is the </w:t>
      </w:r>
      <w:r w:rsidRPr="0032251D">
        <w:rPr>
          <w:rFonts w:ascii="Aptos" w:eastAsia="Times New Roman" w:hAnsi="Aptos" w:cs="Times New Roman"/>
          <w:i/>
          <w:iCs/>
          <w:kern w:val="0"/>
          <w:sz w:val="22"/>
          <w:szCs w:val="22"/>
          <w:lang w:eastAsia="en-GB"/>
          <w14:ligatures w14:val="none"/>
        </w:rPr>
        <w:t>conceptual translation layer</w:t>
      </w:r>
      <w:r w:rsidRPr="0032251D">
        <w:rPr>
          <w:rFonts w:ascii="Aptos" w:eastAsia="Times New Roman" w:hAnsi="Aptos" w:cs="Times New Roman"/>
          <w:kern w:val="0"/>
          <w:sz w:val="22"/>
          <w:szCs w:val="22"/>
          <w:lang w:eastAsia="en-GB"/>
          <w14:ligatures w14:val="none"/>
        </w:rPr>
        <w:t xml:space="preserve"> of the framework. Unlike L4 markets (observable prices), L5 intermediaries (institutions with measurable balance sheets), or L7 financial conditions (constructed index), L8 is genuinely conceptual — it requires </w:t>
      </w:r>
      <w:r w:rsidRPr="0032251D">
        <w:rPr>
          <w:rFonts w:ascii="Aptos" w:eastAsia="Times New Roman" w:hAnsi="Aptos" w:cs="Times New Roman"/>
          <w:i/>
          <w:iCs/>
          <w:kern w:val="0"/>
          <w:sz w:val="22"/>
          <w:szCs w:val="22"/>
          <w:lang w:eastAsia="en-GB"/>
          <w14:ligatures w14:val="none"/>
        </w:rPr>
        <w:t>decomposition</w:t>
      </w:r>
      <w:r w:rsidRPr="0032251D">
        <w:rPr>
          <w:rFonts w:ascii="Aptos" w:eastAsia="Times New Roman" w:hAnsi="Aptos" w:cs="Times New Roman"/>
          <w:kern w:val="0"/>
          <w:sz w:val="22"/>
          <w:szCs w:val="22"/>
          <w:lang w:eastAsia="en-GB"/>
          <w14:ligatures w14:val="none"/>
        </w:rPr>
        <w:t xml:space="preserve"> of observable prices into theoretical components. This makes L8 unusual: it's where the framework's diagnostic logic operates most clearly, but it's also where model dependence is highest. Two analysts looking at the same asset price decline can disagree on whether it's a discount rate event or a risk premium event — and the trade implication differs accordingly.</w:t>
      </w:r>
    </w:p>
    <w:p w14:paraId="42313B1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For investment managers, L8 is operationally the most important framework node for trade attribution. Decomposing portfolio P&amp;L by driver — how much came from discount rate changes vs cash flow news vs risk premium moves vs convenience yield shifts — is the right analytical foundation for assessing whether positions are working for the right reasons.</w:t>
      </w:r>
    </w:p>
    <w:p w14:paraId="75B4AF3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For SA specifically, L8 measurement is harder than in DM because the markets that allow clean driver extraction (deep corporate credit, derivatives, factor strategies) are thinner. The SA L8 work in the dissonance framework will likely focus on the two most measurable drivers — discount rate (from SAGB curve) and convenience yield (from cross-asset basis vs USD safe assets) — with risk premium and cash flow decomposition treated more qualitatively.</w:t>
      </w:r>
    </w:p>
    <w:p w14:paraId="2FB2538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For the </w:t>
      </w:r>
      <w:proofErr w:type="gramStart"/>
      <w:r w:rsidRPr="0032251D">
        <w:rPr>
          <w:rFonts w:ascii="Aptos" w:eastAsia="Times New Roman" w:hAnsi="Aptos" w:cs="Times New Roman"/>
          <w:kern w:val="0"/>
          <w:sz w:val="22"/>
          <w:szCs w:val="22"/>
          <w:lang w:eastAsia="en-GB"/>
          <w14:ligatures w14:val="none"/>
        </w:rPr>
        <w:t>framework as a whole, L8</w:t>
      </w:r>
      <w:proofErr w:type="gramEnd"/>
      <w:r w:rsidRPr="0032251D">
        <w:rPr>
          <w:rFonts w:ascii="Aptos" w:eastAsia="Times New Roman" w:hAnsi="Aptos" w:cs="Times New Roman"/>
          <w:kern w:val="0"/>
          <w:sz w:val="22"/>
          <w:szCs w:val="22"/>
          <w:lang w:eastAsia="en-GB"/>
          <w14:ligatures w14:val="none"/>
        </w:rPr>
        <w:t xml:space="preserve"> represents a deliberate choice: rather than treating asset prices (L9) as the primitive, the framework first decomposes them into causal drivers, allowing the question "which driver moved?" to be asked at every framework level. This is what makes the dissonance approach analytically richer than a pure asset-price-prediction framework — it interrogates the </w:t>
      </w:r>
      <w:r w:rsidRPr="0032251D">
        <w:rPr>
          <w:rFonts w:ascii="Aptos" w:eastAsia="Times New Roman" w:hAnsi="Aptos" w:cs="Times New Roman"/>
          <w:i/>
          <w:iCs/>
          <w:kern w:val="0"/>
          <w:sz w:val="22"/>
          <w:szCs w:val="22"/>
          <w:lang w:eastAsia="en-GB"/>
          <w14:ligatures w14:val="none"/>
        </w:rPr>
        <w:t>causal structure</w:t>
      </w:r>
      <w:r w:rsidRPr="0032251D">
        <w:rPr>
          <w:rFonts w:ascii="Aptos" w:eastAsia="Times New Roman" w:hAnsi="Aptos" w:cs="Times New Roman"/>
          <w:kern w:val="0"/>
          <w:sz w:val="22"/>
          <w:szCs w:val="22"/>
          <w:lang w:eastAsia="en-GB"/>
          <w14:ligatures w14:val="none"/>
        </w:rPr>
        <w:t xml:space="preserve"> of price moves rather than just the moves themselves.</w:t>
      </w:r>
    </w:p>
    <w:p w14:paraId="47B4F6C8" w14:textId="23D45673" w:rsidR="0032251D" w:rsidRPr="00B84586" w:rsidRDefault="0032251D" w:rsidP="0032251D">
      <w:pPr>
        <w:spacing w:after="0" w:line="240" w:lineRule="auto"/>
        <w:rPr>
          <w:rFonts w:ascii="Aptos" w:eastAsia="Times New Roman" w:hAnsi="Aptos" w:cs="Times New Roman"/>
          <w:kern w:val="0"/>
          <w:sz w:val="22"/>
          <w:szCs w:val="22"/>
          <w:lang w:eastAsia="en-GB"/>
          <w14:ligatures w14:val="none"/>
        </w:rPr>
      </w:pPr>
    </w:p>
    <w:p w14:paraId="7AC1CD70" w14:textId="77777777" w:rsidR="00B84586" w:rsidRPr="00B84586" w:rsidRDefault="00B84586" w:rsidP="0032251D">
      <w:pPr>
        <w:spacing w:after="0" w:line="240" w:lineRule="auto"/>
        <w:rPr>
          <w:rFonts w:ascii="Aptos" w:eastAsia="Times New Roman" w:hAnsi="Aptos" w:cs="Times New Roman"/>
          <w:kern w:val="0"/>
          <w:sz w:val="22"/>
          <w:szCs w:val="22"/>
          <w:lang w:eastAsia="en-GB"/>
          <w14:ligatures w14:val="none"/>
        </w:rPr>
      </w:pPr>
    </w:p>
    <w:p w14:paraId="4AD77221" w14:textId="77777777" w:rsidR="00B84586" w:rsidRPr="00B84586" w:rsidRDefault="00B84586" w:rsidP="0032251D">
      <w:pPr>
        <w:spacing w:after="0" w:line="240" w:lineRule="auto"/>
        <w:rPr>
          <w:rFonts w:ascii="Aptos" w:eastAsia="Times New Roman" w:hAnsi="Aptos" w:cs="Times New Roman"/>
          <w:kern w:val="0"/>
          <w:sz w:val="22"/>
          <w:szCs w:val="22"/>
          <w:lang w:eastAsia="en-GB"/>
          <w14:ligatures w14:val="none"/>
        </w:rPr>
      </w:pPr>
    </w:p>
    <w:p w14:paraId="7454607B" w14:textId="77777777" w:rsidR="00B84586" w:rsidRPr="00B84586" w:rsidRDefault="00B84586" w:rsidP="0032251D">
      <w:pPr>
        <w:spacing w:after="0" w:line="240" w:lineRule="auto"/>
        <w:rPr>
          <w:rFonts w:ascii="Aptos" w:eastAsia="Times New Roman" w:hAnsi="Aptos" w:cs="Times New Roman"/>
          <w:kern w:val="0"/>
          <w:sz w:val="22"/>
          <w:szCs w:val="22"/>
          <w:lang w:eastAsia="en-GB"/>
          <w14:ligatures w14:val="none"/>
        </w:rPr>
      </w:pPr>
    </w:p>
    <w:p w14:paraId="5CFC9B07" w14:textId="77777777" w:rsidR="00B84586" w:rsidRPr="00B84586" w:rsidRDefault="00B84586" w:rsidP="0032251D">
      <w:pPr>
        <w:spacing w:after="0" w:line="240" w:lineRule="auto"/>
        <w:rPr>
          <w:rFonts w:ascii="Aptos" w:eastAsia="Times New Roman" w:hAnsi="Aptos" w:cs="Times New Roman"/>
          <w:kern w:val="0"/>
          <w:sz w:val="22"/>
          <w:szCs w:val="22"/>
          <w:lang w:eastAsia="en-GB"/>
          <w14:ligatures w14:val="none"/>
        </w:rPr>
      </w:pPr>
    </w:p>
    <w:p w14:paraId="25641E86" w14:textId="77777777" w:rsidR="00B84586" w:rsidRPr="00B84586" w:rsidRDefault="00B84586" w:rsidP="0032251D">
      <w:pPr>
        <w:spacing w:after="0" w:line="240" w:lineRule="auto"/>
        <w:rPr>
          <w:rFonts w:ascii="Aptos" w:eastAsia="Times New Roman" w:hAnsi="Aptos" w:cs="Times New Roman"/>
          <w:kern w:val="0"/>
          <w:sz w:val="22"/>
          <w:szCs w:val="22"/>
          <w:lang w:eastAsia="en-GB"/>
          <w14:ligatures w14:val="none"/>
        </w:rPr>
      </w:pPr>
    </w:p>
    <w:p w14:paraId="0071EC66" w14:textId="77777777" w:rsidR="00B84586" w:rsidRPr="00B84586" w:rsidRDefault="00B84586" w:rsidP="0032251D">
      <w:pPr>
        <w:spacing w:after="0" w:line="240" w:lineRule="auto"/>
        <w:rPr>
          <w:rFonts w:ascii="Aptos" w:eastAsia="Times New Roman" w:hAnsi="Aptos" w:cs="Times New Roman"/>
          <w:kern w:val="0"/>
          <w:sz w:val="22"/>
          <w:szCs w:val="22"/>
          <w:lang w:eastAsia="en-GB"/>
          <w14:ligatures w14:val="none"/>
        </w:rPr>
      </w:pPr>
    </w:p>
    <w:p w14:paraId="2436ED05" w14:textId="77777777" w:rsidR="00B84586" w:rsidRPr="00B84586" w:rsidRDefault="00B84586" w:rsidP="0032251D">
      <w:pPr>
        <w:spacing w:after="0" w:line="240" w:lineRule="auto"/>
        <w:rPr>
          <w:rFonts w:ascii="Aptos" w:eastAsia="Times New Roman" w:hAnsi="Aptos" w:cs="Times New Roman"/>
          <w:kern w:val="0"/>
          <w:sz w:val="22"/>
          <w:szCs w:val="22"/>
          <w:lang w:eastAsia="en-GB"/>
          <w14:ligatures w14:val="none"/>
        </w:rPr>
      </w:pPr>
    </w:p>
    <w:p w14:paraId="42519F5D" w14:textId="77777777" w:rsidR="00B84586" w:rsidRPr="00B84586" w:rsidRDefault="00B84586" w:rsidP="0032251D">
      <w:pPr>
        <w:spacing w:after="0" w:line="240" w:lineRule="auto"/>
        <w:rPr>
          <w:rFonts w:ascii="Aptos" w:eastAsia="Times New Roman" w:hAnsi="Aptos" w:cs="Times New Roman"/>
          <w:kern w:val="0"/>
          <w:sz w:val="22"/>
          <w:szCs w:val="22"/>
          <w:lang w:eastAsia="en-GB"/>
          <w14:ligatures w14:val="none"/>
        </w:rPr>
      </w:pPr>
    </w:p>
    <w:p w14:paraId="634E465F" w14:textId="77777777" w:rsidR="00B84586" w:rsidRPr="00B84586" w:rsidRDefault="00B84586" w:rsidP="0032251D">
      <w:pPr>
        <w:spacing w:after="0" w:line="240" w:lineRule="auto"/>
        <w:rPr>
          <w:rFonts w:ascii="Aptos" w:eastAsia="Times New Roman" w:hAnsi="Aptos" w:cs="Times New Roman"/>
          <w:kern w:val="0"/>
          <w:sz w:val="22"/>
          <w:szCs w:val="22"/>
          <w:lang w:eastAsia="en-GB"/>
          <w14:ligatures w14:val="none"/>
        </w:rPr>
      </w:pPr>
    </w:p>
    <w:p w14:paraId="79FB6CF4" w14:textId="77777777" w:rsidR="00B84586" w:rsidRPr="00B84586" w:rsidRDefault="00B84586" w:rsidP="0032251D">
      <w:pPr>
        <w:spacing w:after="0" w:line="240" w:lineRule="auto"/>
        <w:rPr>
          <w:rFonts w:ascii="Aptos" w:eastAsia="Times New Roman" w:hAnsi="Aptos" w:cs="Times New Roman"/>
          <w:kern w:val="0"/>
          <w:sz w:val="22"/>
          <w:szCs w:val="22"/>
          <w:lang w:eastAsia="en-GB"/>
          <w14:ligatures w14:val="none"/>
        </w:rPr>
      </w:pPr>
    </w:p>
    <w:p w14:paraId="4E87851A" w14:textId="77777777" w:rsidR="00B84586" w:rsidRPr="00B84586" w:rsidRDefault="00B84586" w:rsidP="0032251D">
      <w:pPr>
        <w:spacing w:after="0" w:line="240" w:lineRule="auto"/>
        <w:rPr>
          <w:rFonts w:ascii="Aptos" w:eastAsia="Times New Roman" w:hAnsi="Aptos" w:cs="Times New Roman"/>
          <w:kern w:val="0"/>
          <w:sz w:val="22"/>
          <w:szCs w:val="22"/>
          <w:lang w:eastAsia="en-GB"/>
          <w14:ligatures w14:val="none"/>
        </w:rPr>
      </w:pPr>
    </w:p>
    <w:p w14:paraId="5B8484AF" w14:textId="77777777" w:rsidR="00B84586" w:rsidRPr="00B84586" w:rsidRDefault="00B84586" w:rsidP="0032251D">
      <w:pPr>
        <w:spacing w:after="0" w:line="240" w:lineRule="auto"/>
        <w:rPr>
          <w:rFonts w:ascii="Aptos" w:eastAsia="Times New Roman" w:hAnsi="Aptos" w:cs="Times New Roman"/>
          <w:kern w:val="0"/>
          <w:sz w:val="22"/>
          <w:szCs w:val="22"/>
          <w:lang w:eastAsia="en-GB"/>
          <w14:ligatures w14:val="none"/>
        </w:rPr>
      </w:pPr>
    </w:p>
    <w:p w14:paraId="73A2C807" w14:textId="77777777" w:rsidR="00B84586" w:rsidRPr="00B84586" w:rsidRDefault="00B84586" w:rsidP="0032251D">
      <w:pPr>
        <w:spacing w:after="0" w:line="240" w:lineRule="auto"/>
        <w:rPr>
          <w:rFonts w:ascii="Aptos" w:eastAsia="Times New Roman" w:hAnsi="Aptos" w:cs="Times New Roman"/>
          <w:kern w:val="0"/>
          <w:sz w:val="22"/>
          <w:szCs w:val="22"/>
          <w:lang w:eastAsia="en-GB"/>
          <w14:ligatures w14:val="none"/>
        </w:rPr>
      </w:pPr>
    </w:p>
    <w:p w14:paraId="342144F7" w14:textId="77777777" w:rsidR="00B84586" w:rsidRPr="00B84586" w:rsidRDefault="00B84586" w:rsidP="0032251D">
      <w:pPr>
        <w:spacing w:after="0" w:line="240" w:lineRule="auto"/>
        <w:rPr>
          <w:rFonts w:ascii="Aptos" w:eastAsia="Times New Roman" w:hAnsi="Aptos" w:cs="Times New Roman"/>
          <w:kern w:val="0"/>
          <w:sz w:val="22"/>
          <w:szCs w:val="22"/>
          <w:lang w:eastAsia="en-GB"/>
          <w14:ligatures w14:val="none"/>
        </w:rPr>
      </w:pPr>
    </w:p>
    <w:p w14:paraId="1D887265" w14:textId="77777777" w:rsidR="00B84586" w:rsidRPr="00B84586" w:rsidRDefault="00B84586" w:rsidP="0032251D">
      <w:pPr>
        <w:spacing w:after="0" w:line="240" w:lineRule="auto"/>
        <w:rPr>
          <w:rFonts w:ascii="Aptos" w:eastAsia="Times New Roman" w:hAnsi="Aptos" w:cs="Times New Roman"/>
          <w:kern w:val="0"/>
          <w:sz w:val="22"/>
          <w:szCs w:val="22"/>
          <w:lang w:eastAsia="en-GB"/>
          <w14:ligatures w14:val="none"/>
        </w:rPr>
      </w:pPr>
    </w:p>
    <w:p w14:paraId="0FD24836" w14:textId="77777777" w:rsidR="00B84586" w:rsidRPr="00B84586" w:rsidRDefault="00B84586" w:rsidP="0032251D">
      <w:pPr>
        <w:spacing w:after="0" w:line="240" w:lineRule="auto"/>
        <w:rPr>
          <w:rFonts w:ascii="Aptos" w:eastAsia="Times New Roman" w:hAnsi="Aptos" w:cs="Times New Roman"/>
          <w:kern w:val="0"/>
          <w:sz w:val="22"/>
          <w:szCs w:val="22"/>
          <w:lang w:eastAsia="en-GB"/>
          <w14:ligatures w14:val="none"/>
        </w:rPr>
      </w:pPr>
    </w:p>
    <w:p w14:paraId="6B6A2CBC" w14:textId="77777777" w:rsidR="00B84586" w:rsidRPr="00B84586" w:rsidRDefault="00B84586" w:rsidP="0032251D">
      <w:pPr>
        <w:spacing w:after="0" w:line="240" w:lineRule="auto"/>
        <w:rPr>
          <w:rFonts w:ascii="Aptos" w:eastAsia="Times New Roman" w:hAnsi="Aptos" w:cs="Times New Roman"/>
          <w:kern w:val="0"/>
          <w:sz w:val="22"/>
          <w:szCs w:val="22"/>
          <w:lang w:eastAsia="en-GB"/>
          <w14:ligatures w14:val="none"/>
        </w:rPr>
      </w:pPr>
    </w:p>
    <w:p w14:paraId="1D680272" w14:textId="77777777" w:rsidR="00B84586" w:rsidRPr="00B84586" w:rsidRDefault="00B84586" w:rsidP="0032251D">
      <w:pPr>
        <w:spacing w:after="0" w:line="240" w:lineRule="auto"/>
        <w:rPr>
          <w:rFonts w:ascii="Aptos" w:eastAsia="Times New Roman" w:hAnsi="Aptos" w:cs="Times New Roman"/>
          <w:kern w:val="0"/>
          <w:sz w:val="22"/>
          <w:szCs w:val="22"/>
          <w:lang w:eastAsia="en-GB"/>
          <w14:ligatures w14:val="none"/>
        </w:rPr>
      </w:pPr>
    </w:p>
    <w:p w14:paraId="41C274BF" w14:textId="77777777" w:rsidR="00B84586" w:rsidRPr="00B84586" w:rsidRDefault="00B84586" w:rsidP="0032251D">
      <w:pPr>
        <w:spacing w:after="0" w:line="240" w:lineRule="auto"/>
        <w:rPr>
          <w:rFonts w:ascii="Aptos" w:eastAsia="Times New Roman" w:hAnsi="Aptos" w:cs="Times New Roman"/>
          <w:kern w:val="0"/>
          <w:sz w:val="22"/>
          <w:szCs w:val="22"/>
          <w:lang w:eastAsia="en-GB"/>
          <w14:ligatures w14:val="none"/>
        </w:rPr>
      </w:pPr>
    </w:p>
    <w:p w14:paraId="5E25AEF9" w14:textId="77777777" w:rsidR="00B84586" w:rsidRPr="00B84586" w:rsidRDefault="00B84586" w:rsidP="0032251D">
      <w:pPr>
        <w:spacing w:after="0" w:line="240" w:lineRule="auto"/>
        <w:rPr>
          <w:rFonts w:ascii="Aptos" w:eastAsia="Times New Roman" w:hAnsi="Aptos" w:cs="Times New Roman"/>
          <w:kern w:val="0"/>
          <w:sz w:val="22"/>
          <w:szCs w:val="22"/>
          <w:lang w:eastAsia="en-GB"/>
          <w14:ligatures w14:val="none"/>
        </w:rPr>
      </w:pPr>
    </w:p>
    <w:p w14:paraId="0178C8AB" w14:textId="77777777" w:rsidR="00B84586" w:rsidRPr="0032251D" w:rsidRDefault="00B84586" w:rsidP="0032251D">
      <w:pPr>
        <w:spacing w:after="0" w:line="240" w:lineRule="auto"/>
        <w:rPr>
          <w:rFonts w:ascii="Aptos" w:eastAsia="Times New Roman" w:hAnsi="Aptos" w:cs="Times New Roman"/>
          <w:kern w:val="0"/>
          <w:sz w:val="22"/>
          <w:szCs w:val="22"/>
          <w:lang w:eastAsia="en-GB"/>
          <w14:ligatures w14:val="none"/>
        </w:rPr>
      </w:pPr>
    </w:p>
    <w:p w14:paraId="046C2BB4" w14:textId="77777777" w:rsidR="0032251D" w:rsidRPr="0032251D" w:rsidRDefault="0032251D" w:rsidP="00B84586">
      <w:pPr>
        <w:spacing w:before="100" w:beforeAutospacing="1" w:after="100" w:afterAutospacing="1" w:line="240" w:lineRule="auto"/>
        <w:jc w:val="center"/>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lastRenderedPageBreak/>
        <w:t>Level 9 — Asset Prices</w:t>
      </w:r>
    </w:p>
    <w:p w14:paraId="44D5521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Definition.</w:t>
      </w:r>
      <w:r w:rsidRPr="0032251D">
        <w:rPr>
          <w:rFonts w:ascii="Aptos" w:eastAsia="Times New Roman" w:hAnsi="Aptos" w:cs="Times New Roman"/>
          <w:kern w:val="0"/>
          <w:sz w:val="22"/>
          <w:szCs w:val="22"/>
          <w:lang w:eastAsia="en-GB"/>
          <w14:ligatures w14:val="none"/>
        </w:rPr>
        <w:t xml:space="preserve"> L9 is the terminal observable node of the framework — the integrated cross-asset universe where every upstream dynamic </w:t>
      </w:r>
      <w:proofErr w:type="gramStart"/>
      <w:r w:rsidRPr="0032251D">
        <w:rPr>
          <w:rFonts w:ascii="Aptos" w:eastAsia="Times New Roman" w:hAnsi="Aptos" w:cs="Times New Roman"/>
          <w:kern w:val="0"/>
          <w:sz w:val="22"/>
          <w:szCs w:val="22"/>
          <w:lang w:eastAsia="en-GB"/>
          <w14:ligatures w14:val="none"/>
        </w:rPr>
        <w:t>registers</w:t>
      </w:r>
      <w:proofErr w:type="gramEnd"/>
      <w:r w:rsidRPr="0032251D">
        <w:rPr>
          <w:rFonts w:ascii="Aptos" w:eastAsia="Times New Roman" w:hAnsi="Aptos" w:cs="Times New Roman"/>
          <w:kern w:val="0"/>
          <w:sz w:val="22"/>
          <w:szCs w:val="22"/>
          <w:lang w:eastAsia="en-GB"/>
          <w14:ligatures w14:val="none"/>
        </w:rPr>
        <w:t xml:space="preserve"> as a tradeable price. The investable universe spans equities (broad indices, sectors, factors, single stocks), credit (investment grade, high yield, EM hard currency, EM local), government bonds (cross-country, full curve), currencies (full cross-rate matrix), commodities (energy, metals, agriculture, soft), real estate (REITs, direct), and alternative assets (private credit, infrastructure, private equity). L9 is conceptually distinct from L4 — where L4 captures specific markets </w:t>
      </w:r>
      <w:r w:rsidRPr="0032251D">
        <w:rPr>
          <w:rFonts w:ascii="Aptos" w:eastAsia="Times New Roman" w:hAnsi="Aptos" w:cs="Times New Roman"/>
          <w:i/>
          <w:iCs/>
          <w:kern w:val="0"/>
          <w:sz w:val="22"/>
          <w:szCs w:val="22"/>
          <w:lang w:eastAsia="en-GB"/>
          <w14:ligatures w14:val="none"/>
        </w:rPr>
        <w:t>as monetary transmission channels</w:t>
      </w:r>
      <w:r w:rsidRPr="0032251D">
        <w:rPr>
          <w:rFonts w:ascii="Aptos" w:eastAsia="Times New Roman" w:hAnsi="Aptos" w:cs="Times New Roman"/>
          <w:kern w:val="0"/>
          <w:sz w:val="22"/>
          <w:szCs w:val="22"/>
          <w:lang w:eastAsia="en-GB"/>
          <w14:ligatures w14:val="none"/>
        </w:rPr>
        <w:t xml:space="preserve"> (curve, FX, inflation-linked, vol), L9 captures the broader integrated asset universe </w:t>
      </w:r>
      <w:r w:rsidRPr="0032251D">
        <w:rPr>
          <w:rFonts w:ascii="Aptos" w:eastAsia="Times New Roman" w:hAnsi="Aptos" w:cs="Times New Roman"/>
          <w:i/>
          <w:iCs/>
          <w:kern w:val="0"/>
          <w:sz w:val="22"/>
          <w:szCs w:val="22"/>
          <w:lang w:eastAsia="en-GB"/>
          <w14:ligatures w14:val="none"/>
        </w:rPr>
        <w:t>as portfolio outcomes</w:t>
      </w:r>
      <w:r w:rsidRPr="0032251D">
        <w:rPr>
          <w:rFonts w:ascii="Aptos" w:eastAsia="Times New Roman" w:hAnsi="Aptos" w:cs="Times New Roman"/>
          <w:kern w:val="0"/>
          <w:sz w:val="22"/>
          <w:szCs w:val="22"/>
          <w:lang w:eastAsia="en-GB"/>
          <w14:ligatures w14:val="none"/>
        </w:rPr>
        <w:t>. The framework's purpose ultimately resolves at this node: L1-L8 dynamics matter because they move L9 prices, and L9 prices matter because they determine portfolio P&amp;L, wealth effects, and the financial channel to L10 terminal outcomes. L9 is the framework's primary observable output — the layer at which dissonance is most directly visible.</w:t>
      </w:r>
    </w:p>
    <w:p w14:paraId="46BAEA96"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4590E4DC">
          <v:rect id="_x0000_i1136" alt="" style="width:451.3pt;height:.05pt;mso-width-percent:0;mso-height-percent:0;mso-width-percent:0;mso-height-percent:0" o:hralign="center" o:hrstd="t" o:hr="t" fillcolor="#a0a0a0" stroked="f"/>
        </w:pict>
      </w:r>
    </w:p>
    <w:p w14:paraId="0BC6591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Theory</w:t>
      </w:r>
    </w:p>
    <w:p w14:paraId="535527C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Several theoretical foundations underpin asset prices as a distinct framework node.</w:t>
      </w:r>
    </w:p>
    <w:p w14:paraId="04E36492"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The efficient markets hypothesis (Fama 1970).</w:t>
      </w:r>
      <w:r w:rsidRPr="0032251D">
        <w:rPr>
          <w:rFonts w:ascii="Aptos" w:eastAsia="Times New Roman" w:hAnsi="Aptos" w:cs="Times New Roman"/>
          <w:kern w:val="0"/>
          <w:sz w:val="22"/>
          <w:szCs w:val="22"/>
          <w:lang w:eastAsia="en-GB"/>
          <w14:ligatures w14:val="none"/>
        </w:rPr>
        <w:t xml:space="preserve"> The foundational reference point: prices reflect available information. Three forms — weak, semi-strong, strong — define the information sets prices supposedly incorporate. Modern empirical work has repeatedly demonstrated EMH violations (post-earnings drift, momentum, value premium, behavioural patterns), but EMH remains the analytical baseline against which deviations are measured. L9 dissonance is, in some sense, an EMH violation — prices not reflecting the information embedded in upstream framework nodes.</w:t>
      </w:r>
    </w:p>
    <w:p w14:paraId="2295EAC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The adaptive markets hypothesis (Lo 2004).</w:t>
      </w:r>
      <w:r w:rsidRPr="0032251D">
        <w:rPr>
          <w:rFonts w:ascii="Aptos" w:eastAsia="Times New Roman" w:hAnsi="Aptos" w:cs="Times New Roman"/>
          <w:kern w:val="0"/>
          <w:sz w:val="22"/>
          <w:szCs w:val="22"/>
          <w:lang w:eastAsia="en-GB"/>
          <w14:ligatures w14:val="none"/>
        </w:rPr>
        <w:t xml:space="preserve"> Prices reflect evolving learning, with periodic adaptation as new regimes emerge. The hypothesis allows for inefficiency during regime transitions and gradual learning toward efficiency within regimes. Particularly relevant for the dissonance framework — adaptation lags create observable inconsistencies between upstream signals and asset prices.</w:t>
      </w:r>
    </w:p>
    <w:p w14:paraId="6C5C1DB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Behavioural asset pricing (Shiller 1981; Shleifer 2000; De Long-Shleifer-Summers-Waldmann 1990).</w:t>
      </w:r>
      <w:r w:rsidRPr="0032251D">
        <w:rPr>
          <w:rFonts w:ascii="Aptos" w:eastAsia="Times New Roman" w:hAnsi="Aptos" w:cs="Times New Roman"/>
          <w:kern w:val="0"/>
          <w:sz w:val="22"/>
          <w:szCs w:val="22"/>
          <w:lang w:eastAsia="en-GB"/>
          <w14:ligatures w14:val="none"/>
        </w:rPr>
        <w:t xml:space="preserve"> Prices include systematic biases — excess volatility relative to fundamentals; momentum and reversal; sentiment-driven mispricing; noise trader risk that prevents arbitrage. Shiller's "excess volatility" finding — that equity prices vary far more than dividend fundamentals can justify — is the empirical anchor of behavioural asset pricing.</w:t>
      </w:r>
    </w:p>
    <w:p w14:paraId="24EDF93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Intermediary asset pricing (He-Krishnamurthy 2013; Adrian-</w:t>
      </w:r>
      <w:proofErr w:type="spellStart"/>
      <w:r w:rsidRPr="0032251D">
        <w:rPr>
          <w:rFonts w:ascii="Aptos" w:eastAsia="Times New Roman" w:hAnsi="Aptos" w:cs="Times New Roman"/>
          <w:i/>
          <w:iCs/>
          <w:kern w:val="0"/>
          <w:sz w:val="22"/>
          <w:szCs w:val="22"/>
          <w:lang w:eastAsia="en-GB"/>
          <w14:ligatures w14:val="none"/>
        </w:rPr>
        <w:t>Etula</w:t>
      </w:r>
      <w:proofErr w:type="spellEnd"/>
      <w:r w:rsidRPr="0032251D">
        <w:rPr>
          <w:rFonts w:ascii="Aptos" w:eastAsia="Times New Roman" w:hAnsi="Aptos" w:cs="Times New Roman"/>
          <w:i/>
          <w:iCs/>
          <w:kern w:val="0"/>
          <w:sz w:val="22"/>
          <w:szCs w:val="22"/>
          <w:lang w:eastAsia="en-GB"/>
          <w14:ligatures w14:val="none"/>
        </w:rPr>
        <w:t>-Muir 2014).</w:t>
      </w:r>
      <w:r w:rsidRPr="0032251D">
        <w:rPr>
          <w:rFonts w:ascii="Aptos" w:eastAsia="Times New Roman" w:hAnsi="Aptos" w:cs="Times New Roman"/>
          <w:kern w:val="0"/>
          <w:sz w:val="22"/>
          <w:szCs w:val="22"/>
          <w:lang w:eastAsia="en-GB"/>
          <w14:ligatures w14:val="none"/>
        </w:rPr>
        <w:t xml:space="preserve"> Prices reflect intermediary balance sheet constraints. When intermediaries are unconstrained, prices reflect fundamentals; when constrained, prices reflect intermediary capacity. This links L5 (intermediaries) directly to L9 (prices) — intermediary stress is, mechanically, an asset price event.</w:t>
      </w:r>
    </w:p>
    <w:p w14:paraId="587F4C5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Limits to arbitrage (Shleifer-</w:t>
      </w:r>
      <w:proofErr w:type="spellStart"/>
      <w:r w:rsidRPr="0032251D">
        <w:rPr>
          <w:rFonts w:ascii="Aptos" w:eastAsia="Times New Roman" w:hAnsi="Aptos" w:cs="Times New Roman"/>
          <w:i/>
          <w:iCs/>
          <w:kern w:val="0"/>
          <w:sz w:val="22"/>
          <w:szCs w:val="22"/>
          <w:lang w:eastAsia="en-GB"/>
          <w14:ligatures w14:val="none"/>
        </w:rPr>
        <w:t>Vishny</w:t>
      </w:r>
      <w:proofErr w:type="spellEnd"/>
      <w:r w:rsidRPr="0032251D">
        <w:rPr>
          <w:rFonts w:ascii="Aptos" w:eastAsia="Times New Roman" w:hAnsi="Aptos" w:cs="Times New Roman"/>
          <w:i/>
          <w:iCs/>
          <w:kern w:val="0"/>
          <w:sz w:val="22"/>
          <w:szCs w:val="22"/>
          <w:lang w:eastAsia="en-GB"/>
          <w14:ligatures w14:val="none"/>
        </w:rPr>
        <w:t xml:space="preserve"> 1997; </w:t>
      </w:r>
      <w:proofErr w:type="spellStart"/>
      <w:r w:rsidRPr="0032251D">
        <w:rPr>
          <w:rFonts w:ascii="Aptos" w:eastAsia="Times New Roman" w:hAnsi="Aptos" w:cs="Times New Roman"/>
          <w:i/>
          <w:iCs/>
          <w:kern w:val="0"/>
          <w:sz w:val="22"/>
          <w:szCs w:val="22"/>
          <w:lang w:eastAsia="en-GB"/>
          <w14:ligatures w14:val="none"/>
        </w:rPr>
        <w:t>Gromb-Vayanos</w:t>
      </w:r>
      <w:proofErr w:type="spellEnd"/>
      <w:r w:rsidRPr="0032251D">
        <w:rPr>
          <w:rFonts w:ascii="Aptos" w:eastAsia="Times New Roman" w:hAnsi="Aptos" w:cs="Times New Roman"/>
          <w:i/>
          <w:iCs/>
          <w:kern w:val="0"/>
          <w:sz w:val="22"/>
          <w:szCs w:val="22"/>
          <w:lang w:eastAsia="en-GB"/>
          <w14:ligatures w14:val="none"/>
        </w:rPr>
        <w:t xml:space="preserve"> 2010).</w:t>
      </w:r>
      <w:r w:rsidRPr="0032251D">
        <w:rPr>
          <w:rFonts w:ascii="Aptos" w:eastAsia="Times New Roman" w:hAnsi="Aptos" w:cs="Times New Roman"/>
          <w:kern w:val="0"/>
          <w:sz w:val="22"/>
          <w:szCs w:val="22"/>
          <w:lang w:eastAsia="en-GB"/>
          <w14:ligatures w14:val="none"/>
        </w:rPr>
        <w:t xml:space="preserve"> Arbitrageurs face capital constraints, redemption risk, and noise trader risk that prevent them from fully correcting </w:t>
      </w:r>
      <w:proofErr w:type="spellStart"/>
      <w:r w:rsidRPr="0032251D">
        <w:rPr>
          <w:rFonts w:ascii="Aptos" w:eastAsia="Times New Roman" w:hAnsi="Aptos" w:cs="Times New Roman"/>
          <w:kern w:val="0"/>
          <w:sz w:val="22"/>
          <w:szCs w:val="22"/>
          <w:lang w:eastAsia="en-GB"/>
          <w14:ligatures w14:val="none"/>
        </w:rPr>
        <w:t>mispricings</w:t>
      </w:r>
      <w:proofErr w:type="spellEnd"/>
      <w:r w:rsidRPr="0032251D">
        <w:rPr>
          <w:rFonts w:ascii="Aptos" w:eastAsia="Times New Roman" w:hAnsi="Aptos" w:cs="Times New Roman"/>
          <w:kern w:val="0"/>
          <w:sz w:val="22"/>
          <w:szCs w:val="22"/>
          <w:lang w:eastAsia="en-GB"/>
          <w14:ligatures w14:val="none"/>
        </w:rPr>
        <w:t xml:space="preserve">. The framework explains why dissonance can persist — even when participants </w:t>
      </w:r>
      <w:r w:rsidRPr="0032251D">
        <w:rPr>
          <w:rFonts w:ascii="Aptos" w:eastAsia="Times New Roman" w:hAnsi="Aptos" w:cs="Times New Roman"/>
          <w:kern w:val="0"/>
          <w:sz w:val="22"/>
          <w:szCs w:val="22"/>
          <w:lang w:eastAsia="en-GB"/>
          <w14:ligatures w14:val="none"/>
        </w:rPr>
        <w:lastRenderedPageBreak/>
        <w:t>recognise misalignment between upstream signals and prices, the cost and risk of correcting it can be prohibitive.</w:t>
      </w:r>
    </w:p>
    <w:p w14:paraId="26A05B6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Cross-asset linkages.</w:t>
      </w:r>
      <w:r w:rsidRPr="0032251D">
        <w:rPr>
          <w:rFonts w:ascii="Aptos" w:eastAsia="Times New Roman" w:hAnsi="Aptos" w:cs="Times New Roman"/>
          <w:kern w:val="0"/>
          <w:sz w:val="22"/>
          <w:szCs w:val="22"/>
          <w:lang w:eastAsia="en-GB"/>
          <w14:ligatures w14:val="none"/>
        </w:rPr>
        <w:t xml:space="preserve"> Asset prices do not move independently. Correlation structures shift across regimes — risk-on regimes show high cross-asset correlation among risk assets and negative correlation with safe assets; risk-off regimes flip these relationships; stress regimes can see all correlations move toward 1 (the "everything sells off" pattern). The cross-asset correlation matrix is itself a state variable that varies with framework regime.</w:t>
      </w:r>
    </w:p>
    <w:p w14:paraId="70DF684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Co-movement during stress.</w:t>
      </w:r>
      <w:r w:rsidRPr="0032251D">
        <w:rPr>
          <w:rFonts w:ascii="Aptos" w:eastAsia="Times New Roman" w:hAnsi="Aptos" w:cs="Times New Roman"/>
          <w:kern w:val="0"/>
          <w:sz w:val="22"/>
          <w:szCs w:val="22"/>
          <w:lang w:eastAsia="en-GB"/>
          <w14:ligatures w14:val="none"/>
        </w:rPr>
        <w:t xml:space="preserve"> In crisis, correlations rise. Asset-class diversification breaks down. Liquidity-driven selling forces correlated </w:t>
      </w:r>
      <w:proofErr w:type="gramStart"/>
      <w:r w:rsidRPr="0032251D">
        <w:rPr>
          <w:rFonts w:ascii="Aptos" w:eastAsia="Times New Roman" w:hAnsi="Aptos" w:cs="Times New Roman"/>
          <w:kern w:val="0"/>
          <w:sz w:val="22"/>
          <w:szCs w:val="22"/>
          <w:lang w:eastAsia="en-GB"/>
          <w14:ligatures w14:val="none"/>
        </w:rPr>
        <w:t>sell-offs</w:t>
      </w:r>
      <w:proofErr w:type="gramEnd"/>
      <w:r w:rsidRPr="0032251D">
        <w:rPr>
          <w:rFonts w:ascii="Aptos" w:eastAsia="Times New Roman" w:hAnsi="Aptos" w:cs="Times New Roman"/>
          <w:kern w:val="0"/>
          <w:sz w:val="22"/>
          <w:szCs w:val="22"/>
          <w:lang w:eastAsia="en-GB"/>
          <w14:ligatures w14:val="none"/>
        </w:rPr>
        <w:t xml:space="preserve"> across assets with no fundamental connection. This is the "diversification fails when you need it" empirical regularity.</w:t>
      </w:r>
    </w:p>
    <w:p w14:paraId="45B0D1F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Liquidity-driven price discovery.</w:t>
      </w:r>
      <w:r w:rsidRPr="0032251D">
        <w:rPr>
          <w:rFonts w:ascii="Aptos" w:eastAsia="Times New Roman" w:hAnsi="Aptos" w:cs="Times New Roman"/>
          <w:kern w:val="0"/>
          <w:sz w:val="22"/>
          <w:szCs w:val="22"/>
          <w:lang w:eastAsia="en-GB"/>
          <w14:ligatures w14:val="none"/>
        </w:rPr>
        <w:t xml:space="preserve"> In thin markets or stress, prices reflect available liquidity rather than fundamentals. Bid-ask spreads widen, market impact rises, and small flows can produce large price moves. The L5c dealer node feeds into L9 through this channel.</w:t>
      </w:r>
    </w:p>
    <w:p w14:paraId="2B74174C"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30D4CB4C">
          <v:rect id="_x0000_i1137" alt="" style="width:451.3pt;height:.05pt;mso-width-percent:0;mso-height-percent:0;mso-width-percent:0;mso-height-percent:0" o:hralign="center" o:hrstd="t" o:hr="t" fillcolor="#a0a0a0" stroked="f"/>
        </w:pict>
      </w:r>
    </w:p>
    <w:p w14:paraId="1FAE904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Canonical decomposition and components</w:t>
      </w:r>
    </w:p>
    <w:p w14:paraId="06E1F38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L9 universe decomposes by asset class, with each having distinct internal structure and distinct relationships to framework nodes.</w:t>
      </w:r>
    </w:p>
    <w:p w14:paraId="2549101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Equities.</w:t>
      </w:r>
      <w:r w:rsidRPr="0032251D">
        <w:rPr>
          <w:rFonts w:ascii="Aptos" w:eastAsia="Times New Roman" w:hAnsi="Aptos" w:cs="Times New Roman"/>
          <w:kern w:val="0"/>
          <w:sz w:val="22"/>
          <w:szCs w:val="22"/>
          <w:lang w:eastAsia="en-GB"/>
          <w14:ligatures w14:val="none"/>
        </w:rPr>
        <w:t xml:space="preserve"> The largest single asset class by global capitalisation.</w:t>
      </w:r>
    </w:p>
    <w:p w14:paraId="7EFAE7BE" w14:textId="77777777" w:rsidR="0032251D" w:rsidRPr="0032251D" w:rsidRDefault="0032251D">
      <w:pPr>
        <w:numPr>
          <w:ilvl w:val="0"/>
          <w:numId w:val="13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Broad indices: S&amp;P 500, MSCI World, MSCI EM, FTSE/JSE</w:t>
      </w:r>
    </w:p>
    <w:p w14:paraId="7A99565C" w14:textId="77777777" w:rsidR="0032251D" w:rsidRPr="0032251D" w:rsidRDefault="0032251D">
      <w:pPr>
        <w:numPr>
          <w:ilvl w:val="0"/>
          <w:numId w:val="13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Sector breakdowns (technology, financials, consumer, energy, etc.)</w:t>
      </w:r>
    </w:p>
    <w:p w14:paraId="67930EAA" w14:textId="77777777" w:rsidR="0032251D" w:rsidRPr="0032251D" w:rsidRDefault="0032251D">
      <w:pPr>
        <w:numPr>
          <w:ilvl w:val="0"/>
          <w:numId w:val="13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Factor exposures: value, growth, quality, momentum, low-vol, size</w:t>
      </w:r>
    </w:p>
    <w:p w14:paraId="0FA68AB8" w14:textId="77777777" w:rsidR="0032251D" w:rsidRPr="0032251D" w:rsidRDefault="0032251D">
      <w:pPr>
        <w:numPr>
          <w:ilvl w:val="0"/>
          <w:numId w:val="13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Geographic breakdowns: DM, EM, frontier</w:t>
      </w:r>
    </w:p>
    <w:p w14:paraId="03246B19" w14:textId="77777777" w:rsidR="0032251D" w:rsidRPr="0032251D" w:rsidRDefault="0032251D">
      <w:pPr>
        <w:numPr>
          <w:ilvl w:val="0"/>
          <w:numId w:val="13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Single-stock dispersion within indices</w:t>
      </w:r>
    </w:p>
    <w:p w14:paraId="272D3EA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Credit.</w:t>
      </w:r>
      <w:r w:rsidRPr="0032251D">
        <w:rPr>
          <w:rFonts w:ascii="Aptos" w:eastAsia="Times New Roman" w:hAnsi="Aptos" w:cs="Times New Roman"/>
          <w:kern w:val="0"/>
          <w:sz w:val="22"/>
          <w:szCs w:val="22"/>
          <w:lang w:eastAsia="en-GB"/>
          <w14:ligatures w14:val="none"/>
        </w:rPr>
        <w:t xml:space="preserve"> The fixed income universe outside government bonds.</w:t>
      </w:r>
    </w:p>
    <w:p w14:paraId="0DCA4D38" w14:textId="77777777" w:rsidR="0032251D" w:rsidRPr="0032251D" w:rsidRDefault="0032251D">
      <w:pPr>
        <w:numPr>
          <w:ilvl w:val="0"/>
          <w:numId w:val="13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Investment grade corporate (IG)</w:t>
      </w:r>
    </w:p>
    <w:p w14:paraId="250103B6" w14:textId="77777777" w:rsidR="0032251D" w:rsidRPr="0032251D" w:rsidRDefault="0032251D">
      <w:pPr>
        <w:numPr>
          <w:ilvl w:val="0"/>
          <w:numId w:val="13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High yield corporate (HY)</w:t>
      </w:r>
    </w:p>
    <w:p w14:paraId="32F81098" w14:textId="77777777" w:rsidR="0032251D" w:rsidRPr="0032251D" w:rsidRDefault="0032251D">
      <w:pPr>
        <w:numPr>
          <w:ilvl w:val="0"/>
          <w:numId w:val="13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EM hard currency sovereign (EMBI)</w:t>
      </w:r>
    </w:p>
    <w:p w14:paraId="71A168E3" w14:textId="77777777" w:rsidR="0032251D" w:rsidRPr="0032251D" w:rsidRDefault="0032251D">
      <w:pPr>
        <w:numPr>
          <w:ilvl w:val="0"/>
          <w:numId w:val="13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EM local currency sovereign (GBI-EM)</w:t>
      </w:r>
    </w:p>
    <w:p w14:paraId="5841CC37" w14:textId="77777777" w:rsidR="0032251D" w:rsidRPr="0032251D" w:rsidRDefault="0032251D">
      <w:pPr>
        <w:numPr>
          <w:ilvl w:val="0"/>
          <w:numId w:val="13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EM corporate (CEMBI)</w:t>
      </w:r>
    </w:p>
    <w:p w14:paraId="6F444EA4" w14:textId="77777777" w:rsidR="0032251D" w:rsidRPr="0032251D" w:rsidRDefault="0032251D">
      <w:pPr>
        <w:numPr>
          <w:ilvl w:val="0"/>
          <w:numId w:val="13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Securitised credit (RMBS, CMBS, ABS, CLOs)</w:t>
      </w:r>
    </w:p>
    <w:p w14:paraId="2A89E2AA" w14:textId="77777777" w:rsidR="0032251D" w:rsidRPr="0032251D" w:rsidRDefault="0032251D">
      <w:pPr>
        <w:numPr>
          <w:ilvl w:val="0"/>
          <w:numId w:val="13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Bank loans (leveraged loans)</w:t>
      </w:r>
    </w:p>
    <w:p w14:paraId="06C95B9E" w14:textId="77777777" w:rsidR="0032251D" w:rsidRPr="0032251D" w:rsidRDefault="0032251D">
      <w:pPr>
        <w:numPr>
          <w:ilvl w:val="0"/>
          <w:numId w:val="13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Private credit</w:t>
      </w:r>
    </w:p>
    <w:p w14:paraId="75CC774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Government bonds.</w:t>
      </w:r>
      <w:r w:rsidRPr="0032251D">
        <w:rPr>
          <w:rFonts w:ascii="Aptos" w:eastAsia="Times New Roman" w:hAnsi="Aptos" w:cs="Times New Roman"/>
          <w:kern w:val="0"/>
          <w:sz w:val="22"/>
          <w:szCs w:val="22"/>
          <w:lang w:eastAsia="en-GB"/>
          <w14:ligatures w14:val="none"/>
        </w:rPr>
        <w:t xml:space="preserve"> Beyond just the curve dynamics of L4a.</w:t>
      </w:r>
    </w:p>
    <w:p w14:paraId="4009493E" w14:textId="77777777" w:rsidR="0032251D" w:rsidRPr="0032251D" w:rsidRDefault="0032251D">
      <w:pPr>
        <w:numPr>
          <w:ilvl w:val="0"/>
          <w:numId w:val="14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DM sovereign cross-country (US, UK, Germany, Japan, Switzerland, etc.)</w:t>
      </w:r>
    </w:p>
    <w:p w14:paraId="3F4BB700" w14:textId="77777777" w:rsidR="0032251D" w:rsidRPr="0032251D" w:rsidRDefault="0032251D">
      <w:pPr>
        <w:numPr>
          <w:ilvl w:val="0"/>
          <w:numId w:val="14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EM sovereign local currency cross-country</w:t>
      </w:r>
    </w:p>
    <w:p w14:paraId="56B84EEB" w14:textId="77777777" w:rsidR="0032251D" w:rsidRPr="0032251D" w:rsidRDefault="0032251D">
      <w:pPr>
        <w:numPr>
          <w:ilvl w:val="0"/>
          <w:numId w:val="14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Inflation-linked across countries</w:t>
      </w:r>
    </w:p>
    <w:p w14:paraId="77B877FE" w14:textId="77777777" w:rsidR="0032251D" w:rsidRPr="0032251D" w:rsidRDefault="0032251D">
      <w:pPr>
        <w:numPr>
          <w:ilvl w:val="0"/>
          <w:numId w:val="14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Curve relative value (</w:t>
      </w:r>
      <w:proofErr w:type="spellStart"/>
      <w:r w:rsidRPr="0032251D">
        <w:rPr>
          <w:rFonts w:ascii="Aptos" w:eastAsia="Times New Roman" w:hAnsi="Aptos" w:cs="Times New Roman"/>
          <w:kern w:val="0"/>
          <w:sz w:val="22"/>
          <w:szCs w:val="22"/>
          <w:lang w:eastAsia="en-GB"/>
          <w14:ligatures w14:val="none"/>
        </w:rPr>
        <w:t>steepeners</w:t>
      </w:r>
      <w:proofErr w:type="spellEnd"/>
      <w:r w:rsidRPr="0032251D">
        <w:rPr>
          <w:rFonts w:ascii="Aptos" w:eastAsia="Times New Roman" w:hAnsi="Aptos" w:cs="Times New Roman"/>
          <w:kern w:val="0"/>
          <w:sz w:val="22"/>
          <w:szCs w:val="22"/>
          <w:lang w:eastAsia="en-GB"/>
          <w14:ligatures w14:val="none"/>
        </w:rPr>
        <w:t>, flatteners, butterflies)</w:t>
      </w:r>
    </w:p>
    <w:p w14:paraId="7AE0375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Currencies.</w:t>
      </w:r>
      <w:r w:rsidRPr="0032251D">
        <w:rPr>
          <w:rFonts w:ascii="Aptos" w:eastAsia="Times New Roman" w:hAnsi="Aptos" w:cs="Times New Roman"/>
          <w:kern w:val="0"/>
          <w:sz w:val="22"/>
          <w:szCs w:val="22"/>
          <w:lang w:eastAsia="en-GB"/>
          <w14:ligatures w14:val="none"/>
        </w:rPr>
        <w:t xml:space="preserve"> The full cross-rate matrix beyond just specific pairs.</w:t>
      </w:r>
    </w:p>
    <w:p w14:paraId="06B71BC9" w14:textId="77777777" w:rsidR="0032251D" w:rsidRPr="0032251D" w:rsidRDefault="0032251D">
      <w:pPr>
        <w:numPr>
          <w:ilvl w:val="0"/>
          <w:numId w:val="14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lastRenderedPageBreak/>
        <w:t>G10 cross-rates</w:t>
      </w:r>
    </w:p>
    <w:p w14:paraId="39B19D26" w14:textId="77777777" w:rsidR="0032251D" w:rsidRPr="0032251D" w:rsidRDefault="0032251D">
      <w:pPr>
        <w:numPr>
          <w:ilvl w:val="0"/>
          <w:numId w:val="14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EM cross-rates</w:t>
      </w:r>
    </w:p>
    <w:p w14:paraId="6DE69E4F" w14:textId="77777777" w:rsidR="0032251D" w:rsidRPr="0032251D" w:rsidRDefault="0032251D">
      <w:pPr>
        <w:numPr>
          <w:ilvl w:val="0"/>
          <w:numId w:val="14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Crosses (non-USD pairs)</w:t>
      </w:r>
    </w:p>
    <w:p w14:paraId="43541EEE" w14:textId="77777777" w:rsidR="0032251D" w:rsidRPr="0032251D" w:rsidRDefault="0032251D">
      <w:pPr>
        <w:numPr>
          <w:ilvl w:val="0"/>
          <w:numId w:val="14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Carry baskets, value baskets</w:t>
      </w:r>
    </w:p>
    <w:p w14:paraId="0D336F6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Commodities.</w:t>
      </w:r>
      <w:r w:rsidRPr="0032251D">
        <w:rPr>
          <w:rFonts w:ascii="Aptos" w:eastAsia="Times New Roman" w:hAnsi="Aptos" w:cs="Times New Roman"/>
          <w:kern w:val="0"/>
          <w:sz w:val="22"/>
          <w:szCs w:val="22"/>
          <w:lang w:eastAsia="en-GB"/>
          <w14:ligatures w14:val="none"/>
        </w:rPr>
        <w:t xml:space="preserve"> The real asset complement.</w:t>
      </w:r>
    </w:p>
    <w:p w14:paraId="094554DB" w14:textId="77777777" w:rsidR="0032251D" w:rsidRPr="0032251D" w:rsidRDefault="0032251D">
      <w:pPr>
        <w:numPr>
          <w:ilvl w:val="0"/>
          <w:numId w:val="14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Energy: crude oil, natural gas, refined products</w:t>
      </w:r>
    </w:p>
    <w:p w14:paraId="43D4FCE5" w14:textId="77777777" w:rsidR="0032251D" w:rsidRPr="0032251D" w:rsidRDefault="0032251D">
      <w:pPr>
        <w:numPr>
          <w:ilvl w:val="0"/>
          <w:numId w:val="14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Industrial metals: copper, aluminium, nickel, zinc</w:t>
      </w:r>
    </w:p>
    <w:p w14:paraId="5CF6C4E4" w14:textId="77777777" w:rsidR="0032251D" w:rsidRPr="0032251D" w:rsidRDefault="0032251D">
      <w:pPr>
        <w:numPr>
          <w:ilvl w:val="0"/>
          <w:numId w:val="14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Precious metals: gold, silver, platinum, palladium</w:t>
      </w:r>
    </w:p>
    <w:p w14:paraId="01EC47A8" w14:textId="77777777" w:rsidR="0032251D" w:rsidRPr="0032251D" w:rsidRDefault="0032251D">
      <w:pPr>
        <w:numPr>
          <w:ilvl w:val="0"/>
          <w:numId w:val="14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Agricultural: grains, softs, livestock</w:t>
      </w:r>
    </w:p>
    <w:p w14:paraId="6085AFE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Real estate.</w:t>
      </w:r>
      <w:r w:rsidRPr="0032251D">
        <w:rPr>
          <w:rFonts w:ascii="Aptos" w:eastAsia="Times New Roman" w:hAnsi="Aptos" w:cs="Times New Roman"/>
          <w:kern w:val="0"/>
          <w:sz w:val="22"/>
          <w:szCs w:val="22"/>
          <w:lang w:eastAsia="en-GB"/>
          <w14:ligatures w14:val="none"/>
        </w:rPr>
        <w:t xml:space="preserve"> The non-financial productive asset class.</w:t>
      </w:r>
    </w:p>
    <w:p w14:paraId="03BB0446" w14:textId="77777777" w:rsidR="0032251D" w:rsidRPr="0032251D" w:rsidRDefault="0032251D">
      <w:pPr>
        <w:numPr>
          <w:ilvl w:val="0"/>
          <w:numId w:val="14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Public REITs (residential, commercial, industrial, healthcare, retail)</w:t>
      </w:r>
    </w:p>
    <w:p w14:paraId="389FAE7F" w14:textId="77777777" w:rsidR="0032251D" w:rsidRPr="0032251D" w:rsidRDefault="0032251D">
      <w:pPr>
        <w:numPr>
          <w:ilvl w:val="0"/>
          <w:numId w:val="14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Direct real estate (institutional)</w:t>
      </w:r>
    </w:p>
    <w:p w14:paraId="60F61966" w14:textId="77777777" w:rsidR="0032251D" w:rsidRPr="0032251D" w:rsidRDefault="0032251D">
      <w:pPr>
        <w:numPr>
          <w:ilvl w:val="0"/>
          <w:numId w:val="14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Real estate debt</w:t>
      </w:r>
    </w:p>
    <w:p w14:paraId="5C39410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Alternatives.</w:t>
      </w:r>
    </w:p>
    <w:p w14:paraId="1B80CE17" w14:textId="77777777" w:rsidR="0032251D" w:rsidRPr="0032251D" w:rsidRDefault="0032251D">
      <w:pPr>
        <w:numPr>
          <w:ilvl w:val="0"/>
          <w:numId w:val="14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Private equity (LBO, growth, venture)</w:t>
      </w:r>
    </w:p>
    <w:p w14:paraId="376EF756" w14:textId="77777777" w:rsidR="0032251D" w:rsidRPr="0032251D" w:rsidRDefault="0032251D">
      <w:pPr>
        <w:numPr>
          <w:ilvl w:val="0"/>
          <w:numId w:val="14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Private credit (direct lending, distressed)</w:t>
      </w:r>
    </w:p>
    <w:p w14:paraId="371373D0" w14:textId="77777777" w:rsidR="0032251D" w:rsidRPr="0032251D" w:rsidRDefault="0032251D">
      <w:pPr>
        <w:numPr>
          <w:ilvl w:val="0"/>
          <w:numId w:val="14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Infrastructure</w:t>
      </w:r>
    </w:p>
    <w:p w14:paraId="004EB6AD" w14:textId="77777777" w:rsidR="0032251D" w:rsidRPr="0032251D" w:rsidRDefault="0032251D">
      <w:pPr>
        <w:numPr>
          <w:ilvl w:val="0"/>
          <w:numId w:val="14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Hedge funds (multi-strategy, equity L/S, macro, relative value)</w:t>
      </w:r>
    </w:p>
    <w:p w14:paraId="66C2C298" w14:textId="77777777" w:rsidR="0032251D" w:rsidRPr="0032251D" w:rsidRDefault="0032251D">
      <w:pPr>
        <w:numPr>
          <w:ilvl w:val="0"/>
          <w:numId w:val="14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Listed alternatives (BDCs, MLPs)</w:t>
      </w:r>
    </w:p>
    <w:p w14:paraId="58B0207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Cross-asset structure.</w:t>
      </w:r>
      <w:r w:rsidRPr="0032251D">
        <w:rPr>
          <w:rFonts w:ascii="Aptos" w:eastAsia="Times New Roman" w:hAnsi="Aptos" w:cs="Times New Roman"/>
          <w:kern w:val="0"/>
          <w:sz w:val="22"/>
          <w:szCs w:val="22"/>
          <w:lang w:eastAsia="en-GB"/>
          <w14:ligatures w14:val="none"/>
        </w:rPr>
        <w:t xml:space="preserve"> Asset classes do not exist independently — they form an integrated portfolio universe. Key structural relationships:</w:t>
      </w:r>
    </w:p>
    <w:p w14:paraId="77D9E531" w14:textId="77777777" w:rsidR="0032251D" w:rsidRPr="0032251D" w:rsidRDefault="0032251D">
      <w:pPr>
        <w:numPr>
          <w:ilvl w:val="0"/>
          <w:numId w:val="14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Equity-bond correlation: positive in low-inflation regimes, negative in high-inflation regimes</w:t>
      </w:r>
    </w:p>
    <w:p w14:paraId="7D3A8DF2" w14:textId="77777777" w:rsidR="0032251D" w:rsidRPr="0032251D" w:rsidRDefault="0032251D">
      <w:pPr>
        <w:numPr>
          <w:ilvl w:val="0"/>
          <w:numId w:val="14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Equity-credit correlation: structurally positive (both are risk assets)</w:t>
      </w:r>
    </w:p>
    <w:p w14:paraId="4A647493" w14:textId="77777777" w:rsidR="0032251D" w:rsidRPr="0032251D" w:rsidRDefault="0032251D">
      <w:pPr>
        <w:numPr>
          <w:ilvl w:val="0"/>
          <w:numId w:val="14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USD-EM correlation: structurally negative (DM </w:t>
      </w:r>
      <w:proofErr w:type="gramStart"/>
      <w:r w:rsidRPr="0032251D">
        <w:rPr>
          <w:rFonts w:ascii="Aptos" w:eastAsia="Times New Roman" w:hAnsi="Aptos" w:cs="Times New Roman"/>
          <w:kern w:val="0"/>
          <w:sz w:val="22"/>
          <w:szCs w:val="22"/>
          <w:lang w:eastAsia="en-GB"/>
          <w14:ligatures w14:val="none"/>
        </w:rPr>
        <w:t>safe haven</w:t>
      </w:r>
      <w:proofErr w:type="gramEnd"/>
      <w:r w:rsidRPr="0032251D">
        <w:rPr>
          <w:rFonts w:ascii="Aptos" w:eastAsia="Times New Roman" w:hAnsi="Aptos" w:cs="Times New Roman"/>
          <w:kern w:val="0"/>
          <w:sz w:val="22"/>
          <w:szCs w:val="22"/>
          <w:lang w:eastAsia="en-GB"/>
          <w14:ligatures w14:val="none"/>
        </w:rPr>
        <w:t xml:space="preserve"> vs EM risk)</w:t>
      </w:r>
    </w:p>
    <w:p w14:paraId="0AD90864" w14:textId="77777777" w:rsidR="0032251D" w:rsidRPr="0032251D" w:rsidRDefault="0032251D">
      <w:pPr>
        <w:numPr>
          <w:ilvl w:val="0"/>
          <w:numId w:val="14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Commodity-equity correlation: time-varying, regime-dependent</w:t>
      </w:r>
    </w:p>
    <w:p w14:paraId="4323A7C4" w14:textId="77777777" w:rsidR="0032251D" w:rsidRPr="0032251D" w:rsidRDefault="0032251D">
      <w:pPr>
        <w:numPr>
          <w:ilvl w:val="0"/>
          <w:numId w:val="14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Vol-equity correlation: structurally negative (equity sell-offs spike vol)</w:t>
      </w:r>
    </w:p>
    <w:p w14:paraId="49E7CFF6" w14:textId="77777777" w:rsidR="0032251D" w:rsidRPr="0032251D" w:rsidRDefault="0032251D">
      <w:pPr>
        <w:numPr>
          <w:ilvl w:val="0"/>
          <w:numId w:val="14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Real asset-inflation correlation: positive (real assets hedge inflation)</w:t>
      </w:r>
    </w:p>
    <w:p w14:paraId="5D21EE5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These cross-asset structural relationships are themselves L9 dynamics that can be consistent or dissonant with upstream framework signals.</w:t>
      </w:r>
    </w:p>
    <w:p w14:paraId="79C0DDCF"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1D9BA75C">
          <v:rect id="_x0000_i1138" alt="" style="width:451.3pt;height:.05pt;mso-width-percent:0;mso-height-percent:0;mso-width-percent:0;mso-height-percent:0" o:hralign="center" o:hrstd="t" o:hr="t" fillcolor="#a0a0a0" stroked="f"/>
        </w:pict>
      </w:r>
    </w:p>
    <w:p w14:paraId="770A517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Why this matters for portfolio outcomes</w:t>
      </w:r>
    </w:p>
    <w:p w14:paraId="61E471C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L9 is consequential through five channels.</w:t>
      </w:r>
    </w:p>
    <w:p w14:paraId="13EE1C5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Portfolio P&amp;L determination.</w:t>
      </w:r>
      <w:r w:rsidRPr="0032251D">
        <w:rPr>
          <w:rFonts w:ascii="Aptos" w:eastAsia="Times New Roman" w:hAnsi="Aptos" w:cs="Times New Roman"/>
          <w:kern w:val="0"/>
          <w:sz w:val="22"/>
          <w:szCs w:val="22"/>
          <w:lang w:eastAsia="en-GB"/>
          <w14:ligatures w14:val="none"/>
        </w:rPr>
        <w:t xml:space="preserve"> The most direct: asset prices determine portfolio outcomes. Every framework dynamic upstream </w:t>
      </w:r>
      <w:proofErr w:type="gramStart"/>
      <w:r w:rsidRPr="0032251D">
        <w:rPr>
          <w:rFonts w:ascii="Aptos" w:eastAsia="Times New Roman" w:hAnsi="Aptos" w:cs="Times New Roman"/>
          <w:kern w:val="0"/>
          <w:sz w:val="22"/>
          <w:szCs w:val="22"/>
          <w:lang w:eastAsia="en-GB"/>
          <w14:ligatures w14:val="none"/>
        </w:rPr>
        <w:t>matters</w:t>
      </w:r>
      <w:proofErr w:type="gramEnd"/>
      <w:r w:rsidRPr="0032251D">
        <w:rPr>
          <w:rFonts w:ascii="Aptos" w:eastAsia="Times New Roman" w:hAnsi="Aptos" w:cs="Times New Roman"/>
          <w:kern w:val="0"/>
          <w:sz w:val="22"/>
          <w:szCs w:val="22"/>
          <w:lang w:eastAsia="en-GB"/>
          <w14:ligatures w14:val="none"/>
        </w:rPr>
        <w:t xml:space="preserve"> because and only because it eventually moves L9 prices that flow to portfolios. Risk management, performance attribution, and trade construction all operate at L9.</w:t>
      </w:r>
    </w:p>
    <w:p w14:paraId="30C1F3C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Cross-asset positioning regime.</w:t>
      </w:r>
      <w:r w:rsidRPr="0032251D">
        <w:rPr>
          <w:rFonts w:ascii="Aptos" w:eastAsia="Times New Roman" w:hAnsi="Aptos" w:cs="Times New Roman"/>
          <w:kern w:val="0"/>
          <w:sz w:val="22"/>
          <w:szCs w:val="22"/>
          <w:lang w:eastAsia="en-GB"/>
          <w14:ligatures w14:val="none"/>
        </w:rPr>
        <w:t xml:space="preserve"> Different framework regimes produce characteristic L9 patterns. Disinflationary regimes favour duration over commodities. Inflation regimes favour real assets over duration. Risk-on regimes favour cyclical equities and credit. Stress regimes produce flight-to-quality patterns. Identifying which regime is operating is the foundation of macro asset allocation — and the L1-L8 framework is what makes regime identification analytically rigorous.</w:t>
      </w:r>
    </w:p>
    <w:p w14:paraId="1BB2A9C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Cross-asset correlation as state variable.</w:t>
      </w:r>
      <w:r w:rsidRPr="0032251D">
        <w:rPr>
          <w:rFonts w:ascii="Aptos" w:eastAsia="Times New Roman" w:hAnsi="Aptos" w:cs="Times New Roman"/>
          <w:kern w:val="0"/>
          <w:sz w:val="22"/>
          <w:szCs w:val="22"/>
          <w:lang w:eastAsia="en-GB"/>
          <w14:ligatures w14:val="none"/>
        </w:rPr>
        <w:t xml:space="preserve"> The correlation matrix among L9 assets is itself a regime indicator. Stable correlations mean predictable diversification; shifting correlations mean diversification is changing. The 2022 episode where US Treasuries and equities both sold off was a regime indicator — the standard 60/40 portfolio diversification structure was failing because the equity-bond correlation had shifted to positive. This was an L9 observation reflecting an L8 driver shift (inflation risk premium dominating </w:t>
      </w:r>
      <w:proofErr w:type="gramStart"/>
      <w:r w:rsidRPr="0032251D">
        <w:rPr>
          <w:rFonts w:ascii="Aptos" w:eastAsia="Times New Roman" w:hAnsi="Aptos" w:cs="Times New Roman"/>
          <w:kern w:val="0"/>
          <w:sz w:val="22"/>
          <w:szCs w:val="22"/>
          <w:lang w:eastAsia="en-GB"/>
          <w14:ligatures w14:val="none"/>
        </w:rPr>
        <w:t>over growth</w:t>
      </w:r>
      <w:proofErr w:type="gramEnd"/>
      <w:r w:rsidRPr="0032251D">
        <w:rPr>
          <w:rFonts w:ascii="Aptos" w:eastAsia="Times New Roman" w:hAnsi="Aptos" w:cs="Times New Roman"/>
          <w:kern w:val="0"/>
          <w:sz w:val="22"/>
          <w:szCs w:val="22"/>
          <w:lang w:eastAsia="en-GB"/>
          <w14:ligatures w14:val="none"/>
        </w:rPr>
        <w:t xml:space="preserve"> risk premium).</w:t>
      </w:r>
    </w:p>
    <w:p w14:paraId="302935B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Wealth effect channel to real economy.</w:t>
      </w:r>
      <w:r w:rsidRPr="0032251D">
        <w:rPr>
          <w:rFonts w:ascii="Aptos" w:eastAsia="Times New Roman" w:hAnsi="Aptos" w:cs="Times New Roman"/>
          <w:kern w:val="0"/>
          <w:sz w:val="22"/>
          <w:szCs w:val="22"/>
          <w:lang w:eastAsia="en-GB"/>
          <w14:ligatures w14:val="none"/>
        </w:rPr>
        <w:t xml:space="preserve"> Asset price changes flow to household and corporate wealth, affecting consumption and investment. The L9-to-L10a transmission is fundamental. Rising asset prices → wealth effect on consumption → real economy boost. Falling asset prices → reverse wealth effect → real economy </w:t>
      </w:r>
      <w:proofErr w:type="gramStart"/>
      <w:r w:rsidRPr="0032251D">
        <w:rPr>
          <w:rFonts w:ascii="Aptos" w:eastAsia="Times New Roman" w:hAnsi="Aptos" w:cs="Times New Roman"/>
          <w:kern w:val="0"/>
          <w:sz w:val="22"/>
          <w:szCs w:val="22"/>
          <w:lang w:eastAsia="en-GB"/>
          <w14:ligatures w14:val="none"/>
        </w:rPr>
        <w:t>drag</w:t>
      </w:r>
      <w:proofErr w:type="gramEnd"/>
      <w:r w:rsidRPr="0032251D">
        <w:rPr>
          <w:rFonts w:ascii="Aptos" w:eastAsia="Times New Roman" w:hAnsi="Aptos" w:cs="Times New Roman"/>
          <w:kern w:val="0"/>
          <w:sz w:val="22"/>
          <w:szCs w:val="22"/>
          <w:lang w:eastAsia="en-GB"/>
          <w14:ligatures w14:val="none"/>
        </w:rPr>
        <w:t>. This is the most direct channel through which monetary policy reaches the real economy via L9.</w:t>
      </w:r>
    </w:p>
    <w:p w14:paraId="37FEFE02"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Financial stability monitoring.</w:t>
      </w:r>
      <w:r w:rsidRPr="0032251D">
        <w:rPr>
          <w:rFonts w:ascii="Aptos" w:eastAsia="Times New Roman" w:hAnsi="Aptos" w:cs="Times New Roman"/>
          <w:kern w:val="0"/>
          <w:sz w:val="22"/>
          <w:szCs w:val="22"/>
          <w:lang w:eastAsia="en-GB"/>
          <w14:ligatures w14:val="none"/>
        </w:rPr>
        <w:t xml:space="preserve"> L9 prices contain early indicators of stability stress — credit spreads widening, vol spiking, dispersion rising, correlation regime breaks. Financial stability work uses L9 dynamics as leading indicators of L10b stability outcomes.</w:t>
      </w:r>
    </w:p>
    <w:p w14:paraId="4C63599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For investment managers four practitioner points dominate. First, L9 is where everything happens — the L1-L8 framework is analytical machinery to support L9 trade construction, not an </w:t>
      </w:r>
      <w:proofErr w:type="gramStart"/>
      <w:r w:rsidRPr="0032251D">
        <w:rPr>
          <w:rFonts w:ascii="Aptos" w:eastAsia="Times New Roman" w:hAnsi="Aptos" w:cs="Times New Roman"/>
          <w:kern w:val="0"/>
          <w:sz w:val="22"/>
          <w:szCs w:val="22"/>
          <w:lang w:eastAsia="en-GB"/>
          <w14:ligatures w14:val="none"/>
        </w:rPr>
        <w:t>end in itself</w:t>
      </w:r>
      <w:proofErr w:type="gramEnd"/>
      <w:r w:rsidRPr="0032251D">
        <w:rPr>
          <w:rFonts w:ascii="Aptos" w:eastAsia="Times New Roman" w:hAnsi="Aptos" w:cs="Times New Roman"/>
          <w:kern w:val="0"/>
          <w:sz w:val="22"/>
          <w:szCs w:val="22"/>
          <w:lang w:eastAsia="en-GB"/>
          <w14:ligatures w14:val="none"/>
        </w:rPr>
        <w:t>. Second, cross-asset positioning at L9 should be informed by upstream framework dynamics, not driven solely by L9 momentum or technicals — the disciplined approach is to identify the L1-L8 regime first, then position L9 consistently. Third, correlation regime monitoring at L9 provides forward information on diversification breakdown and stress transitions. Fourth, dissonance between L9 prices and upstream framework signals is the foundation of macro trades — if prices have not yet adjusted to a framework regime that the bank's reaction function and balance sheet operations imply, that is the trade opportunity.</w:t>
      </w:r>
    </w:p>
    <w:p w14:paraId="1A718912"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45E88CC3">
          <v:rect id="_x0000_i1139" alt="" style="width:451.3pt;height:.05pt;mso-width-percent:0;mso-height-percent:0;mso-width-percent:0;mso-height-percent:0" o:hralign="center" o:hrstd="t" o:hr="t" fillcolor="#a0a0a0" stroked="f"/>
        </w:pict>
      </w:r>
    </w:p>
    <w:p w14:paraId="10A4316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Regime and EM variation</w:t>
      </w:r>
    </w:p>
    <w:p w14:paraId="06075F2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L9 universe is structurally distinct between DM and EM.</w:t>
      </w:r>
    </w:p>
    <w:p w14:paraId="63D96FB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DM characteristics.</w:t>
      </w:r>
    </w:p>
    <w:p w14:paraId="279FD3EA" w14:textId="77777777" w:rsidR="0032251D" w:rsidRPr="0032251D" w:rsidRDefault="0032251D">
      <w:pPr>
        <w:numPr>
          <w:ilvl w:val="0"/>
          <w:numId w:val="14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Deep, liquid, broadly tradeable markets</w:t>
      </w:r>
    </w:p>
    <w:p w14:paraId="39918B54" w14:textId="77777777" w:rsidR="0032251D" w:rsidRPr="0032251D" w:rsidRDefault="0032251D">
      <w:pPr>
        <w:numPr>
          <w:ilvl w:val="0"/>
          <w:numId w:val="14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Tight cross-asset linkages</w:t>
      </w:r>
    </w:p>
    <w:p w14:paraId="1F9AEEC2" w14:textId="77777777" w:rsidR="0032251D" w:rsidRPr="0032251D" w:rsidRDefault="0032251D">
      <w:pPr>
        <w:numPr>
          <w:ilvl w:val="0"/>
          <w:numId w:val="14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Predictable correlation regimes</w:t>
      </w:r>
    </w:p>
    <w:p w14:paraId="15C648C5" w14:textId="77777777" w:rsidR="0032251D" w:rsidRPr="0032251D" w:rsidRDefault="0032251D">
      <w:pPr>
        <w:numPr>
          <w:ilvl w:val="0"/>
          <w:numId w:val="14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Wide derivatives infrastructure</w:t>
      </w:r>
    </w:p>
    <w:p w14:paraId="72E25B32" w14:textId="77777777" w:rsidR="0032251D" w:rsidRPr="0032251D" w:rsidRDefault="0032251D">
      <w:pPr>
        <w:numPr>
          <w:ilvl w:val="0"/>
          <w:numId w:val="14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Foreign investor base diversified across global asset managers</w:t>
      </w:r>
    </w:p>
    <w:p w14:paraId="70D17EC1" w14:textId="77777777" w:rsidR="0032251D" w:rsidRPr="0032251D" w:rsidRDefault="0032251D">
      <w:pPr>
        <w:numPr>
          <w:ilvl w:val="0"/>
          <w:numId w:val="14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Risk premia compressed relative to historical norms (search-for-yield era)</w:t>
      </w:r>
    </w:p>
    <w:p w14:paraId="2FF89A0A" w14:textId="77777777" w:rsidR="0032251D" w:rsidRPr="0032251D" w:rsidRDefault="0032251D">
      <w:pPr>
        <w:numPr>
          <w:ilvl w:val="0"/>
          <w:numId w:val="14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Real estate liquid through REITs and direct institutional channels</w:t>
      </w:r>
    </w:p>
    <w:p w14:paraId="6F3A4912"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EM characteristics.</w:t>
      </w:r>
    </w:p>
    <w:p w14:paraId="2A1236C5" w14:textId="77777777" w:rsidR="0032251D" w:rsidRPr="0032251D" w:rsidRDefault="0032251D">
      <w:pPr>
        <w:numPr>
          <w:ilvl w:val="0"/>
          <w:numId w:val="14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lastRenderedPageBreak/>
        <w:t>Less liquid, smaller markets</w:t>
      </w:r>
    </w:p>
    <w:p w14:paraId="17CBE761" w14:textId="77777777" w:rsidR="0032251D" w:rsidRPr="0032251D" w:rsidRDefault="0032251D">
      <w:pPr>
        <w:numPr>
          <w:ilvl w:val="0"/>
          <w:numId w:val="14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Foreign vs domestic investor segmentation</w:t>
      </w:r>
    </w:p>
    <w:p w14:paraId="0478367B" w14:textId="77777777" w:rsidR="0032251D" w:rsidRPr="0032251D" w:rsidRDefault="0032251D">
      <w:pPr>
        <w:numPr>
          <w:ilvl w:val="0"/>
          <w:numId w:val="14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More extreme correlation regimes (everything sells together in stress)</w:t>
      </w:r>
    </w:p>
    <w:p w14:paraId="12CEAFAE" w14:textId="77777777" w:rsidR="0032251D" w:rsidRPr="0032251D" w:rsidRDefault="0032251D">
      <w:pPr>
        <w:numPr>
          <w:ilvl w:val="0"/>
          <w:numId w:val="14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USD vs local currency duality complicating positioning</w:t>
      </w:r>
    </w:p>
    <w:p w14:paraId="1E365305" w14:textId="77777777" w:rsidR="0032251D" w:rsidRPr="0032251D" w:rsidRDefault="0032251D">
      <w:pPr>
        <w:numPr>
          <w:ilvl w:val="0"/>
          <w:numId w:val="14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Risk premia larger and more volatile</w:t>
      </w:r>
    </w:p>
    <w:p w14:paraId="251BB21F" w14:textId="77777777" w:rsidR="0032251D" w:rsidRPr="0032251D" w:rsidRDefault="0032251D">
      <w:pPr>
        <w:numPr>
          <w:ilvl w:val="0"/>
          <w:numId w:val="14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Limited derivatives infrastructure outside major pairs</w:t>
      </w:r>
    </w:p>
    <w:p w14:paraId="328D17CB" w14:textId="77777777" w:rsidR="0032251D" w:rsidRPr="0032251D" w:rsidRDefault="0032251D">
      <w:pPr>
        <w:numPr>
          <w:ilvl w:val="0"/>
          <w:numId w:val="14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Real estate often illiquid and weakly transparent</w:t>
      </w:r>
    </w:p>
    <w:p w14:paraId="69D699FD" w14:textId="77777777" w:rsidR="0032251D" w:rsidRPr="0032251D" w:rsidRDefault="0032251D">
      <w:pPr>
        <w:numPr>
          <w:ilvl w:val="0"/>
          <w:numId w:val="14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Political risk premium throughout the universe</w:t>
      </w:r>
    </w:p>
    <w:p w14:paraId="68DE778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Specific EM patterns.</w:t>
      </w:r>
    </w:p>
    <w:p w14:paraId="399CFA45" w14:textId="77777777" w:rsidR="0032251D" w:rsidRPr="0032251D" w:rsidRDefault="0032251D">
      <w:pPr>
        <w:numPr>
          <w:ilvl w:val="0"/>
          <w:numId w:val="14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Brazil</w:t>
      </w:r>
      <w:r w:rsidRPr="0032251D">
        <w:rPr>
          <w:rFonts w:ascii="Aptos" w:eastAsia="Times New Roman" w:hAnsi="Aptos" w:cs="Times New Roman"/>
          <w:kern w:val="0"/>
          <w:sz w:val="22"/>
          <w:szCs w:val="22"/>
          <w:lang w:eastAsia="en-GB"/>
          <w14:ligatures w14:val="none"/>
        </w:rPr>
        <w:t>: deep local market with high yields; structural carry currency; equity market dominated by commodity exposures</w:t>
      </w:r>
    </w:p>
    <w:p w14:paraId="5639FCAF" w14:textId="77777777" w:rsidR="0032251D" w:rsidRPr="0032251D" w:rsidRDefault="0032251D">
      <w:pPr>
        <w:numPr>
          <w:ilvl w:val="0"/>
          <w:numId w:val="14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Mexico</w:t>
      </w:r>
      <w:r w:rsidRPr="0032251D">
        <w:rPr>
          <w:rFonts w:ascii="Aptos" w:eastAsia="Times New Roman" w:hAnsi="Aptos" w:cs="Times New Roman"/>
          <w:kern w:val="0"/>
          <w:sz w:val="22"/>
          <w:szCs w:val="22"/>
          <w:lang w:eastAsia="en-GB"/>
          <w14:ligatures w14:val="none"/>
        </w:rPr>
        <w:t>: tighter coupling to US business cycle; investment-grade sovereign; deep peso market</w:t>
      </w:r>
    </w:p>
    <w:p w14:paraId="099FBAB1" w14:textId="77777777" w:rsidR="0032251D" w:rsidRPr="0032251D" w:rsidRDefault="0032251D">
      <w:pPr>
        <w:numPr>
          <w:ilvl w:val="0"/>
          <w:numId w:val="14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Korea</w:t>
      </w:r>
      <w:r w:rsidRPr="0032251D">
        <w:rPr>
          <w:rFonts w:ascii="Aptos" w:eastAsia="Times New Roman" w:hAnsi="Aptos" w:cs="Times New Roman"/>
          <w:kern w:val="0"/>
          <w:sz w:val="22"/>
          <w:szCs w:val="22"/>
          <w:lang w:eastAsia="en-GB"/>
          <w14:ligatures w14:val="none"/>
        </w:rPr>
        <w:t>: developed-market structure but EM index classification; tech-heavy equity</w:t>
      </w:r>
    </w:p>
    <w:p w14:paraId="4FC9C81B" w14:textId="77777777" w:rsidR="0032251D" w:rsidRPr="0032251D" w:rsidRDefault="0032251D">
      <w:pPr>
        <w:numPr>
          <w:ilvl w:val="0"/>
          <w:numId w:val="14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Turkey, Argentina</w:t>
      </w:r>
      <w:r w:rsidRPr="0032251D">
        <w:rPr>
          <w:rFonts w:ascii="Aptos" w:eastAsia="Times New Roman" w:hAnsi="Aptos" w:cs="Times New Roman"/>
          <w:kern w:val="0"/>
          <w:sz w:val="22"/>
          <w:szCs w:val="22"/>
          <w:lang w:eastAsia="en-GB"/>
          <w14:ligatures w14:val="none"/>
        </w:rPr>
        <w:t>: extreme regime variation; FX-dominant; equity often retail-driven</w:t>
      </w:r>
    </w:p>
    <w:p w14:paraId="0B0E894E" w14:textId="77777777" w:rsidR="0032251D" w:rsidRPr="0032251D" w:rsidRDefault="0032251D">
      <w:pPr>
        <w:numPr>
          <w:ilvl w:val="0"/>
          <w:numId w:val="14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China</w:t>
      </w:r>
      <w:r w:rsidRPr="0032251D">
        <w:rPr>
          <w:rFonts w:ascii="Aptos" w:eastAsia="Times New Roman" w:hAnsi="Aptos" w:cs="Times New Roman"/>
          <w:kern w:val="0"/>
          <w:sz w:val="22"/>
          <w:szCs w:val="22"/>
          <w:lang w:eastAsia="en-GB"/>
          <w14:ligatures w14:val="none"/>
        </w:rPr>
        <w:t>: opaque price discovery; capital account restrictions complicate cross-border flow; offshore vs onshore market dual structure</w:t>
      </w:r>
    </w:p>
    <w:p w14:paraId="47B6327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SA specifically.</w:t>
      </w:r>
    </w:p>
    <w:p w14:paraId="33BB548D" w14:textId="77777777" w:rsidR="0032251D" w:rsidRPr="0032251D" w:rsidRDefault="0032251D">
      <w:pPr>
        <w:numPr>
          <w:ilvl w:val="0"/>
          <w:numId w:val="14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JSE All Share / Top 40</w:t>
      </w:r>
      <w:r w:rsidRPr="0032251D">
        <w:rPr>
          <w:rFonts w:ascii="Aptos" w:eastAsia="Times New Roman" w:hAnsi="Aptos" w:cs="Times New Roman"/>
          <w:kern w:val="0"/>
          <w:sz w:val="22"/>
          <w:szCs w:val="22"/>
          <w:lang w:eastAsia="en-GB"/>
          <w14:ligatures w14:val="none"/>
        </w:rPr>
        <w:t xml:space="preserve">: concentrated index, dominated by: </w:t>
      </w:r>
    </w:p>
    <w:p w14:paraId="34A78415" w14:textId="77777777" w:rsidR="0032251D" w:rsidRPr="0032251D" w:rsidRDefault="0032251D">
      <w:pPr>
        <w:numPr>
          <w:ilvl w:val="1"/>
          <w:numId w:val="14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Naspers/</w:t>
      </w:r>
      <w:proofErr w:type="spellStart"/>
      <w:r w:rsidRPr="0032251D">
        <w:rPr>
          <w:rFonts w:ascii="Aptos" w:eastAsia="Times New Roman" w:hAnsi="Aptos" w:cs="Times New Roman"/>
          <w:kern w:val="0"/>
          <w:sz w:val="22"/>
          <w:szCs w:val="22"/>
          <w:lang w:eastAsia="en-GB"/>
          <w14:ligatures w14:val="none"/>
        </w:rPr>
        <w:t>Prosus</w:t>
      </w:r>
      <w:proofErr w:type="spellEnd"/>
      <w:r w:rsidRPr="0032251D">
        <w:rPr>
          <w:rFonts w:ascii="Aptos" w:eastAsia="Times New Roman" w:hAnsi="Aptos" w:cs="Times New Roman"/>
          <w:kern w:val="0"/>
          <w:sz w:val="22"/>
          <w:szCs w:val="22"/>
          <w:lang w:eastAsia="en-GB"/>
          <w14:ligatures w14:val="none"/>
        </w:rPr>
        <w:t xml:space="preserve"> (single-stock concentration ~20%+ of top 40 historically; Tencent exposure)</w:t>
      </w:r>
    </w:p>
    <w:p w14:paraId="1982F1D2" w14:textId="77777777" w:rsidR="0032251D" w:rsidRPr="0032251D" w:rsidRDefault="0032251D">
      <w:pPr>
        <w:numPr>
          <w:ilvl w:val="1"/>
          <w:numId w:val="14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Mining majors (Anglo American, BHP, Glencore — primary listing or significant)</w:t>
      </w:r>
    </w:p>
    <w:p w14:paraId="4F83D71C" w14:textId="77777777" w:rsidR="0032251D" w:rsidRPr="0032251D" w:rsidRDefault="0032251D">
      <w:pPr>
        <w:numPr>
          <w:ilvl w:val="1"/>
          <w:numId w:val="14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Financials (Standard Bank, FirstRand, Absa, Nedbank, Capitec)</w:t>
      </w:r>
    </w:p>
    <w:p w14:paraId="0FE03480" w14:textId="77777777" w:rsidR="0032251D" w:rsidRPr="0032251D" w:rsidRDefault="0032251D">
      <w:pPr>
        <w:numPr>
          <w:ilvl w:val="1"/>
          <w:numId w:val="14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Industrials and consumer (Bidvest, Shoprite, Sasol)</w:t>
      </w:r>
    </w:p>
    <w:p w14:paraId="274AD87C" w14:textId="77777777" w:rsidR="0032251D" w:rsidRPr="0032251D" w:rsidRDefault="0032251D">
      <w:pPr>
        <w:numPr>
          <w:ilvl w:val="0"/>
          <w:numId w:val="14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Limited single-stock domestic exposure</w:t>
      </w:r>
      <w:r w:rsidRPr="0032251D">
        <w:rPr>
          <w:rFonts w:ascii="Aptos" w:eastAsia="Times New Roman" w:hAnsi="Aptos" w:cs="Times New Roman"/>
          <w:kern w:val="0"/>
          <w:sz w:val="22"/>
          <w:szCs w:val="22"/>
          <w:lang w:eastAsia="en-GB"/>
          <w14:ligatures w14:val="none"/>
        </w:rPr>
        <w:t>: JSE composition means SA equity index is partly a global commodity and tech proxy rather than a pure SA economic exposure</w:t>
      </w:r>
    </w:p>
    <w:p w14:paraId="7D5FD98C" w14:textId="77777777" w:rsidR="0032251D" w:rsidRPr="0032251D" w:rsidRDefault="0032251D">
      <w:pPr>
        <w:numPr>
          <w:ilvl w:val="0"/>
          <w:numId w:val="14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SAGB market</w:t>
      </w:r>
      <w:r w:rsidRPr="0032251D">
        <w:rPr>
          <w:rFonts w:ascii="Aptos" w:eastAsia="Times New Roman" w:hAnsi="Aptos" w:cs="Times New Roman"/>
          <w:kern w:val="0"/>
          <w:sz w:val="22"/>
          <w:szCs w:val="22"/>
          <w:lang w:eastAsia="en-GB"/>
          <w14:ligatures w14:val="none"/>
        </w:rPr>
        <w:t xml:space="preserve">: R2030, R2035, R2040, R2048 as benchmark issues; foreign holder </w:t>
      </w:r>
      <w:proofErr w:type="gramStart"/>
      <w:r w:rsidRPr="0032251D">
        <w:rPr>
          <w:rFonts w:ascii="Aptos" w:eastAsia="Times New Roman" w:hAnsi="Aptos" w:cs="Times New Roman"/>
          <w:kern w:val="0"/>
          <w:sz w:val="22"/>
          <w:szCs w:val="22"/>
          <w:lang w:eastAsia="en-GB"/>
          <w14:ligatures w14:val="none"/>
        </w:rPr>
        <w:t>share</w:t>
      </w:r>
      <w:proofErr w:type="gramEnd"/>
      <w:r w:rsidRPr="0032251D">
        <w:rPr>
          <w:rFonts w:ascii="Aptos" w:eastAsia="Times New Roman" w:hAnsi="Aptos" w:cs="Times New Roman"/>
          <w:kern w:val="0"/>
          <w:sz w:val="22"/>
          <w:szCs w:val="22"/>
          <w:lang w:eastAsia="en-GB"/>
          <w14:ligatures w14:val="none"/>
        </w:rPr>
        <w:t xml:space="preserve"> volatile (peaked 40%+, fell to ~20%)</w:t>
      </w:r>
    </w:p>
    <w:p w14:paraId="6129BB28" w14:textId="77777777" w:rsidR="0032251D" w:rsidRPr="0032251D" w:rsidRDefault="0032251D">
      <w:pPr>
        <w:numPr>
          <w:ilvl w:val="0"/>
          <w:numId w:val="14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ZAR cross-rates</w:t>
      </w:r>
      <w:r w:rsidRPr="0032251D">
        <w:rPr>
          <w:rFonts w:ascii="Aptos" w:eastAsia="Times New Roman" w:hAnsi="Aptos" w:cs="Times New Roman"/>
          <w:kern w:val="0"/>
          <w:sz w:val="22"/>
          <w:szCs w:val="22"/>
          <w:lang w:eastAsia="en-GB"/>
          <w14:ligatures w14:val="none"/>
        </w:rPr>
        <w:t>: deep G10/EM crosses, $50bn/day liquidity, used as EM macro proxy</w:t>
      </w:r>
    </w:p>
    <w:p w14:paraId="18FDCB92" w14:textId="77777777" w:rsidR="0032251D" w:rsidRPr="0032251D" w:rsidRDefault="0032251D">
      <w:pPr>
        <w:numPr>
          <w:ilvl w:val="0"/>
          <w:numId w:val="14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Limited SA credit market</w:t>
      </w:r>
      <w:r w:rsidRPr="0032251D">
        <w:rPr>
          <w:rFonts w:ascii="Aptos" w:eastAsia="Times New Roman" w:hAnsi="Aptos" w:cs="Times New Roman"/>
          <w:kern w:val="0"/>
          <w:sz w:val="22"/>
          <w:szCs w:val="22"/>
          <w:lang w:eastAsia="en-GB"/>
          <w14:ligatures w14:val="none"/>
        </w:rPr>
        <w:t>: corporate bond market thin; mostly bank-issued or quasi-sovereign (Eskom, Transnet — heavily distressed historically)</w:t>
      </w:r>
    </w:p>
    <w:p w14:paraId="5B7751F1" w14:textId="77777777" w:rsidR="0032251D" w:rsidRPr="0032251D" w:rsidRDefault="0032251D">
      <w:pPr>
        <w:numPr>
          <w:ilvl w:val="0"/>
          <w:numId w:val="14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Property sector</w:t>
      </w:r>
      <w:r w:rsidRPr="0032251D">
        <w:rPr>
          <w:rFonts w:ascii="Aptos" w:eastAsia="Times New Roman" w:hAnsi="Aptos" w:cs="Times New Roman"/>
          <w:kern w:val="0"/>
          <w:sz w:val="22"/>
          <w:szCs w:val="22"/>
          <w:lang w:eastAsia="en-GB"/>
          <w14:ligatures w14:val="none"/>
        </w:rPr>
        <w:t>: listed REITs (Growthpoint, Redefine, Hyprop) provide property proxy but face structural challenges (high vacancies, low growth)</w:t>
      </w:r>
    </w:p>
    <w:p w14:paraId="0B8F6358" w14:textId="77777777" w:rsidR="0032251D" w:rsidRPr="0032251D" w:rsidRDefault="0032251D">
      <w:pPr>
        <w:numPr>
          <w:ilvl w:val="0"/>
          <w:numId w:val="14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Foreign vs domestic positioning</w:t>
      </w:r>
      <w:r w:rsidRPr="0032251D">
        <w:rPr>
          <w:rFonts w:ascii="Aptos" w:eastAsia="Times New Roman" w:hAnsi="Aptos" w:cs="Times New Roman"/>
          <w:kern w:val="0"/>
          <w:sz w:val="22"/>
          <w:szCs w:val="22"/>
          <w:lang w:eastAsia="en-GB"/>
          <w14:ligatures w14:val="none"/>
        </w:rPr>
        <w:t>: PIC dominates domestic; foreign investors active in SAGBs, top JSE names, and ZAR</w:t>
      </w:r>
    </w:p>
    <w:p w14:paraId="16E2E3D0" w14:textId="77777777" w:rsidR="0032251D" w:rsidRPr="0032251D" w:rsidRDefault="0032251D">
      <w:pPr>
        <w:numPr>
          <w:ilvl w:val="0"/>
          <w:numId w:val="14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Cross-asset SA-specific patterns</w:t>
      </w:r>
      <w:r w:rsidRPr="0032251D">
        <w:rPr>
          <w:rFonts w:ascii="Aptos" w:eastAsia="Times New Roman" w:hAnsi="Aptos" w:cs="Times New Roman"/>
          <w:kern w:val="0"/>
          <w:sz w:val="22"/>
          <w:szCs w:val="22"/>
          <w:lang w:eastAsia="en-GB"/>
          <w14:ligatures w14:val="none"/>
        </w:rPr>
        <w:t>: ZAR-SAGB correlation; gold-mining beta; commodity-currency loops</w:t>
      </w:r>
    </w:p>
    <w:p w14:paraId="194A68E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For the L9 node in the SA dissonance framework, the key features are: (1) JSE concentration means equity "domestic" exposure is partly global commodity/tech exposure; (2) SAGB foreign investor share dynamics drive both discount rate and risk premium volatility; (3) ZAR is the cleanest single SA L9 exposure for macro positioning; (4) limited SA credit market means credit channel is underdeveloped in the framework; (5) PIC concentration creates flow-driven price dynamics not present in deeper markets.</w:t>
      </w:r>
    </w:p>
    <w:p w14:paraId="56A7EEB7"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0308F4C9">
          <v:rect id="_x0000_i1140" alt="" style="width:451.3pt;height:.05pt;mso-width-percent:0;mso-height-percent:0;mso-width-percent:0;mso-height-percent:0" o:hralign="center" o:hrstd="t" o:hr="t" fillcolor="#a0a0a0" stroked="f"/>
        </w:pict>
      </w:r>
    </w:p>
    <w:p w14:paraId="037DB92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lastRenderedPageBreak/>
        <w:t>Sub-node: Measurement choices</w:t>
      </w:r>
    </w:p>
    <w:p w14:paraId="0935ACE5"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Cross-asset positioning data.</w:t>
      </w:r>
    </w:p>
    <w:p w14:paraId="6B3693D9" w14:textId="77777777" w:rsidR="0032251D" w:rsidRPr="0032251D" w:rsidRDefault="0032251D">
      <w:pPr>
        <w:numPr>
          <w:ilvl w:val="0"/>
          <w:numId w:val="15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CFTC Commitments of Traders (</w:t>
      </w:r>
      <w:proofErr w:type="spellStart"/>
      <w:r w:rsidRPr="0032251D">
        <w:rPr>
          <w:rFonts w:ascii="Aptos" w:eastAsia="Times New Roman" w:hAnsi="Aptos" w:cs="Times New Roman"/>
          <w:kern w:val="0"/>
          <w:sz w:val="22"/>
          <w:szCs w:val="22"/>
          <w:lang w:eastAsia="en-GB"/>
          <w14:ligatures w14:val="none"/>
        </w:rPr>
        <w:t>CoT</w:t>
      </w:r>
      <w:proofErr w:type="spellEnd"/>
      <w:r w:rsidRPr="0032251D">
        <w:rPr>
          <w:rFonts w:ascii="Aptos" w:eastAsia="Times New Roman" w:hAnsi="Aptos" w:cs="Times New Roman"/>
          <w:kern w:val="0"/>
          <w:sz w:val="22"/>
          <w:szCs w:val="22"/>
          <w:lang w:eastAsia="en-GB"/>
          <w14:ligatures w14:val="none"/>
        </w:rPr>
        <w:t>): futures positioning across asset classes</w:t>
      </w:r>
    </w:p>
    <w:p w14:paraId="27D2D0B0" w14:textId="77777777" w:rsidR="0032251D" w:rsidRPr="0032251D" w:rsidRDefault="0032251D">
      <w:pPr>
        <w:numPr>
          <w:ilvl w:val="0"/>
          <w:numId w:val="15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EPFR fund flows: equity and bond fund allocations</w:t>
      </w:r>
    </w:p>
    <w:p w14:paraId="5D9CB625" w14:textId="77777777" w:rsidR="0032251D" w:rsidRPr="0032251D" w:rsidRDefault="0032251D">
      <w:pPr>
        <w:numPr>
          <w:ilvl w:val="0"/>
          <w:numId w:val="15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ICI mutual fund data: US household-driven flows</w:t>
      </w:r>
    </w:p>
    <w:p w14:paraId="60048AD9" w14:textId="77777777" w:rsidR="0032251D" w:rsidRPr="0032251D" w:rsidRDefault="0032251D">
      <w:pPr>
        <w:numPr>
          <w:ilvl w:val="0"/>
          <w:numId w:val="15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TIC data: cross-border portfolio flows into US assets</w:t>
      </w:r>
    </w:p>
    <w:p w14:paraId="294F85C5" w14:textId="77777777" w:rsidR="0032251D" w:rsidRPr="0032251D" w:rsidRDefault="0032251D">
      <w:pPr>
        <w:numPr>
          <w:ilvl w:val="0"/>
          <w:numId w:val="15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BIS banking statistics: cross-border bank exposures</w:t>
      </w:r>
    </w:p>
    <w:p w14:paraId="6ACB8F5C" w14:textId="77777777" w:rsidR="0032251D" w:rsidRPr="0032251D" w:rsidRDefault="0032251D">
      <w:pPr>
        <w:numPr>
          <w:ilvl w:val="0"/>
          <w:numId w:val="15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Bloomberg consensus positioning surveys</w:t>
      </w:r>
    </w:p>
    <w:p w14:paraId="1E47B07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Correlation matrix estimation.</w:t>
      </w:r>
      <w:r w:rsidRPr="0032251D">
        <w:rPr>
          <w:rFonts w:ascii="Aptos" w:eastAsia="Times New Roman" w:hAnsi="Aptos" w:cs="Times New Roman"/>
          <w:kern w:val="0"/>
          <w:sz w:val="22"/>
          <w:szCs w:val="22"/>
          <w:lang w:eastAsia="en-GB"/>
          <w14:ligatures w14:val="none"/>
        </w:rPr>
        <w:t xml:space="preserve"> Empirical challenges include:</w:t>
      </w:r>
    </w:p>
    <w:p w14:paraId="3F4A6CD3" w14:textId="77777777" w:rsidR="0032251D" w:rsidRPr="0032251D" w:rsidRDefault="0032251D">
      <w:pPr>
        <w:numPr>
          <w:ilvl w:val="0"/>
          <w:numId w:val="15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Sample length</w:t>
      </w:r>
      <w:r w:rsidRPr="0032251D">
        <w:rPr>
          <w:rFonts w:ascii="Aptos" w:eastAsia="Times New Roman" w:hAnsi="Aptos" w:cs="Times New Roman"/>
          <w:kern w:val="0"/>
          <w:sz w:val="22"/>
          <w:szCs w:val="22"/>
          <w:lang w:eastAsia="en-GB"/>
          <w14:ligatures w14:val="none"/>
        </w:rPr>
        <w:t>: short window captures regime; long window averages across regimes</w:t>
      </w:r>
    </w:p>
    <w:p w14:paraId="253DA416" w14:textId="77777777" w:rsidR="0032251D" w:rsidRPr="0032251D" w:rsidRDefault="0032251D">
      <w:pPr>
        <w:numPr>
          <w:ilvl w:val="0"/>
          <w:numId w:val="15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Frequency</w:t>
      </w:r>
      <w:r w:rsidRPr="0032251D">
        <w:rPr>
          <w:rFonts w:ascii="Aptos" w:eastAsia="Times New Roman" w:hAnsi="Aptos" w:cs="Times New Roman"/>
          <w:kern w:val="0"/>
          <w:sz w:val="22"/>
          <w:szCs w:val="22"/>
          <w:lang w:eastAsia="en-GB"/>
          <w14:ligatures w14:val="none"/>
        </w:rPr>
        <w:t>: daily, weekly, monthly give different correlation structures</w:t>
      </w:r>
    </w:p>
    <w:p w14:paraId="48CC93C4" w14:textId="77777777" w:rsidR="0032251D" w:rsidRPr="0032251D" w:rsidRDefault="0032251D">
      <w:pPr>
        <w:numPr>
          <w:ilvl w:val="0"/>
          <w:numId w:val="15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Rolling vs static</w:t>
      </w:r>
      <w:r w:rsidRPr="0032251D">
        <w:rPr>
          <w:rFonts w:ascii="Aptos" w:eastAsia="Times New Roman" w:hAnsi="Aptos" w:cs="Times New Roman"/>
          <w:kern w:val="0"/>
          <w:sz w:val="22"/>
          <w:szCs w:val="22"/>
          <w:lang w:eastAsia="en-GB"/>
          <w14:ligatures w14:val="none"/>
        </w:rPr>
        <w:t>: regime-conditional correlations require rolling estimation</w:t>
      </w:r>
    </w:p>
    <w:p w14:paraId="6B4DB3BF" w14:textId="77777777" w:rsidR="0032251D" w:rsidRPr="0032251D" w:rsidRDefault="0032251D">
      <w:pPr>
        <w:numPr>
          <w:ilvl w:val="0"/>
          <w:numId w:val="15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Robust estimation</w:t>
      </w:r>
      <w:r w:rsidRPr="0032251D">
        <w:rPr>
          <w:rFonts w:ascii="Aptos" w:eastAsia="Times New Roman" w:hAnsi="Aptos" w:cs="Times New Roman"/>
          <w:kern w:val="0"/>
          <w:sz w:val="22"/>
          <w:szCs w:val="22"/>
          <w:lang w:eastAsia="en-GB"/>
          <w14:ligatures w14:val="none"/>
        </w:rPr>
        <w:t xml:space="preserve">: outliers (single crisis days) can dominate correlation estimates; </w:t>
      </w:r>
      <w:proofErr w:type="spellStart"/>
      <w:r w:rsidRPr="0032251D">
        <w:rPr>
          <w:rFonts w:ascii="Aptos" w:eastAsia="Times New Roman" w:hAnsi="Aptos" w:cs="Times New Roman"/>
          <w:kern w:val="0"/>
          <w:sz w:val="22"/>
          <w:szCs w:val="22"/>
          <w:lang w:eastAsia="en-GB"/>
          <w14:ligatures w14:val="none"/>
        </w:rPr>
        <w:t>Ledoit</w:t>
      </w:r>
      <w:proofErr w:type="spellEnd"/>
      <w:r w:rsidRPr="0032251D">
        <w:rPr>
          <w:rFonts w:ascii="Aptos" w:eastAsia="Times New Roman" w:hAnsi="Aptos" w:cs="Times New Roman"/>
          <w:kern w:val="0"/>
          <w:sz w:val="22"/>
          <w:szCs w:val="22"/>
          <w:lang w:eastAsia="en-GB"/>
          <w14:ligatures w14:val="none"/>
        </w:rPr>
        <w:t>-Wolf shrinkage and other robust methods address this</w:t>
      </w:r>
    </w:p>
    <w:p w14:paraId="1EF595A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Factor exposure analysis.</w:t>
      </w:r>
    </w:p>
    <w:p w14:paraId="4E7B1DD4" w14:textId="77777777" w:rsidR="0032251D" w:rsidRPr="0032251D" w:rsidRDefault="0032251D">
      <w:pPr>
        <w:numPr>
          <w:ilvl w:val="0"/>
          <w:numId w:val="15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Style factors: value, growth, momentum, quality, low-vol (Barra, MSCI, Bloomberg models)</w:t>
      </w:r>
    </w:p>
    <w:p w14:paraId="64343903" w14:textId="77777777" w:rsidR="0032251D" w:rsidRPr="0032251D" w:rsidRDefault="0032251D">
      <w:pPr>
        <w:numPr>
          <w:ilvl w:val="0"/>
          <w:numId w:val="15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Macro factors: rates, credit, FX, commodities, inflation</w:t>
      </w:r>
    </w:p>
    <w:p w14:paraId="427C109D" w14:textId="77777777" w:rsidR="0032251D" w:rsidRPr="0032251D" w:rsidRDefault="0032251D">
      <w:pPr>
        <w:numPr>
          <w:ilvl w:val="0"/>
          <w:numId w:val="15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Statistical factors: PCA-extracted common variance</w:t>
      </w:r>
    </w:p>
    <w:p w14:paraId="2C963FC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Risk regime classification.</w:t>
      </w:r>
    </w:p>
    <w:p w14:paraId="1B19D950" w14:textId="77777777" w:rsidR="0032251D" w:rsidRPr="0032251D" w:rsidRDefault="0032251D">
      <w:pPr>
        <w:numPr>
          <w:ilvl w:val="0"/>
          <w:numId w:val="15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VIX regimes (low / normal / elevated / stress)</w:t>
      </w:r>
    </w:p>
    <w:p w14:paraId="49B29CFE" w14:textId="77777777" w:rsidR="0032251D" w:rsidRPr="0032251D" w:rsidRDefault="0032251D">
      <w:pPr>
        <w:numPr>
          <w:ilvl w:val="0"/>
          <w:numId w:val="15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VIX term structure (contango / backwardation)</w:t>
      </w:r>
    </w:p>
    <w:p w14:paraId="643D8853" w14:textId="77777777" w:rsidR="0032251D" w:rsidRPr="0032251D" w:rsidRDefault="0032251D">
      <w:pPr>
        <w:numPr>
          <w:ilvl w:val="0"/>
          <w:numId w:val="15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MOVE regimes (rates vol)</w:t>
      </w:r>
    </w:p>
    <w:p w14:paraId="27A3C001" w14:textId="77777777" w:rsidR="0032251D" w:rsidRPr="0032251D" w:rsidRDefault="0032251D">
      <w:pPr>
        <w:numPr>
          <w:ilvl w:val="0"/>
          <w:numId w:val="15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Cross-asset volatility composite (equity vol + rates vol + FX vol + credit spread vol)</w:t>
      </w:r>
    </w:p>
    <w:p w14:paraId="5009B6C3" w14:textId="77777777" w:rsidR="0032251D" w:rsidRPr="0032251D" w:rsidRDefault="0032251D">
      <w:pPr>
        <w:numPr>
          <w:ilvl w:val="0"/>
          <w:numId w:val="15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Hidden Markov models for regime identification</w:t>
      </w:r>
    </w:p>
    <w:p w14:paraId="1FB52CDC" w14:textId="77777777" w:rsidR="0032251D" w:rsidRPr="0032251D" w:rsidRDefault="0032251D">
      <w:pPr>
        <w:numPr>
          <w:ilvl w:val="0"/>
          <w:numId w:val="15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PCA on cross-asset returns to extract risk-on/risk-off factor</w:t>
      </w:r>
    </w:p>
    <w:p w14:paraId="0486BB7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Dispersion measures.</w:t>
      </w:r>
    </w:p>
    <w:p w14:paraId="3FD32311" w14:textId="77777777" w:rsidR="0032251D" w:rsidRPr="0032251D" w:rsidRDefault="0032251D">
      <w:pPr>
        <w:numPr>
          <w:ilvl w:val="0"/>
          <w:numId w:val="15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Implied correlation indices (CBOE Implied Correlation Index)</w:t>
      </w:r>
    </w:p>
    <w:p w14:paraId="21F524A9" w14:textId="77777777" w:rsidR="0032251D" w:rsidRPr="0032251D" w:rsidRDefault="0032251D">
      <w:pPr>
        <w:numPr>
          <w:ilvl w:val="0"/>
          <w:numId w:val="15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Realised vs implied correlation gap</w:t>
      </w:r>
    </w:p>
    <w:p w14:paraId="548C26EF" w14:textId="77777777" w:rsidR="0032251D" w:rsidRPr="0032251D" w:rsidRDefault="0032251D">
      <w:pPr>
        <w:numPr>
          <w:ilvl w:val="0"/>
          <w:numId w:val="15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Sector dispersion within indices</w:t>
      </w:r>
    </w:p>
    <w:p w14:paraId="1FBE79DD" w14:textId="77777777" w:rsidR="0032251D" w:rsidRPr="0032251D" w:rsidRDefault="0032251D">
      <w:pPr>
        <w:numPr>
          <w:ilvl w:val="0"/>
          <w:numId w:val="15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Cross-country dispersion within EM</w:t>
      </w:r>
    </w:p>
    <w:p w14:paraId="6955E15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Liquidity measures.</w:t>
      </w:r>
    </w:p>
    <w:p w14:paraId="1EB36A9A" w14:textId="77777777" w:rsidR="0032251D" w:rsidRPr="0032251D" w:rsidRDefault="0032251D">
      <w:pPr>
        <w:numPr>
          <w:ilvl w:val="0"/>
          <w:numId w:val="15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Bid-ask spreads</w:t>
      </w:r>
    </w:p>
    <w:p w14:paraId="640D6A2A" w14:textId="77777777" w:rsidR="0032251D" w:rsidRPr="0032251D" w:rsidRDefault="0032251D">
      <w:pPr>
        <w:numPr>
          <w:ilvl w:val="0"/>
          <w:numId w:val="15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Market depth at touch</w:t>
      </w:r>
    </w:p>
    <w:p w14:paraId="71AEAD63" w14:textId="77777777" w:rsidR="0032251D" w:rsidRPr="0032251D" w:rsidRDefault="0032251D">
      <w:pPr>
        <w:numPr>
          <w:ilvl w:val="0"/>
          <w:numId w:val="155"/>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32251D">
        <w:rPr>
          <w:rFonts w:ascii="Aptos" w:eastAsia="Times New Roman" w:hAnsi="Aptos" w:cs="Times New Roman"/>
          <w:kern w:val="0"/>
          <w:sz w:val="22"/>
          <w:szCs w:val="22"/>
          <w:lang w:eastAsia="en-GB"/>
          <w14:ligatures w14:val="none"/>
        </w:rPr>
        <w:t>Amihud</w:t>
      </w:r>
      <w:proofErr w:type="spellEnd"/>
      <w:r w:rsidRPr="0032251D">
        <w:rPr>
          <w:rFonts w:ascii="Aptos" w:eastAsia="Times New Roman" w:hAnsi="Aptos" w:cs="Times New Roman"/>
          <w:kern w:val="0"/>
          <w:sz w:val="22"/>
          <w:szCs w:val="22"/>
          <w:lang w:eastAsia="en-GB"/>
          <w14:ligatures w14:val="none"/>
        </w:rPr>
        <w:t xml:space="preserve"> illiquidity measure</w:t>
      </w:r>
    </w:p>
    <w:p w14:paraId="553EB0E4" w14:textId="77777777" w:rsidR="0032251D" w:rsidRPr="0032251D" w:rsidRDefault="0032251D">
      <w:pPr>
        <w:numPr>
          <w:ilvl w:val="0"/>
          <w:numId w:val="15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TRACE for credit market liquidity</w:t>
      </w:r>
    </w:p>
    <w:p w14:paraId="6114F351" w14:textId="77777777" w:rsidR="0032251D" w:rsidRPr="0032251D" w:rsidRDefault="0032251D">
      <w:pPr>
        <w:numPr>
          <w:ilvl w:val="0"/>
          <w:numId w:val="15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Volume-weighted average price (VWAP) deviation</w:t>
      </w:r>
    </w:p>
    <w:p w14:paraId="7BC7581E"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41FB6063">
          <v:rect id="_x0000_i1141" alt="" style="width:451.3pt;height:.05pt;mso-width-percent:0;mso-height-percent:0;mso-width-percent:0;mso-height-percent:0" o:hralign="center" o:hrstd="t" o:hr="t" fillcolor="#a0a0a0" stroked="f"/>
        </w:pict>
      </w:r>
    </w:p>
    <w:p w14:paraId="298C741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lastRenderedPageBreak/>
        <w:t>Sub-node: Where dissonance lives</w:t>
      </w:r>
    </w:p>
    <w:p w14:paraId="0C4EF75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Within L9:</w:t>
      </w:r>
    </w:p>
    <w:p w14:paraId="4C74968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Intra-node.</w:t>
      </w:r>
      <w:r w:rsidRPr="0032251D">
        <w:rPr>
          <w:rFonts w:ascii="Aptos" w:eastAsia="Times New Roman" w:hAnsi="Aptos" w:cs="Times New Roman"/>
          <w:kern w:val="0"/>
          <w:sz w:val="22"/>
          <w:szCs w:val="22"/>
          <w:lang w:eastAsia="en-GB"/>
          <w14:ligatures w14:val="none"/>
        </w:rPr>
        <w:t xml:space="preserve"> L9 sub-components should move consistently with the regime narrative implied by upstream framework nodes. Dissonance fires when:</w:t>
      </w:r>
    </w:p>
    <w:p w14:paraId="2FBFC0E4" w14:textId="77777777" w:rsidR="0032251D" w:rsidRPr="0032251D" w:rsidRDefault="0032251D">
      <w:pPr>
        <w:numPr>
          <w:ilvl w:val="0"/>
          <w:numId w:val="15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Cross-asset correlation breakdown.</w:t>
      </w:r>
      <w:r w:rsidRPr="0032251D">
        <w:rPr>
          <w:rFonts w:ascii="Aptos" w:eastAsia="Times New Roman" w:hAnsi="Aptos" w:cs="Times New Roman"/>
          <w:kern w:val="0"/>
          <w:sz w:val="22"/>
          <w:szCs w:val="22"/>
          <w:lang w:eastAsia="en-GB"/>
          <w14:ligatures w14:val="none"/>
        </w:rPr>
        <w:t xml:space="preserve"> Risk assets all selling together while </w:t>
      </w:r>
      <w:proofErr w:type="gramStart"/>
      <w:r w:rsidRPr="0032251D">
        <w:rPr>
          <w:rFonts w:ascii="Aptos" w:eastAsia="Times New Roman" w:hAnsi="Aptos" w:cs="Times New Roman"/>
          <w:kern w:val="0"/>
          <w:sz w:val="22"/>
          <w:szCs w:val="22"/>
          <w:lang w:eastAsia="en-GB"/>
          <w14:ligatures w14:val="none"/>
        </w:rPr>
        <w:t>safe haven</w:t>
      </w:r>
      <w:proofErr w:type="gramEnd"/>
      <w:r w:rsidRPr="0032251D">
        <w:rPr>
          <w:rFonts w:ascii="Aptos" w:eastAsia="Times New Roman" w:hAnsi="Aptos" w:cs="Times New Roman"/>
          <w:kern w:val="0"/>
          <w:sz w:val="22"/>
          <w:szCs w:val="22"/>
          <w:lang w:eastAsia="en-GB"/>
          <w14:ligatures w14:val="none"/>
        </w:rPr>
        <w:t xml:space="preserve"> assets do not rally — the "everything sells off" stress pattern; signals liquidity-driven rather than risk-driven repricing.</w:t>
      </w:r>
    </w:p>
    <w:p w14:paraId="6A57AA5D" w14:textId="77777777" w:rsidR="0032251D" w:rsidRPr="0032251D" w:rsidRDefault="0032251D">
      <w:pPr>
        <w:numPr>
          <w:ilvl w:val="0"/>
          <w:numId w:val="15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Equity-bond correlation regime shift.</w:t>
      </w:r>
      <w:r w:rsidRPr="0032251D">
        <w:rPr>
          <w:rFonts w:ascii="Aptos" w:eastAsia="Times New Roman" w:hAnsi="Aptos" w:cs="Times New Roman"/>
          <w:kern w:val="0"/>
          <w:sz w:val="22"/>
          <w:szCs w:val="22"/>
          <w:lang w:eastAsia="en-GB"/>
          <w14:ligatures w14:val="none"/>
        </w:rPr>
        <w:t xml:space="preserve"> The standard negative equity-bond correlation flipping to positive — signals a regime change (typically inflation risk premium dominating </w:t>
      </w:r>
      <w:proofErr w:type="gramStart"/>
      <w:r w:rsidRPr="0032251D">
        <w:rPr>
          <w:rFonts w:ascii="Aptos" w:eastAsia="Times New Roman" w:hAnsi="Aptos" w:cs="Times New Roman"/>
          <w:kern w:val="0"/>
          <w:sz w:val="22"/>
          <w:szCs w:val="22"/>
          <w:lang w:eastAsia="en-GB"/>
          <w14:ligatures w14:val="none"/>
        </w:rPr>
        <w:t>over growth</w:t>
      </w:r>
      <w:proofErr w:type="gramEnd"/>
      <w:r w:rsidRPr="0032251D">
        <w:rPr>
          <w:rFonts w:ascii="Aptos" w:eastAsia="Times New Roman" w:hAnsi="Aptos" w:cs="Times New Roman"/>
          <w:kern w:val="0"/>
          <w:sz w:val="22"/>
          <w:szCs w:val="22"/>
          <w:lang w:eastAsia="en-GB"/>
          <w14:ligatures w14:val="none"/>
        </w:rPr>
        <w:t xml:space="preserve"> risk premium). The 2022 episode was a canonical example.</w:t>
      </w:r>
    </w:p>
    <w:p w14:paraId="402FB330" w14:textId="77777777" w:rsidR="0032251D" w:rsidRPr="0032251D" w:rsidRDefault="0032251D">
      <w:pPr>
        <w:numPr>
          <w:ilvl w:val="0"/>
          <w:numId w:val="15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Within-asset-class dispersion divergence.</w:t>
      </w:r>
      <w:r w:rsidRPr="0032251D">
        <w:rPr>
          <w:rFonts w:ascii="Aptos" w:eastAsia="Times New Roman" w:hAnsi="Aptos" w:cs="Times New Roman"/>
          <w:kern w:val="0"/>
          <w:sz w:val="22"/>
          <w:szCs w:val="22"/>
          <w:lang w:eastAsia="en-GB"/>
          <w14:ligatures w14:val="none"/>
        </w:rPr>
        <w:t xml:space="preserve"> Index level stable while internal dispersion (sector spread, single-stock spread) rises — signals concentrated stress within otherwise calm headline.</w:t>
      </w:r>
    </w:p>
    <w:p w14:paraId="00FA0684" w14:textId="77777777" w:rsidR="0032251D" w:rsidRPr="0032251D" w:rsidRDefault="0032251D">
      <w:pPr>
        <w:numPr>
          <w:ilvl w:val="0"/>
          <w:numId w:val="15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Cross-country EM divergence.</w:t>
      </w:r>
      <w:r w:rsidRPr="0032251D">
        <w:rPr>
          <w:rFonts w:ascii="Aptos" w:eastAsia="Times New Roman" w:hAnsi="Aptos" w:cs="Times New Roman"/>
          <w:kern w:val="0"/>
          <w:sz w:val="22"/>
          <w:szCs w:val="22"/>
          <w:lang w:eastAsia="en-GB"/>
          <w14:ligatures w14:val="none"/>
        </w:rPr>
        <w:t xml:space="preserve"> Brazil equities rallying while South African equities sell off — signals country-specific factors dominating EM-broad factors (potentially informative about local framework dissonance).</w:t>
      </w:r>
    </w:p>
    <w:p w14:paraId="12D8B3C6" w14:textId="77777777" w:rsidR="0032251D" w:rsidRPr="0032251D" w:rsidRDefault="0032251D">
      <w:pPr>
        <w:numPr>
          <w:ilvl w:val="0"/>
          <w:numId w:val="15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Spot vs derivatives divergence.</w:t>
      </w:r>
      <w:r w:rsidRPr="0032251D">
        <w:rPr>
          <w:rFonts w:ascii="Aptos" w:eastAsia="Times New Roman" w:hAnsi="Aptos" w:cs="Times New Roman"/>
          <w:kern w:val="0"/>
          <w:sz w:val="22"/>
          <w:szCs w:val="22"/>
          <w:lang w:eastAsia="en-GB"/>
          <w14:ligatures w14:val="none"/>
        </w:rPr>
        <w:t xml:space="preserve"> Cash market moves not matched by derivatives positioning (or vice versa) — signals segmented price discovery or hedging mismatch.</w:t>
      </w:r>
    </w:p>
    <w:p w14:paraId="1E7560CA" w14:textId="77777777" w:rsidR="0032251D" w:rsidRPr="0032251D" w:rsidRDefault="0032251D">
      <w:pPr>
        <w:numPr>
          <w:ilvl w:val="0"/>
          <w:numId w:val="15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Liquidity premium vs price.</w:t>
      </w:r>
      <w:r w:rsidRPr="0032251D">
        <w:rPr>
          <w:rFonts w:ascii="Aptos" w:eastAsia="Times New Roman" w:hAnsi="Aptos" w:cs="Times New Roman"/>
          <w:kern w:val="0"/>
          <w:sz w:val="22"/>
          <w:szCs w:val="22"/>
          <w:lang w:eastAsia="en-GB"/>
          <w14:ligatures w14:val="none"/>
        </w:rPr>
        <w:t xml:space="preserve"> Bid-ask spreads widening without spot price moving — signals dealer balance sheet stress (L5c channel) before it shows in prices.</w:t>
      </w:r>
    </w:p>
    <w:p w14:paraId="180EEAA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upward.</w:t>
      </w:r>
    </w:p>
    <w:p w14:paraId="0F4CF2E2" w14:textId="77777777" w:rsidR="0032251D" w:rsidRPr="0032251D" w:rsidRDefault="0032251D">
      <w:pPr>
        <w:numPr>
          <w:ilvl w:val="0"/>
          <w:numId w:val="15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L1 → L9: Rule moves should produce predictable L9 patterns. Dissonance fires when policy moves but L9 prices do not </w:t>
      </w:r>
      <w:proofErr w:type="gramStart"/>
      <w:r w:rsidRPr="0032251D">
        <w:rPr>
          <w:rFonts w:ascii="Aptos" w:eastAsia="Times New Roman" w:hAnsi="Aptos" w:cs="Times New Roman"/>
          <w:kern w:val="0"/>
          <w:sz w:val="22"/>
          <w:szCs w:val="22"/>
          <w:lang w:eastAsia="en-GB"/>
          <w14:ligatures w14:val="none"/>
        </w:rPr>
        <w:t>respond, or</w:t>
      </w:r>
      <w:proofErr w:type="gramEnd"/>
      <w:r w:rsidRPr="0032251D">
        <w:rPr>
          <w:rFonts w:ascii="Aptos" w:eastAsia="Times New Roman" w:hAnsi="Aptos" w:cs="Times New Roman"/>
          <w:kern w:val="0"/>
          <w:sz w:val="22"/>
          <w:szCs w:val="22"/>
          <w:lang w:eastAsia="en-GB"/>
          <w14:ligatures w14:val="none"/>
        </w:rPr>
        <w:t xml:space="preserve"> move opposite — transmission breakdown at the terminal node.</w:t>
      </w:r>
    </w:p>
    <w:p w14:paraId="160E7AA5" w14:textId="77777777" w:rsidR="0032251D" w:rsidRPr="0032251D" w:rsidRDefault="0032251D">
      <w:pPr>
        <w:numPr>
          <w:ilvl w:val="0"/>
          <w:numId w:val="15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L3a → L9: Rate moves should shift risk-free rate inputs to all valuation models. Dissonance fires when rate hikes but L9 risk assets rally — search-for-yield exhaustion or sentiment overwhelming policy.</w:t>
      </w:r>
    </w:p>
    <w:p w14:paraId="4483C00E" w14:textId="77777777" w:rsidR="0032251D" w:rsidRPr="0032251D" w:rsidRDefault="0032251D">
      <w:pPr>
        <w:numPr>
          <w:ilvl w:val="0"/>
          <w:numId w:val="15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L3b → L9: Balance sheet operations affect long rates and convenience yield, which affect L9 prices. Dissonance fires when QE/QT moves without L9 response.</w:t>
      </w:r>
    </w:p>
    <w:p w14:paraId="0D6BAC72" w14:textId="77777777" w:rsidR="0032251D" w:rsidRPr="0032251D" w:rsidRDefault="0032251D">
      <w:pPr>
        <w:numPr>
          <w:ilvl w:val="0"/>
          <w:numId w:val="15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L3c → L9: Guidance shapes forward expectations, which should affect L9 prices today. Dissonance fires when guidance moves without L9 response.</w:t>
      </w:r>
    </w:p>
    <w:p w14:paraId="76C35AFE" w14:textId="77777777" w:rsidR="0032251D" w:rsidRPr="0032251D" w:rsidRDefault="0032251D">
      <w:pPr>
        <w:numPr>
          <w:ilvl w:val="0"/>
          <w:numId w:val="15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L3d → L9: FX intervention should affect FX (L4b) and through it broader L9 (FX-sensitive assets). Dissonance fires when intervention without broad L9 response.</w:t>
      </w:r>
    </w:p>
    <w:p w14:paraId="3F86AA59" w14:textId="77777777" w:rsidR="0032251D" w:rsidRPr="0032251D" w:rsidRDefault="0032251D">
      <w:pPr>
        <w:numPr>
          <w:ilvl w:val="0"/>
          <w:numId w:val="15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L3e → L9: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affects credit market within L9. Dissonance fires when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tightens but L9 credit doesn't.</w:t>
      </w:r>
    </w:p>
    <w:p w14:paraId="2C41FDB6" w14:textId="77777777" w:rsidR="0032251D" w:rsidRPr="0032251D" w:rsidRDefault="0032251D">
      <w:pPr>
        <w:numPr>
          <w:ilvl w:val="0"/>
          <w:numId w:val="15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L3f → L9: Facilities affect funding-sensitive L9 segments. Dissonance fires when facilities operate but L9 stress continues.</w:t>
      </w:r>
    </w:p>
    <w:p w14:paraId="7AAEFFB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peer.</w:t>
      </w:r>
    </w:p>
    <w:p w14:paraId="2695E096" w14:textId="77777777" w:rsidR="0032251D" w:rsidRPr="0032251D" w:rsidRDefault="0032251D">
      <w:pPr>
        <w:numPr>
          <w:ilvl w:val="0"/>
          <w:numId w:val="15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L4 → L9: L4 markets are a subset of L9 (curve, FX, BEI, vol are all in L9). L4-L9 dissonance is typically L4 moving without broader L9 confirmation.</w:t>
      </w:r>
    </w:p>
    <w:p w14:paraId="5ED595C2" w14:textId="77777777" w:rsidR="0032251D" w:rsidRPr="0032251D" w:rsidRDefault="0032251D">
      <w:pPr>
        <w:numPr>
          <w:ilvl w:val="0"/>
          <w:numId w:val="15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 → L9: Intermediary stress should transmit to L9 prices. Dissonance fires when intermediaries deleverage without L9 price response — repricing lag.</w:t>
      </w:r>
    </w:p>
    <w:p w14:paraId="42DF2751" w14:textId="77777777" w:rsidR="0032251D" w:rsidRPr="0032251D" w:rsidRDefault="0032251D">
      <w:pPr>
        <w:numPr>
          <w:ilvl w:val="0"/>
          <w:numId w:val="15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L6 → L9: Expectations should affect prices through discount rates and cash flow forecasts. Dissonance fires when expectations move without L9 response.</w:t>
      </w:r>
    </w:p>
    <w:p w14:paraId="05F4213A" w14:textId="77777777" w:rsidR="0032251D" w:rsidRPr="0032251D" w:rsidRDefault="0032251D">
      <w:pPr>
        <w:numPr>
          <w:ilvl w:val="0"/>
          <w:numId w:val="15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lastRenderedPageBreak/>
        <w:t>L7 → L9: FCI integrates the financial transmission stance and should map to L9 outcomes. Dissonance fires when FCI moves without L9 response.</w:t>
      </w:r>
    </w:p>
    <w:p w14:paraId="01AB5689" w14:textId="77777777" w:rsidR="0032251D" w:rsidRPr="0032251D" w:rsidRDefault="0032251D">
      <w:pPr>
        <w:numPr>
          <w:ilvl w:val="0"/>
          <w:numId w:val="15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L8 → L9: Drivers determine prices mechanically. Dissonance at L8-L9 means prices moving without driver justification (sentiment, flows, technicals dominating).</w:t>
      </w:r>
    </w:p>
    <w:p w14:paraId="25237C8B"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w:t>
      </w:r>
    </w:p>
    <w:p w14:paraId="5D6DB1DE" w14:textId="77777777" w:rsidR="0032251D" w:rsidRPr="0032251D" w:rsidRDefault="0032251D">
      <w:pPr>
        <w:numPr>
          <w:ilvl w:val="0"/>
          <w:numId w:val="15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L9 → L10a: Asset prices affect real economy through wealth and cost-of-capital channels. Dissonance fires when L9 moves without real-economy response — wealth effect or financing channel weak.</w:t>
      </w:r>
    </w:p>
    <w:p w14:paraId="544D8C88" w14:textId="77777777" w:rsidR="0032251D" w:rsidRPr="0032251D" w:rsidRDefault="0032251D">
      <w:pPr>
        <w:numPr>
          <w:ilvl w:val="0"/>
          <w:numId w:val="15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L9 → L10b: L9 contains early stability indicators (spreads, vol, dispersion). Dissonance fires when L9 stress builds without traditional stability metrics registering it — coverage gap.</w:t>
      </w:r>
    </w:p>
    <w:p w14:paraId="3E15130D" w14:textId="77777777" w:rsidR="0032251D" w:rsidRPr="0032251D" w:rsidRDefault="0032251D">
      <w:pPr>
        <w:numPr>
          <w:ilvl w:val="0"/>
          <w:numId w:val="15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L9 → L10c: L9 cross-border correlations drive spillovers. Dissonance fires when domestic L9 moves without cross-border </w:t>
      </w:r>
      <w:proofErr w:type="spellStart"/>
      <w:r w:rsidRPr="0032251D">
        <w:rPr>
          <w:rFonts w:ascii="Aptos" w:eastAsia="Times New Roman" w:hAnsi="Aptos" w:cs="Times New Roman"/>
          <w:kern w:val="0"/>
          <w:sz w:val="22"/>
          <w:szCs w:val="22"/>
          <w:lang w:eastAsia="en-GB"/>
          <w14:ligatures w14:val="none"/>
        </w:rPr>
        <w:t>comovement</w:t>
      </w:r>
      <w:proofErr w:type="spellEnd"/>
      <w:r w:rsidRPr="0032251D">
        <w:rPr>
          <w:rFonts w:ascii="Aptos" w:eastAsia="Times New Roman" w:hAnsi="Aptos" w:cs="Times New Roman"/>
          <w:kern w:val="0"/>
          <w:sz w:val="22"/>
          <w:szCs w:val="22"/>
          <w:lang w:eastAsia="en-GB"/>
          <w14:ligatures w14:val="none"/>
        </w:rPr>
        <w:t xml:space="preserve"> — transmission breaking.</w:t>
      </w:r>
    </w:p>
    <w:p w14:paraId="4988A4C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The L9 node is the </w:t>
      </w:r>
      <w:r w:rsidRPr="0032251D">
        <w:rPr>
          <w:rFonts w:ascii="Aptos" w:eastAsia="Times New Roman" w:hAnsi="Aptos" w:cs="Times New Roman"/>
          <w:i/>
          <w:iCs/>
          <w:kern w:val="0"/>
          <w:sz w:val="22"/>
          <w:szCs w:val="22"/>
          <w:lang w:eastAsia="en-GB"/>
          <w14:ligatures w14:val="none"/>
        </w:rPr>
        <w:t>primary observation layer</w:t>
      </w:r>
      <w:r w:rsidRPr="0032251D">
        <w:rPr>
          <w:rFonts w:ascii="Aptos" w:eastAsia="Times New Roman" w:hAnsi="Aptos" w:cs="Times New Roman"/>
          <w:kern w:val="0"/>
          <w:sz w:val="22"/>
          <w:szCs w:val="22"/>
          <w:lang w:eastAsia="en-GB"/>
          <w14:ligatures w14:val="none"/>
        </w:rPr>
        <w:t xml:space="preserve"> of the framework. Every framework dynamic ultimately registers here, which makes L9 both the most measurable and most diagnostic node. Dissonance at L9 typically falls into two categories: either L9 prices have not yet adjusted to upstream framework regime changes (lagged repricing — the trade opportunity), or upstream framework nodes have not yet adjusted to L9 information (lagged policy or measurement — the dissonance signal). Both categories matter, but for investment positioning the first is the actionable one.</w:t>
      </w:r>
    </w:p>
    <w:p w14:paraId="1A27267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For investment managers, L9 is where the framework's analytical value is realised. The L1-L8 nodes are the upstream machinery; L9 is where the upstream analysis translates into positioning decisions. The discipline of the framework is to make L9 positioning a function of upstream node analysis, rather than the other way around — to position from regime identification down to asset class, rather than from asset class momentum up to regime narrative.</w:t>
      </w:r>
    </w:p>
    <w:p w14:paraId="6AFB5C7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For SA specifically, L9 contains the most directly tradeable framework outputs. The framework's dissonance signals from L1-L8 ultimately resolve in: ZAR positioning (the cleanest single SA macro expression), SAGB curve trades (long-end vs short-end as regime expression), JSE equity index positioning (with awareness of the global vs domestic decomposition issue), and limited but available SA credit / property exposure. The L9 node is where the framework becomes commercially operational — and the depth of the framework analysis upstream is what justifies the L9 positioning decisions downstream.</w:t>
      </w:r>
    </w:p>
    <w:p w14:paraId="4817857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For the </w:t>
      </w:r>
      <w:proofErr w:type="gramStart"/>
      <w:r w:rsidRPr="0032251D">
        <w:rPr>
          <w:rFonts w:ascii="Aptos" w:eastAsia="Times New Roman" w:hAnsi="Aptos" w:cs="Times New Roman"/>
          <w:kern w:val="0"/>
          <w:sz w:val="22"/>
          <w:szCs w:val="22"/>
          <w:lang w:eastAsia="en-GB"/>
          <w14:ligatures w14:val="none"/>
        </w:rPr>
        <w:t>framework as a whole, L9</w:t>
      </w:r>
      <w:proofErr w:type="gramEnd"/>
      <w:r w:rsidRPr="0032251D">
        <w:rPr>
          <w:rFonts w:ascii="Aptos" w:eastAsia="Times New Roman" w:hAnsi="Aptos" w:cs="Times New Roman"/>
          <w:kern w:val="0"/>
          <w:sz w:val="22"/>
          <w:szCs w:val="22"/>
          <w:lang w:eastAsia="en-GB"/>
          <w14:ligatures w14:val="none"/>
        </w:rPr>
        <w:t xml:space="preserve"> is the </w:t>
      </w:r>
      <w:r w:rsidRPr="0032251D">
        <w:rPr>
          <w:rFonts w:ascii="Aptos" w:eastAsia="Times New Roman" w:hAnsi="Aptos" w:cs="Times New Roman"/>
          <w:i/>
          <w:iCs/>
          <w:kern w:val="0"/>
          <w:sz w:val="22"/>
          <w:szCs w:val="22"/>
          <w:lang w:eastAsia="en-GB"/>
          <w14:ligatures w14:val="none"/>
        </w:rPr>
        <w:t>terminal observable</w:t>
      </w:r>
      <w:r w:rsidRPr="0032251D">
        <w:rPr>
          <w:rFonts w:ascii="Aptos" w:eastAsia="Times New Roman" w:hAnsi="Aptos" w:cs="Times New Roman"/>
          <w:kern w:val="0"/>
          <w:sz w:val="22"/>
          <w:szCs w:val="22"/>
          <w:lang w:eastAsia="en-GB"/>
          <w14:ligatures w14:val="none"/>
        </w:rPr>
        <w:t xml:space="preserve"> — the final manifestation of all framework dynamics in prices that can be measured, decomposed, and traded. Dissonance at L9 is the framework's most visible output, and the framework's commercial value derives almost entirely from L9 dissonance signals that flag misalignment between upstream policy/economic dynamics and downstream observable prices.</w:t>
      </w:r>
    </w:p>
    <w:p w14:paraId="05920C43" w14:textId="77777777" w:rsidR="001F2E56" w:rsidRPr="00B8458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797173AE" w14:textId="77777777" w:rsidR="001F2E56" w:rsidRPr="00B8458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76F97DFE" w14:textId="11B6F8D4" w:rsidR="0032251D" w:rsidRPr="0032251D" w:rsidRDefault="0032251D" w:rsidP="0032251D">
      <w:pPr>
        <w:spacing w:after="0" w:line="240" w:lineRule="auto"/>
        <w:rPr>
          <w:rFonts w:ascii="Aptos" w:eastAsia="Times New Roman" w:hAnsi="Aptos" w:cs="Times New Roman"/>
          <w:kern w:val="0"/>
          <w:sz w:val="22"/>
          <w:szCs w:val="22"/>
          <w:lang w:eastAsia="en-GB"/>
          <w14:ligatures w14:val="none"/>
        </w:rPr>
      </w:pPr>
    </w:p>
    <w:p w14:paraId="5C6380D1" w14:textId="77777777" w:rsidR="0032251D" w:rsidRPr="0032251D" w:rsidRDefault="0032251D" w:rsidP="00B84586">
      <w:pPr>
        <w:spacing w:before="100" w:beforeAutospacing="1" w:after="100" w:afterAutospacing="1" w:line="240" w:lineRule="auto"/>
        <w:jc w:val="center"/>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lastRenderedPageBreak/>
        <w:t>Level 10a — Real Economy</w:t>
      </w:r>
    </w:p>
    <w:p w14:paraId="7051C26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Definition.</w:t>
      </w:r>
      <w:r w:rsidRPr="0032251D">
        <w:rPr>
          <w:rFonts w:ascii="Aptos" w:eastAsia="Times New Roman" w:hAnsi="Aptos" w:cs="Times New Roman"/>
          <w:kern w:val="0"/>
          <w:sz w:val="22"/>
          <w:szCs w:val="22"/>
          <w:lang w:eastAsia="en-GB"/>
          <w14:ligatures w14:val="none"/>
        </w:rPr>
        <w:t xml:space="preserve"> L10a is the real-economy terminal outcome — the ultimate target variables that the central bank's loss function (L2) penalises deviations from. It comprises consumption, investment, output, inflation, employment, productivity, and the implicit output gap and inflation gap that feed into the reaction function. The L10a node is where monetary policy ultimately matters — every framework dynamic upstream is justified by its eventual effect on real-economy outcomes. The node also closes the framework loop: L10a outcomes </w:t>
      </w:r>
      <w:proofErr w:type="spellStart"/>
      <w:r w:rsidRPr="0032251D">
        <w:rPr>
          <w:rFonts w:ascii="Aptos" w:eastAsia="Times New Roman" w:hAnsi="Aptos" w:cs="Times New Roman"/>
          <w:kern w:val="0"/>
          <w:sz w:val="22"/>
          <w:szCs w:val="22"/>
          <w:lang w:eastAsia="en-GB"/>
          <w14:ligatures w14:val="none"/>
        </w:rPr>
        <w:t>feed back</w:t>
      </w:r>
      <w:proofErr w:type="spellEnd"/>
      <w:r w:rsidRPr="0032251D">
        <w:rPr>
          <w:rFonts w:ascii="Aptos" w:eastAsia="Times New Roman" w:hAnsi="Aptos" w:cs="Times New Roman"/>
          <w:kern w:val="0"/>
          <w:sz w:val="22"/>
          <w:szCs w:val="22"/>
          <w:lang w:eastAsia="en-GB"/>
          <w14:ligatures w14:val="none"/>
        </w:rPr>
        <w:t xml:space="preserve"> to L1 (reaction function) via the α and β coefficients in the loss function. Real economy outcomes are simultaneously the policy target and the policy input.</w:t>
      </w:r>
    </w:p>
    <w:p w14:paraId="0B9B68D2"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Theory.</w:t>
      </w:r>
      <w:r w:rsidRPr="0032251D">
        <w:rPr>
          <w:rFonts w:ascii="Aptos" w:eastAsia="Times New Roman" w:hAnsi="Aptos" w:cs="Times New Roman"/>
          <w:kern w:val="0"/>
          <w:sz w:val="22"/>
          <w:szCs w:val="22"/>
          <w:lang w:eastAsia="en-GB"/>
          <w14:ligatures w14:val="none"/>
        </w:rPr>
        <w:t xml:space="preserve"> Several foundations underpin L10a. </w:t>
      </w:r>
      <w:r w:rsidRPr="0032251D">
        <w:rPr>
          <w:rFonts w:ascii="Aptos" w:eastAsia="Times New Roman" w:hAnsi="Aptos" w:cs="Times New Roman"/>
          <w:b/>
          <w:bCs/>
          <w:kern w:val="0"/>
          <w:sz w:val="22"/>
          <w:szCs w:val="22"/>
          <w:lang w:eastAsia="en-GB"/>
          <w14:ligatures w14:val="none"/>
        </w:rPr>
        <w:t>The IS-LM-AS framework (Hicks 1937; Modigliani 1944)</w:t>
      </w:r>
      <w:r w:rsidRPr="0032251D">
        <w:rPr>
          <w:rFonts w:ascii="Aptos" w:eastAsia="Times New Roman" w:hAnsi="Aptos" w:cs="Times New Roman"/>
          <w:kern w:val="0"/>
          <w:sz w:val="22"/>
          <w:szCs w:val="22"/>
          <w:lang w:eastAsia="en-GB"/>
          <w14:ligatures w14:val="none"/>
        </w:rPr>
        <w:t xml:space="preserve"> provides the foundational coupling between financial conditions and real activity. </w:t>
      </w:r>
      <w:r w:rsidRPr="0032251D">
        <w:rPr>
          <w:rFonts w:ascii="Aptos" w:eastAsia="Times New Roman" w:hAnsi="Aptos" w:cs="Times New Roman"/>
          <w:b/>
          <w:bCs/>
          <w:kern w:val="0"/>
          <w:sz w:val="22"/>
          <w:szCs w:val="22"/>
          <w:lang w:eastAsia="en-GB"/>
          <w14:ligatures w14:val="none"/>
        </w:rPr>
        <w:t>The Phillips curve (Phillips 1958; Friedman 1968; Phelps 1968)</w:t>
      </w:r>
      <w:r w:rsidRPr="0032251D">
        <w:rPr>
          <w:rFonts w:ascii="Aptos" w:eastAsia="Times New Roman" w:hAnsi="Aptos" w:cs="Times New Roman"/>
          <w:kern w:val="0"/>
          <w:sz w:val="22"/>
          <w:szCs w:val="22"/>
          <w:lang w:eastAsia="en-GB"/>
          <w14:ligatures w14:val="none"/>
        </w:rPr>
        <w:t xml:space="preserve"> captures the inflation-unemployment trade-off and its breakdown under expectations adjustment. </w:t>
      </w:r>
      <w:r w:rsidRPr="0032251D">
        <w:rPr>
          <w:rFonts w:ascii="Aptos" w:eastAsia="Times New Roman" w:hAnsi="Aptos" w:cs="Times New Roman"/>
          <w:b/>
          <w:bCs/>
          <w:kern w:val="0"/>
          <w:sz w:val="22"/>
          <w:szCs w:val="22"/>
          <w:lang w:eastAsia="en-GB"/>
          <w14:ligatures w14:val="none"/>
        </w:rPr>
        <w:t xml:space="preserve">New Keynesian models (Woodford 2003; </w:t>
      </w:r>
      <w:proofErr w:type="spellStart"/>
      <w:r w:rsidRPr="0032251D">
        <w:rPr>
          <w:rFonts w:ascii="Aptos" w:eastAsia="Times New Roman" w:hAnsi="Aptos" w:cs="Times New Roman"/>
          <w:b/>
          <w:bCs/>
          <w:kern w:val="0"/>
          <w:sz w:val="22"/>
          <w:szCs w:val="22"/>
          <w:lang w:eastAsia="en-GB"/>
          <w14:ligatures w14:val="none"/>
        </w:rPr>
        <w:t>Galí</w:t>
      </w:r>
      <w:proofErr w:type="spellEnd"/>
      <w:r w:rsidRPr="0032251D">
        <w:rPr>
          <w:rFonts w:ascii="Aptos" w:eastAsia="Times New Roman" w:hAnsi="Aptos" w:cs="Times New Roman"/>
          <w:b/>
          <w:bCs/>
          <w:kern w:val="0"/>
          <w:sz w:val="22"/>
          <w:szCs w:val="22"/>
          <w:lang w:eastAsia="en-GB"/>
          <w14:ligatures w14:val="none"/>
        </w:rPr>
        <w:t xml:space="preserve"> 2008; Smets-Wouters 2003)</w:t>
      </w:r>
      <w:r w:rsidRPr="0032251D">
        <w:rPr>
          <w:rFonts w:ascii="Aptos" w:eastAsia="Times New Roman" w:hAnsi="Aptos" w:cs="Times New Roman"/>
          <w:kern w:val="0"/>
          <w:sz w:val="22"/>
          <w:szCs w:val="22"/>
          <w:lang w:eastAsia="en-GB"/>
          <w14:ligatures w14:val="none"/>
        </w:rPr>
        <w:t xml:space="preserve"> provide the modern DSGE structure linking monetary policy to inflation and output through sticky prices and forward-looking expectations. </w:t>
      </w:r>
      <w:r w:rsidRPr="0032251D">
        <w:rPr>
          <w:rFonts w:ascii="Aptos" w:eastAsia="Times New Roman" w:hAnsi="Aptos" w:cs="Times New Roman"/>
          <w:b/>
          <w:bCs/>
          <w:kern w:val="0"/>
          <w:sz w:val="22"/>
          <w:szCs w:val="22"/>
          <w:lang w:eastAsia="en-GB"/>
          <w14:ligatures w14:val="none"/>
        </w:rPr>
        <w:t>Hysteresis (Blanchard-Summers 1986)</w:t>
      </w:r>
      <w:r w:rsidRPr="0032251D">
        <w:rPr>
          <w:rFonts w:ascii="Aptos" w:eastAsia="Times New Roman" w:hAnsi="Aptos" w:cs="Times New Roman"/>
          <w:kern w:val="0"/>
          <w:sz w:val="22"/>
          <w:szCs w:val="22"/>
          <w:lang w:eastAsia="en-GB"/>
          <w14:ligatures w14:val="none"/>
        </w:rPr>
        <w:t xml:space="preserve"> introduces persistence in unemployment — recessions leave permanent scars on potential output. </w:t>
      </w:r>
      <w:r w:rsidRPr="0032251D">
        <w:rPr>
          <w:rFonts w:ascii="Aptos" w:eastAsia="Times New Roman" w:hAnsi="Aptos" w:cs="Times New Roman"/>
          <w:b/>
          <w:bCs/>
          <w:kern w:val="0"/>
          <w:sz w:val="22"/>
          <w:szCs w:val="22"/>
          <w:lang w:eastAsia="en-GB"/>
          <w14:ligatures w14:val="none"/>
        </w:rPr>
        <w:t>The natural rate hypothesis (Friedman 1968)</w:t>
      </w:r>
      <w:r w:rsidRPr="0032251D">
        <w:rPr>
          <w:rFonts w:ascii="Aptos" w:eastAsia="Times New Roman" w:hAnsi="Aptos" w:cs="Times New Roman"/>
          <w:kern w:val="0"/>
          <w:sz w:val="22"/>
          <w:szCs w:val="22"/>
          <w:lang w:eastAsia="en-GB"/>
          <w14:ligatures w14:val="none"/>
        </w:rPr>
        <w:t xml:space="preserve"> establishes that unemployment cannot be permanently pushed below its natural level without accelerating inflation. </w:t>
      </w:r>
      <w:r w:rsidRPr="0032251D">
        <w:rPr>
          <w:rFonts w:ascii="Aptos" w:eastAsia="Times New Roman" w:hAnsi="Aptos" w:cs="Times New Roman"/>
          <w:b/>
          <w:bCs/>
          <w:kern w:val="0"/>
          <w:sz w:val="22"/>
          <w:szCs w:val="22"/>
          <w:lang w:eastAsia="en-GB"/>
          <w14:ligatures w14:val="none"/>
        </w:rPr>
        <w:t>Output gap measurement</w:t>
      </w:r>
      <w:r w:rsidRPr="0032251D">
        <w:rPr>
          <w:rFonts w:ascii="Aptos" w:eastAsia="Times New Roman" w:hAnsi="Aptos" w:cs="Times New Roman"/>
          <w:kern w:val="0"/>
          <w:sz w:val="22"/>
          <w:szCs w:val="22"/>
          <w:lang w:eastAsia="en-GB"/>
          <w14:ligatures w14:val="none"/>
        </w:rPr>
        <w:t xml:space="preserve"> has its own literature — Kalman filter approaches, HP filtering, multivariate filters (Laubach-Williams), production function approaches each give different output gap estimates with sometimes opposite signs.</w:t>
      </w:r>
    </w:p>
    <w:p w14:paraId="641108B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Canonical components.</w:t>
      </w:r>
      <w:r w:rsidRPr="0032251D">
        <w:rPr>
          <w:rFonts w:ascii="Aptos" w:eastAsia="Times New Roman" w:hAnsi="Aptos" w:cs="Times New Roman"/>
          <w:kern w:val="0"/>
          <w:sz w:val="22"/>
          <w:szCs w:val="22"/>
          <w:lang w:eastAsia="en-GB"/>
          <w14:ligatures w14:val="none"/>
        </w:rPr>
        <w:t xml:space="preserve"> The real economy decomposes into several measurable streams. </w:t>
      </w:r>
      <w:r w:rsidRPr="0032251D">
        <w:rPr>
          <w:rFonts w:ascii="Aptos" w:eastAsia="Times New Roman" w:hAnsi="Aptos" w:cs="Times New Roman"/>
          <w:b/>
          <w:bCs/>
          <w:kern w:val="0"/>
          <w:sz w:val="22"/>
          <w:szCs w:val="22"/>
          <w:lang w:eastAsia="en-GB"/>
          <w14:ligatures w14:val="none"/>
        </w:rPr>
        <w:t>GDP components</w:t>
      </w:r>
      <w:r w:rsidRPr="0032251D">
        <w:rPr>
          <w:rFonts w:ascii="Aptos" w:eastAsia="Times New Roman" w:hAnsi="Aptos" w:cs="Times New Roman"/>
          <w:kern w:val="0"/>
          <w:sz w:val="22"/>
          <w:szCs w:val="22"/>
          <w:lang w:eastAsia="en-GB"/>
          <w14:ligatures w14:val="none"/>
        </w:rPr>
        <w:t xml:space="preserve">: consumption (C), investment (I), government spending (G), net exports (NX) — each with distinct cyclical properties. </w:t>
      </w:r>
      <w:r w:rsidRPr="0032251D">
        <w:rPr>
          <w:rFonts w:ascii="Aptos" w:eastAsia="Times New Roman" w:hAnsi="Aptos" w:cs="Times New Roman"/>
          <w:b/>
          <w:bCs/>
          <w:kern w:val="0"/>
          <w:sz w:val="22"/>
          <w:szCs w:val="22"/>
          <w:lang w:eastAsia="en-GB"/>
          <w14:ligatures w14:val="none"/>
        </w:rPr>
        <w:t>Inflation measures</w:t>
      </w:r>
      <w:r w:rsidRPr="0032251D">
        <w:rPr>
          <w:rFonts w:ascii="Aptos" w:eastAsia="Times New Roman" w:hAnsi="Aptos" w:cs="Times New Roman"/>
          <w:kern w:val="0"/>
          <w:sz w:val="22"/>
          <w:szCs w:val="22"/>
          <w:lang w:eastAsia="en-GB"/>
          <w14:ligatures w14:val="none"/>
        </w:rPr>
        <w:t xml:space="preserve">: headline CPI; core (excluding food and energy); sticky-price CPI (Atlanta Fed); super-core (services excluding shelter); trimmed mean; median. </w:t>
      </w:r>
      <w:r w:rsidRPr="0032251D">
        <w:rPr>
          <w:rFonts w:ascii="Aptos" w:eastAsia="Times New Roman" w:hAnsi="Aptos" w:cs="Times New Roman"/>
          <w:b/>
          <w:bCs/>
          <w:kern w:val="0"/>
          <w:sz w:val="22"/>
          <w:szCs w:val="22"/>
          <w:lang w:eastAsia="en-GB"/>
          <w14:ligatures w14:val="none"/>
        </w:rPr>
        <w:t>Labour market</w:t>
      </w:r>
      <w:r w:rsidRPr="0032251D">
        <w:rPr>
          <w:rFonts w:ascii="Aptos" w:eastAsia="Times New Roman" w:hAnsi="Aptos" w:cs="Times New Roman"/>
          <w:kern w:val="0"/>
          <w:sz w:val="22"/>
          <w:szCs w:val="22"/>
          <w:lang w:eastAsia="en-GB"/>
          <w14:ligatures w14:val="none"/>
        </w:rPr>
        <w:t xml:space="preserve">: unemployment rate; participation rate; employment-population ratio; U6 broad unemployment; job openings; quits rate; wage growth (AHE, ECI, Atlanta Fed Wage Tracker). </w:t>
      </w:r>
      <w:r w:rsidRPr="0032251D">
        <w:rPr>
          <w:rFonts w:ascii="Aptos" w:eastAsia="Times New Roman" w:hAnsi="Aptos" w:cs="Times New Roman"/>
          <w:b/>
          <w:bCs/>
          <w:kern w:val="0"/>
          <w:sz w:val="22"/>
          <w:szCs w:val="22"/>
          <w:lang w:eastAsia="en-GB"/>
          <w14:ligatures w14:val="none"/>
        </w:rPr>
        <w:t>Productivity</w:t>
      </w:r>
      <w:r w:rsidRPr="0032251D">
        <w:rPr>
          <w:rFonts w:ascii="Aptos" w:eastAsia="Times New Roman" w:hAnsi="Aptos" w:cs="Times New Roman"/>
          <w:kern w:val="0"/>
          <w:sz w:val="22"/>
          <w:szCs w:val="22"/>
          <w:lang w:eastAsia="en-GB"/>
          <w14:ligatures w14:val="none"/>
        </w:rPr>
        <w:t xml:space="preserve">: output per worker hour; multifactor productivity. </w:t>
      </w:r>
      <w:r w:rsidRPr="0032251D">
        <w:rPr>
          <w:rFonts w:ascii="Aptos" w:eastAsia="Times New Roman" w:hAnsi="Aptos" w:cs="Times New Roman"/>
          <w:b/>
          <w:bCs/>
          <w:kern w:val="0"/>
          <w:sz w:val="22"/>
          <w:szCs w:val="22"/>
          <w:lang w:eastAsia="en-GB"/>
          <w14:ligatures w14:val="none"/>
        </w:rPr>
        <w:t>Capacity utilisation</w:t>
      </w:r>
      <w:r w:rsidRPr="0032251D">
        <w:rPr>
          <w:rFonts w:ascii="Aptos" w:eastAsia="Times New Roman" w:hAnsi="Aptos" w:cs="Times New Roman"/>
          <w:kern w:val="0"/>
          <w:sz w:val="22"/>
          <w:szCs w:val="22"/>
          <w:lang w:eastAsia="en-GB"/>
          <w14:ligatures w14:val="none"/>
        </w:rPr>
        <w:t xml:space="preserve">: industrial capacity utilisation; manufacturing capacity. </w:t>
      </w:r>
      <w:r w:rsidRPr="0032251D">
        <w:rPr>
          <w:rFonts w:ascii="Aptos" w:eastAsia="Times New Roman" w:hAnsi="Aptos" w:cs="Times New Roman"/>
          <w:b/>
          <w:bCs/>
          <w:kern w:val="0"/>
          <w:sz w:val="22"/>
          <w:szCs w:val="22"/>
          <w:lang w:eastAsia="en-GB"/>
          <w14:ligatures w14:val="none"/>
        </w:rPr>
        <w:t>Activity indicators</w:t>
      </w:r>
      <w:r w:rsidRPr="0032251D">
        <w:rPr>
          <w:rFonts w:ascii="Aptos" w:eastAsia="Times New Roman" w:hAnsi="Aptos" w:cs="Times New Roman"/>
          <w:kern w:val="0"/>
          <w:sz w:val="22"/>
          <w:szCs w:val="22"/>
          <w:lang w:eastAsia="en-GB"/>
          <w14:ligatures w14:val="none"/>
        </w:rPr>
        <w:t>: industrial production; retail sales; durable goods orders; PMIs (manufacturing and services).</w:t>
      </w:r>
    </w:p>
    <w:p w14:paraId="7C8953A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Why this matters for asset prices.</w:t>
      </w:r>
      <w:r w:rsidRPr="0032251D">
        <w:rPr>
          <w:rFonts w:ascii="Aptos" w:eastAsia="Times New Roman" w:hAnsi="Aptos" w:cs="Times New Roman"/>
          <w:kern w:val="0"/>
          <w:sz w:val="22"/>
          <w:szCs w:val="22"/>
          <w:lang w:eastAsia="en-GB"/>
          <w14:ligatures w14:val="none"/>
        </w:rPr>
        <w:t xml:space="preserve"> The L10a node matters because it drives the reaction function. Real economy outcomes </w:t>
      </w:r>
      <w:proofErr w:type="spellStart"/>
      <w:r w:rsidRPr="0032251D">
        <w:rPr>
          <w:rFonts w:ascii="Aptos" w:eastAsia="Times New Roman" w:hAnsi="Aptos" w:cs="Times New Roman"/>
          <w:kern w:val="0"/>
          <w:sz w:val="22"/>
          <w:szCs w:val="22"/>
          <w:lang w:eastAsia="en-GB"/>
          <w14:ligatures w14:val="none"/>
        </w:rPr>
        <w:t>feed back</w:t>
      </w:r>
      <w:proofErr w:type="spellEnd"/>
      <w:r w:rsidRPr="0032251D">
        <w:rPr>
          <w:rFonts w:ascii="Aptos" w:eastAsia="Times New Roman" w:hAnsi="Aptos" w:cs="Times New Roman"/>
          <w:kern w:val="0"/>
          <w:sz w:val="22"/>
          <w:szCs w:val="22"/>
          <w:lang w:eastAsia="en-GB"/>
          <w14:ligatures w14:val="none"/>
        </w:rPr>
        <w:t xml:space="preserve"> to L1 through the α and β coefficients of the loss function — high inflation gap → hike; high output gap → hike. Forward-looking asset prices price the expected reaction function response, so leading L10a indicators (PMIs, employment, retail sales) move asset prices ahead of the actual decisions. Real economy outcomes also affect cash flow expectations directly (L8 cash flow driver) — earnings, dividends, default rates all depend on real economy state. The cyclical asset class rotation (early-cycle vs mid-cycle vs late-cycle positioning) is fundamentally about L10a regime identification.</w:t>
      </w:r>
    </w:p>
    <w:p w14:paraId="3B5B772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EM extension and SA specifics.</w:t>
      </w:r>
      <w:r w:rsidRPr="0032251D">
        <w:rPr>
          <w:rFonts w:ascii="Aptos" w:eastAsia="Times New Roman" w:hAnsi="Aptos" w:cs="Times New Roman"/>
          <w:kern w:val="0"/>
          <w:sz w:val="22"/>
          <w:szCs w:val="22"/>
          <w:lang w:eastAsia="en-GB"/>
          <w14:ligatures w14:val="none"/>
        </w:rPr>
        <w:t xml:space="preserve"> EM business cycles are more volatile than DM, with inflation higher and more variable. Output gap estimation is harder in EM due to structural shifts and lower data quality. Labour markets are less well-measured, with significant informal sector activity. For SA: GDP growth has been chronically low (~1-2% post-2014, vs ~4% pre-GFC); CPI target band is 3-6% with 4.5% midpoint; unemployment is structurally elevated (32%+ official, 42%+ expanded definition); output gap estimation is contested because SARB and Treasury use </w:t>
      </w:r>
      <w:r w:rsidRPr="0032251D">
        <w:rPr>
          <w:rFonts w:ascii="Aptos" w:eastAsia="Times New Roman" w:hAnsi="Aptos" w:cs="Times New Roman"/>
          <w:kern w:val="0"/>
          <w:sz w:val="22"/>
          <w:szCs w:val="22"/>
          <w:lang w:eastAsia="en-GB"/>
          <w14:ligatures w14:val="none"/>
        </w:rPr>
        <w:lastRenderedPageBreak/>
        <w:t xml:space="preserve">different methodologies. The SA Phillips curve is notably flat — high unemployment has not translated into meaningful disinflation, suggesting structural rather than cyclical labour market issues. SARB's loss function (estimated) places weight on inflation but with relatively low coefficient on output gap — appropriate given the structural unemployment </w:t>
      </w:r>
      <w:proofErr w:type="gramStart"/>
      <w:r w:rsidRPr="0032251D">
        <w:rPr>
          <w:rFonts w:ascii="Aptos" w:eastAsia="Times New Roman" w:hAnsi="Aptos" w:cs="Times New Roman"/>
          <w:kern w:val="0"/>
          <w:sz w:val="22"/>
          <w:szCs w:val="22"/>
          <w:lang w:eastAsia="en-GB"/>
          <w14:ligatures w14:val="none"/>
        </w:rPr>
        <w:t>context, but</w:t>
      </w:r>
      <w:proofErr w:type="gramEnd"/>
      <w:r w:rsidRPr="0032251D">
        <w:rPr>
          <w:rFonts w:ascii="Aptos" w:eastAsia="Times New Roman" w:hAnsi="Aptos" w:cs="Times New Roman"/>
          <w:kern w:val="0"/>
          <w:sz w:val="22"/>
          <w:szCs w:val="22"/>
          <w:lang w:eastAsia="en-GB"/>
          <w14:ligatures w14:val="none"/>
        </w:rPr>
        <w:t xml:space="preserve"> contested by some commentators.</w:t>
      </w:r>
    </w:p>
    <w:p w14:paraId="3EF6D74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Empirical pitfalls.</w:t>
      </w:r>
      <w:r w:rsidRPr="0032251D">
        <w:rPr>
          <w:rFonts w:ascii="Aptos" w:eastAsia="Times New Roman" w:hAnsi="Aptos" w:cs="Times New Roman"/>
          <w:kern w:val="0"/>
          <w:sz w:val="22"/>
          <w:szCs w:val="22"/>
          <w:lang w:eastAsia="en-GB"/>
          <w14:ligatures w14:val="none"/>
        </w:rPr>
        <w:t xml:space="preserve"> The output gap is unobservable and estimation is fraught — real-time output gap estimates are frequently revised, sometimes dramatically. The Phillips curve relationship has been unstable since 2008, with multiple periods of low unemployment without accelerating inflation. Real-time data revisions can change policy interpretation — Orphanides (2001) showed that Fed policy in the 1970s looked very different in real time than in revised data. Composition of inflation matters more than headlines suggest — durable goods deflation can mask services inflation; energy noise can swamp underlying trend. Inflation expectations measurement varies across sources (Michigan, NY Fed SCE, Cleveland Fed, breakeven inflation).</w:t>
      </w:r>
    </w:p>
    <w:p w14:paraId="1EAD9CE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Where dissonance lives.</w:t>
      </w:r>
      <w:r w:rsidRPr="0032251D">
        <w:rPr>
          <w:rFonts w:ascii="Aptos" w:eastAsia="Times New Roman" w:hAnsi="Aptos" w:cs="Times New Roman"/>
          <w:kern w:val="0"/>
          <w:sz w:val="22"/>
          <w:szCs w:val="22"/>
          <w:lang w:eastAsia="en-GB"/>
          <w14:ligatures w14:val="none"/>
        </w:rPr>
        <w:t xml:space="preserve"> L10a dissonance is the most consequential framework dissonance because it directly affects L1 reaction function inputs. </w:t>
      </w:r>
      <w:r w:rsidRPr="0032251D">
        <w:rPr>
          <w:rFonts w:ascii="Aptos" w:eastAsia="Times New Roman" w:hAnsi="Aptos" w:cs="Times New Roman"/>
          <w:i/>
          <w:iCs/>
          <w:kern w:val="0"/>
          <w:sz w:val="22"/>
          <w:szCs w:val="22"/>
          <w:lang w:eastAsia="en-GB"/>
          <w14:ligatures w14:val="none"/>
        </w:rPr>
        <w:t>Intra-node:</w:t>
      </w:r>
      <w:r w:rsidRPr="0032251D">
        <w:rPr>
          <w:rFonts w:ascii="Aptos" w:eastAsia="Times New Roman" w:hAnsi="Aptos" w:cs="Times New Roman"/>
          <w:kern w:val="0"/>
          <w:sz w:val="22"/>
          <w:szCs w:val="22"/>
          <w:lang w:eastAsia="en-GB"/>
          <w14:ligatures w14:val="none"/>
        </w:rPr>
        <w:t xml:space="preserve"> headline inflation vs core inflation divergence; output growth vs employment growth </w:t>
      </w:r>
      <w:proofErr w:type="gramStart"/>
      <w:r w:rsidRPr="0032251D">
        <w:rPr>
          <w:rFonts w:ascii="Aptos" w:eastAsia="Times New Roman" w:hAnsi="Aptos" w:cs="Times New Roman"/>
          <w:kern w:val="0"/>
          <w:sz w:val="22"/>
          <w:szCs w:val="22"/>
          <w:lang w:eastAsia="en-GB"/>
          <w14:ligatures w14:val="none"/>
        </w:rPr>
        <w:t>disconnect</w:t>
      </w:r>
      <w:proofErr w:type="gramEnd"/>
      <w:r w:rsidRPr="0032251D">
        <w:rPr>
          <w:rFonts w:ascii="Aptos" w:eastAsia="Times New Roman" w:hAnsi="Aptos" w:cs="Times New Roman"/>
          <w:kern w:val="0"/>
          <w:sz w:val="22"/>
          <w:szCs w:val="22"/>
          <w:lang w:eastAsia="en-GB"/>
          <w14:ligatures w14:val="none"/>
        </w:rPr>
        <w:t xml:space="preserve">; productivity vs wage growth misalignment. </w:t>
      </w:r>
      <w:r w:rsidRPr="0032251D">
        <w:rPr>
          <w:rFonts w:ascii="Aptos" w:eastAsia="Times New Roman" w:hAnsi="Aptos" w:cs="Times New Roman"/>
          <w:i/>
          <w:iCs/>
          <w:kern w:val="0"/>
          <w:sz w:val="22"/>
          <w:szCs w:val="22"/>
          <w:lang w:eastAsia="en-GB"/>
          <w14:ligatures w14:val="none"/>
        </w:rPr>
        <w:t>Vertical upward:</w:t>
      </w:r>
      <w:r w:rsidRPr="0032251D">
        <w:rPr>
          <w:rFonts w:ascii="Aptos" w:eastAsia="Times New Roman" w:hAnsi="Aptos" w:cs="Times New Roman"/>
          <w:kern w:val="0"/>
          <w:sz w:val="22"/>
          <w:szCs w:val="22"/>
          <w:lang w:eastAsia="en-GB"/>
          <w14:ligatures w14:val="none"/>
        </w:rPr>
        <w:t xml:space="preserve"> policy stance (L1-L3) producing expected real economy response — dissonance when hiking cycles don't slow growth, or cuts don't stimulate it; transmission breakdown. The 2022-2023 Fed hiking cycle without recession is a current example — L1 reaction function operated aggressively but L10a output and employment proved more resilient than expected. </w:t>
      </w:r>
      <w:r w:rsidRPr="0032251D">
        <w:rPr>
          <w:rFonts w:ascii="Aptos" w:eastAsia="Times New Roman" w:hAnsi="Aptos" w:cs="Times New Roman"/>
          <w:i/>
          <w:iCs/>
          <w:kern w:val="0"/>
          <w:sz w:val="22"/>
          <w:szCs w:val="22"/>
          <w:lang w:eastAsia="en-GB"/>
          <w14:ligatures w14:val="none"/>
        </w:rPr>
        <w:t>Vertical from L9:</w:t>
      </w:r>
      <w:r w:rsidRPr="0032251D">
        <w:rPr>
          <w:rFonts w:ascii="Aptos" w:eastAsia="Times New Roman" w:hAnsi="Aptos" w:cs="Times New Roman"/>
          <w:kern w:val="0"/>
          <w:sz w:val="22"/>
          <w:szCs w:val="22"/>
          <w:lang w:eastAsia="en-GB"/>
          <w14:ligatures w14:val="none"/>
        </w:rPr>
        <w:t xml:space="preserve"> asset prices changing without wealth effect transmission to consumption — wealth channel weak or saturated. </w:t>
      </w:r>
      <w:r w:rsidRPr="0032251D">
        <w:rPr>
          <w:rFonts w:ascii="Aptos" w:eastAsia="Times New Roman" w:hAnsi="Aptos" w:cs="Times New Roman"/>
          <w:i/>
          <w:iCs/>
          <w:kern w:val="0"/>
          <w:sz w:val="22"/>
          <w:szCs w:val="22"/>
          <w:lang w:eastAsia="en-GB"/>
          <w14:ligatures w14:val="none"/>
        </w:rPr>
        <w:t>Vertical from L7:</w:t>
      </w:r>
      <w:r w:rsidRPr="0032251D">
        <w:rPr>
          <w:rFonts w:ascii="Aptos" w:eastAsia="Times New Roman" w:hAnsi="Aptos" w:cs="Times New Roman"/>
          <w:kern w:val="0"/>
          <w:sz w:val="22"/>
          <w:szCs w:val="22"/>
          <w:lang w:eastAsia="en-GB"/>
          <w14:ligatures w14:val="none"/>
        </w:rPr>
        <w:t xml:space="preserve"> FCI moves not matched by real economy response — transmission impaired. </w:t>
      </w:r>
      <w:r w:rsidRPr="0032251D">
        <w:rPr>
          <w:rFonts w:ascii="Aptos" w:eastAsia="Times New Roman" w:hAnsi="Aptos" w:cs="Times New Roman"/>
          <w:i/>
          <w:iCs/>
          <w:kern w:val="0"/>
          <w:sz w:val="22"/>
          <w:szCs w:val="22"/>
          <w:lang w:eastAsia="en-GB"/>
          <w14:ligatures w14:val="none"/>
        </w:rPr>
        <w:t>Back to L1:</w:t>
      </w:r>
      <w:r w:rsidRPr="0032251D">
        <w:rPr>
          <w:rFonts w:ascii="Aptos" w:eastAsia="Times New Roman" w:hAnsi="Aptos" w:cs="Times New Roman"/>
          <w:kern w:val="0"/>
          <w:sz w:val="22"/>
          <w:szCs w:val="22"/>
          <w:lang w:eastAsia="en-GB"/>
          <w14:ligatures w14:val="none"/>
        </w:rPr>
        <w:t xml:space="preserve"> real economy outcomes diverging from rule prescriptions — the reaction function is responding to data that doesn't behave as expected, creating policy-data dissonance.</w:t>
      </w:r>
    </w:p>
    <w:p w14:paraId="0569292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For investment managers, L10a dissonance signals are particularly actionable: when the real economy data disagrees with the policy stance, either the policy is wrong or the data is misleading — and the bond market trades that disagreement. SA-specifically, L10a dissonance manifests as: SARB cutting into a still-high inflation print (rare but possible if growth is collapsing); SARB hiking into deteriorating growth (the 2022-2023 cycle pattern); structural labour market data not responding to either monetary or fiscal stimulus.</w:t>
      </w:r>
    </w:p>
    <w:p w14:paraId="2E5C91D7"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57EF9EC7">
          <v:rect id="_x0000_i1142" alt="" style="width:451.3pt;height:.05pt;mso-width-percent:0;mso-height-percent:0;mso-width-percent:0;mso-height-percent:0" o:hralign="center" o:hrstd="t" o:hr="t" fillcolor="#a0a0a0" stroked="f"/>
        </w:pict>
      </w:r>
    </w:p>
    <w:p w14:paraId="3053A253"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Level 10b — Financial Stability</w:t>
      </w:r>
    </w:p>
    <w:p w14:paraId="13870CFE"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Definition.</w:t>
      </w:r>
      <w:r w:rsidRPr="0032251D">
        <w:rPr>
          <w:rFonts w:ascii="Aptos" w:eastAsia="Times New Roman" w:hAnsi="Aptos" w:cs="Times New Roman"/>
          <w:kern w:val="0"/>
          <w:sz w:val="22"/>
          <w:szCs w:val="22"/>
          <w:lang w:eastAsia="en-GB"/>
          <w14:ligatures w14:val="none"/>
        </w:rPr>
        <w:t xml:space="preserve"> L10b is the financial-stability terminal outcome — the resilience of the financial system to shocks, captured through leverage, maturity mismatch, concentration, interconnectedness, fire-sale externalities, run dynamics, and contagion pathways. Where L10a is the </w:t>
      </w:r>
      <w:r w:rsidRPr="0032251D">
        <w:rPr>
          <w:rFonts w:ascii="Aptos" w:eastAsia="Times New Roman" w:hAnsi="Aptos" w:cs="Times New Roman"/>
          <w:i/>
          <w:iCs/>
          <w:kern w:val="0"/>
          <w:sz w:val="22"/>
          <w:szCs w:val="22"/>
          <w:lang w:eastAsia="en-GB"/>
          <w14:ligatures w14:val="none"/>
        </w:rPr>
        <w:t>price stability</w:t>
      </w:r>
      <w:r w:rsidRPr="0032251D">
        <w:rPr>
          <w:rFonts w:ascii="Aptos" w:eastAsia="Times New Roman" w:hAnsi="Aptos" w:cs="Times New Roman"/>
          <w:kern w:val="0"/>
          <w:sz w:val="22"/>
          <w:szCs w:val="22"/>
          <w:lang w:eastAsia="en-GB"/>
          <w14:ligatures w14:val="none"/>
        </w:rPr>
        <w:t xml:space="preserve"> mandate output, L10b is the </w:t>
      </w:r>
      <w:r w:rsidRPr="0032251D">
        <w:rPr>
          <w:rFonts w:ascii="Aptos" w:eastAsia="Times New Roman" w:hAnsi="Aptos" w:cs="Times New Roman"/>
          <w:i/>
          <w:iCs/>
          <w:kern w:val="0"/>
          <w:sz w:val="22"/>
          <w:szCs w:val="22"/>
          <w:lang w:eastAsia="en-GB"/>
          <w14:ligatures w14:val="none"/>
        </w:rPr>
        <w:t>financial stability</w:t>
      </w:r>
      <w:r w:rsidRPr="0032251D">
        <w:rPr>
          <w:rFonts w:ascii="Aptos" w:eastAsia="Times New Roman" w:hAnsi="Aptos" w:cs="Times New Roman"/>
          <w:kern w:val="0"/>
          <w:sz w:val="22"/>
          <w:szCs w:val="22"/>
          <w:lang w:eastAsia="en-GB"/>
          <w14:ligatures w14:val="none"/>
        </w:rPr>
        <w:t xml:space="preserve"> mandate output. The two are distinct, sometimes in tension, and require separate instruments (macroprudential — L3e — primarily targets L10b; monetary instruments — L3a, L3b, L3c — primarily target L10a). The L10b node closes the framework loop through the λ coefficient in the L2 loss function — financial stability stress activates λ and feeds back to L1 reaction function decisions.</w:t>
      </w:r>
    </w:p>
    <w:p w14:paraId="3F0A20A6"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Theory.</w:t>
      </w:r>
      <w:r w:rsidRPr="0032251D">
        <w:rPr>
          <w:rFonts w:ascii="Aptos" w:eastAsia="Times New Roman" w:hAnsi="Aptos" w:cs="Times New Roman"/>
          <w:kern w:val="0"/>
          <w:sz w:val="22"/>
          <w:szCs w:val="22"/>
          <w:lang w:eastAsia="en-GB"/>
          <w14:ligatures w14:val="none"/>
        </w:rPr>
        <w:t xml:space="preserve"> The theoretical foundations of L10b are dense. </w:t>
      </w:r>
      <w:r w:rsidRPr="0032251D">
        <w:rPr>
          <w:rFonts w:ascii="Aptos" w:eastAsia="Times New Roman" w:hAnsi="Aptos" w:cs="Times New Roman"/>
          <w:b/>
          <w:bCs/>
          <w:kern w:val="0"/>
          <w:sz w:val="22"/>
          <w:szCs w:val="22"/>
          <w:lang w:eastAsia="en-GB"/>
          <w14:ligatures w14:val="none"/>
        </w:rPr>
        <w:t>Diamond-Dybvig (1983)</w:t>
      </w:r>
      <w:r w:rsidRPr="0032251D">
        <w:rPr>
          <w:rFonts w:ascii="Aptos" w:eastAsia="Times New Roman" w:hAnsi="Aptos" w:cs="Times New Roman"/>
          <w:kern w:val="0"/>
          <w:sz w:val="22"/>
          <w:szCs w:val="22"/>
          <w:lang w:eastAsia="en-GB"/>
          <w14:ligatures w14:val="none"/>
        </w:rPr>
        <w:t xml:space="preserve"> establishes that maturity transformation creates inherent fragility — banks are simultaneously socially </w:t>
      </w:r>
      <w:r w:rsidRPr="0032251D">
        <w:rPr>
          <w:rFonts w:ascii="Aptos" w:eastAsia="Times New Roman" w:hAnsi="Aptos" w:cs="Times New Roman"/>
          <w:kern w:val="0"/>
          <w:sz w:val="22"/>
          <w:szCs w:val="22"/>
          <w:lang w:eastAsia="en-GB"/>
          <w14:ligatures w14:val="none"/>
        </w:rPr>
        <w:lastRenderedPageBreak/>
        <w:t xml:space="preserve">productive and structurally vulnerable to runs. </w:t>
      </w:r>
      <w:r w:rsidRPr="0032251D">
        <w:rPr>
          <w:rFonts w:ascii="Aptos" w:eastAsia="Times New Roman" w:hAnsi="Aptos" w:cs="Times New Roman"/>
          <w:b/>
          <w:bCs/>
          <w:kern w:val="0"/>
          <w:sz w:val="22"/>
          <w:szCs w:val="22"/>
          <w:lang w:eastAsia="en-GB"/>
          <w14:ligatures w14:val="none"/>
        </w:rPr>
        <w:t>Minsky's financial instability hypothesis (1986)</w:t>
      </w:r>
      <w:r w:rsidRPr="0032251D">
        <w:rPr>
          <w:rFonts w:ascii="Aptos" w:eastAsia="Times New Roman" w:hAnsi="Aptos" w:cs="Times New Roman"/>
          <w:kern w:val="0"/>
          <w:sz w:val="22"/>
          <w:szCs w:val="22"/>
          <w:lang w:eastAsia="en-GB"/>
          <w14:ligatures w14:val="none"/>
        </w:rPr>
        <w:t xml:space="preserve"> argues that stability breeds instability — long periods of calm encourage leverage accumulation that eventually produces crisis. </w:t>
      </w:r>
      <w:r w:rsidRPr="0032251D">
        <w:rPr>
          <w:rFonts w:ascii="Aptos" w:eastAsia="Times New Roman" w:hAnsi="Aptos" w:cs="Times New Roman"/>
          <w:b/>
          <w:bCs/>
          <w:kern w:val="0"/>
          <w:sz w:val="22"/>
          <w:szCs w:val="22"/>
          <w:lang w:eastAsia="en-GB"/>
          <w14:ligatures w14:val="none"/>
        </w:rPr>
        <w:t>Schularick-Taylor (2012)</w:t>
      </w:r>
      <w:r w:rsidRPr="0032251D">
        <w:rPr>
          <w:rFonts w:ascii="Aptos" w:eastAsia="Times New Roman" w:hAnsi="Aptos" w:cs="Times New Roman"/>
          <w:kern w:val="0"/>
          <w:sz w:val="22"/>
          <w:szCs w:val="22"/>
          <w:lang w:eastAsia="en-GB"/>
          <w14:ligatures w14:val="none"/>
        </w:rPr>
        <w:t xml:space="preserve"> documents that credit booms reliably precede financial crises across 17 countries and 140 years. </w:t>
      </w:r>
      <w:r w:rsidRPr="0032251D">
        <w:rPr>
          <w:rFonts w:ascii="Aptos" w:eastAsia="Times New Roman" w:hAnsi="Aptos" w:cs="Times New Roman"/>
          <w:b/>
          <w:bCs/>
          <w:kern w:val="0"/>
          <w:sz w:val="22"/>
          <w:szCs w:val="22"/>
          <w:lang w:eastAsia="en-GB"/>
          <w14:ligatures w14:val="none"/>
        </w:rPr>
        <w:t>Borio (2014)</w:t>
      </w:r>
      <w:r w:rsidRPr="0032251D">
        <w:rPr>
          <w:rFonts w:ascii="Aptos" w:eastAsia="Times New Roman" w:hAnsi="Aptos" w:cs="Times New Roman"/>
          <w:kern w:val="0"/>
          <w:sz w:val="22"/>
          <w:szCs w:val="22"/>
          <w:lang w:eastAsia="en-GB"/>
          <w14:ligatures w14:val="none"/>
        </w:rPr>
        <w:t xml:space="preserve"> distinguishes the financial cycle (longer, larger) from the business cycle and argues for explicit central bank attention to it. </w:t>
      </w:r>
      <w:r w:rsidRPr="0032251D">
        <w:rPr>
          <w:rFonts w:ascii="Aptos" w:eastAsia="Times New Roman" w:hAnsi="Aptos" w:cs="Times New Roman"/>
          <w:b/>
          <w:bCs/>
          <w:kern w:val="0"/>
          <w:sz w:val="22"/>
          <w:szCs w:val="22"/>
          <w:lang w:eastAsia="en-GB"/>
          <w14:ligatures w14:val="none"/>
        </w:rPr>
        <w:t>Shleifer-</w:t>
      </w:r>
      <w:proofErr w:type="spellStart"/>
      <w:r w:rsidRPr="0032251D">
        <w:rPr>
          <w:rFonts w:ascii="Aptos" w:eastAsia="Times New Roman" w:hAnsi="Aptos" w:cs="Times New Roman"/>
          <w:b/>
          <w:bCs/>
          <w:kern w:val="0"/>
          <w:sz w:val="22"/>
          <w:szCs w:val="22"/>
          <w:lang w:eastAsia="en-GB"/>
          <w14:ligatures w14:val="none"/>
        </w:rPr>
        <w:t>Vishny</w:t>
      </w:r>
      <w:proofErr w:type="spellEnd"/>
      <w:r w:rsidRPr="0032251D">
        <w:rPr>
          <w:rFonts w:ascii="Aptos" w:eastAsia="Times New Roman" w:hAnsi="Aptos" w:cs="Times New Roman"/>
          <w:b/>
          <w:bCs/>
          <w:kern w:val="0"/>
          <w:sz w:val="22"/>
          <w:szCs w:val="22"/>
          <w:lang w:eastAsia="en-GB"/>
          <w14:ligatures w14:val="none"/>
        </w:rPr>
        <w:t xml:space="preserve"> (1992; 2010)</w:t>
      </w:r>
      <w:r w:rsidRPr="0032251D">
        <w:rPr>
          <w:rFonts w:ascii="Aptos" w:eastAsia="Times New Roman" w:hAnsi="Aptos" w:cs="Times New Roman"/>
          <w:kern w:val="0"/>
          <w:sz w:val="22"/>
          <w:szCs w:val="22"/>
          <w:lang w:eastAsia="en-GB"/>
          <w14:ligatures w14:val="none"/>
        </w:rPr>
        <w:t xml:space="preserve"> establishes fire-sale externalities — asset sales by stressed institutions force losses on others, generating contagion. </w:t>
      </w:r>
      <w:r w:rsidRPr="0032251D">
        <w:rPr>
          <w:rFonts w:ascii="Aptos" w:eastAsia="Times New Roman" w:hAnsi="Aptos" w:cs="Times New Roman"/>
          <w:b/>
          <w:bCs/>
          <w:kern w:val="0"/>
          <w:sz w:val="22"/>
          <w:szCs w:val="22"/>
          <w:lang w:eastAsia="en-GB"/>
          <w14:ligatures w14:val="none"/>
        </w:rPr>
        <w:t>Gertler-</w:t>
      </w:r>
      <w:proofErr w:type="spellStart"/>
      <w:r w:rsidRPr="0032251D">
        <w:rPr>
          <w:rFonts w:ascii="Aptos" w:eastAsia="Times New Roman" w:hAnsi="Aptos" w:cs="Times New Roman"/>
          <w:b/>
          <w:bCs/>
          <w:kern w:val="0"/>
          <w:sz w:val="22"/>
          <w:szCs w:val="22"/>
          <w:lang w:eastAsia="en-GB"/>
          <w14:ligatures w14:val="none"/>
        </w:rPr>
        <w:t>Kiyotaki</w:t>
      </w:r>
      <w:proofErr w:type="spellEnd"/>
      <w:r w:rsidRPr="0032251D">
        <w:rPr>
          <w:rFonts w:ascii="Aptos" w:eastAsia="Times New Roman" w:hAnsi="Aptos" w:cs="Times New Roman"/>
          <w:b/>
          <w:bCs/>
          <w:kern w:val="0"/>
          <w:sz w:val="22"/>
          <w:szCs w:val="22"/>
          <w:lang w:eastAsia="en-GB"/>
          <w14:ligatures w14:val="none"/>
        </w:rPr>
        <w:t xml:space="preserve"> (2010); </w:t>
      </w:r>
      <w:proofErr w:type="spellStart"/>
      <w:r w:rsidRPr="0032251D">
        <w:rPr>
          <w:rFonts w:ascii="Aptos" w:eastAsia="Times New Roman" w:hAnsi="Aptos" w:cs="Times New Roman"/>
          <w:b/>
          <w:bCs/>
          <w:kern w:val="0"/>
          <w:sz w:val="22"/>
          <w:szCs w:val="22"/>
          <w:lang w:eastAsia="en-GB"/>
          <w14:ligatures w14:val="none"/>
        </w:rPr>
        <w:t>Brunnermeier</w:t>
      </w:r>
      <w:proofErr w:type="spellEnd"/>
      <w:r w:rsidRPr="0032251D">
        <w:rPr>
          <w:rFonts w:ascii="Aptos" w:eastAsia="Times New Roman" w:hAnsi="Aptos" w:cs="Times New Roman"/>
          <w:b/>
          <w:bCs/>
          <w:kern w:val="0"/>
          <w:sz w:val="22"/>
          <w:szCs w:val="22"/>
          <w:lang w:eastAsia="en-GB"/>
          <w14:ligatures w14:val="none"/>
        </w:rPr>
        <w:t>-Sannikov (2014)</w:t>
      </w:r>
      <w:r w:rsidRPr="0032251D">
        <w:rPr>
          <w:rFonts w:ascii="Aptos" w:eastAsia="Times New Roman" w:hAnsi="Aptos" w:cs="Times New Roman"/>
          <w:kern w:val="0"/>
          <w:sz w:val="22"/>
          <w:szCs w:val="22"/>
          <w:lang w:eastAsia="en-GB"/>
          <w14:ligatures w14:val="none"/>
        </w:rPr>
        <w:t xml:space="preserve"> provide DSGE frameworks for financial accelerator dynamics where intermediary balance sheet stress amplifies real shocks. </w:t>
      </w:r>
      <w:r w:rsidRPr="0032251D">
        <w:rPr>
          <w:rFonts w:ascii="Aptos" w:eastAsia="Times New Roman" w:hAnsi="Aptos" w:cs="Times New Roman"/>
          <w:b/>
          <w:bCs/>
          <w:kern w:val="0"/>
          <w:sz w:val="22"/>
          <w:szCs w:val="22"/>
          <w:lang w:eastAsia="en-GB"/>
          <w14:ligatures w14:val="none"/>
        </w:rPr>
        <w:t>Acharya-Drechsler-Schnabl (2014)</w:t>
      </w:r>
      <w:r w:rsidRPr="0032251D">
        <w:rPr>
          <w:rFonts w:ascii="Aptos" w:eastAsia="Times New Roman" w:hAnsi="Aptos" w:cs="Times New Roman"/>
          <w:kern w:val="0"/>
          <w:sz w:val="22"/>
          <w:szCs w:val="22"/>
          <w:lang w:eastAsia="en-GB"/>
          <w14:ligatures w14:val="none"/>
        </w:rPr>
        <w:t xml:space="preserve"> formalises the sovereign-bank doom loop. </w:t>
      </w:r>
      <w:r w:rsidRPr="0032251D">
        <w:rPr>
          <w:rFonts w:ascii="Aptos" w:eastAsia="Times New Roman" w:hAnsi="Aptos" w:cs="Times New Roman"/>
          <w:b/>
          <w:bCs/>
          <w:kern w:val="0"/>
          <w:sz w:val="22"/>
          <w:szCs w:val="22"/>
          <w:lang w:eastAsia="en-GB"/>
          <w14:ligatures w14:val="none"/>
        </w:rPr>
        <w:t>He-Krishnamurthy (2013); Adrian-</w:t>
      </w:r>
      <w:proofErr w:type="spellStart"/>
      <w:r w:rsidRPr="0032251D">
        <w:rPr>
          <w:rFonts w:ascii="Aptos" w:eastAsia="Times New Roman" w:hAnsi="Aptos" w:cs="Times New Roman"/>
          <w:b/>
          <w:bCs/>
          <w:kern w:val="0"/>
          <w:sz w:val="22"/>
          <w:szCs w:val="22"/>
          <w:lang w:eastAsia="en-GB"/>
          <w14:ligatures w14:val="none"/>
        </w:rPr>
        <w:t>Etula</w:t>
      </w:r>
      <w:proofErr w:type="spellEnd"/>
      <w:r w:rsidRPr="0032251D">
        <w:rPr>
          <w:rFonts w:ascii="Aptos" w:eastAsia="Times New Roman" w:hAnsi="Aptos" w:cs="Times New Roman"/>
          <w:b/>
          <w:bCs/>
          <w:kern w:val="0"/>
          <w:sz w:val="22"/>
          <w:szCs w:val="22"/>
          <w:lang w:eastAsia="en-GB"/>
          <w14:ligatures w14:val="none"/>
        </w:rPr>
        <w:t>-Muir (2014)</w:t>
      </w:r>
      <w:r w:rsidRPr="0032251D">
        <w:rPr>
          <w:rFonts w:ascii="Aptos" w:eastAsia="Times New Roman" w:hAnsi="Aptos" w:cs="Times New Roman"/>
          <w:kern w:val="0"/>
          <w:sz w:val="22"/>
          <w:szCs w:val="22"/>
          <w:lang w:eastAsia="en-GB"/>
          <w14:ligatures w14:val="none"/>
        </w:rPr>
        <w:t xml:space="preserve"> establishes intermediary asset pricing — risk premia depend on intermediary balance sheet health.</w:t>
      </w:r>
    </w:p>
    <w:p w14:paraId="029358E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Canonical components.</w:t>
      </w:r>
      <w:r w:rsidRPr="0032251D">
        <w:rPr>
          <w:rFonts w:ascii="Aptos" w:eastAsia="Times New Roman" w:hAnsi="Aptos" w:cs="Times New Roman"/>
          <w:kern w:val="0"/>
          <w:sz w:val="22"/>
          <w:szCs w:val="22"/>
          <w:lang w:eastAsia="en-GB"/>
          <w14:ligatures w14:val="none"/>
        </w:rPr>
        <w:t xml:space="preserve"> L10b measurement spans multiple dimensions. </w:t>
      </w:r>
      <w:r w:rsidRPr="0032251D">
        <w:rPr>
          <w:rFonts w:ascii="Aptos" w:eastAsia="Times New Roman" w:hAnsi="Aptos" w:cs="Times New Roman"/>
          <w:b/>
          <w:bCs/>
          <w:kern w:val="0"/>
          <w:sz w:val="22"/>
          <w:szCs w:val="22"/>
          <w:lang w:eastAsia="en-GB"/>
          <w14:ligatures w14:val="none"/>
        </w:rPr>
        <w:t>Leverage</w:t>
      </w:r>
      <w:r w:rsidRPr="0032251D">
        <w:rPr>
          <w:rFonts w:ascii="Aptos" w:eastAsia="Times New Roman" w:hAnsi="Aptos" w:cs="Times New Roman"/>
          <w:kern w:val="0"/>
          <w:sz w:val="22"/>
          <w:szCs w:val="22"/>
          <w:lang w:eastAsia="en-GB"/>
          <w14:ligatures w14:val="none"/>
        </w:rPr>
        <w:t xml:space="preserve">: bank Tier 1 capital ratios; NBFI leverage (where measurable); household debt-to-income; household debt-service ratios; corporate debt-to-EBITDA; non-financial corporate debt-to-GDP. </w:t>
      </w:r>
      <w:r w:rsidRPr="0032251D">
        <w:rPr>
          <w:rFonts w:ascii="Aptos" w:eastAsia="Times New Roman" w:hAnsi="Aptos" w:cs="Times New Roman"/>
          <w:b/>
          <w:bCs/>
          <w:kern w:val="0"/>
          <w:sz w:val="22"/>
          <w:szCs w:val="22"/>
          <w:lang w:eastAsia="en-GB"/>
          <w14:ligatures w14:val="none"/>
        </w:rPr>
        <w:t>Maturity mismatch</w:t>
      </w:r>
      <w:r w:rsidRPr="0032251D">
        <w:rPr>
          <w:rFonts w:ascii="Aptos" w:eastAsia="Times New Roman" w:hAnsi="Aptos" w:cs="Times New Roman"/>
          <w:kern w:val="0"/>
          <w:sz w:val="22"/>
          <w:szCs w:val="22"/>
          <w:lang w:eastAsia="en-GB"/>
          <w14:ligatures w14:val="none"/>
        </w:rPr>
        <w:t xml:space="preserve">: bank loan-to-deposit ratios; NSFR; repo dependence; commercial paper rollover risk; foreign currency mismatch. </w:t>
      </w:r>
      <w:r w:rsidRPr="0032251D">
        <w:rPr>
          <w:rFonts w:ascii="Aptos" w:eastAsia="Times New Roman" w:hAnsi="Aptos" w:cs="Times New Roman"/>
          <w:b/>
          <w:bCs/>
          <w:kern w:val="0"/>
          <w:sz w:val="22"/>
          <w:szCs w:val="22"/>
          <w:lang w:eastAsia="en-GB"/>
          <w14:ligatures w14:val="none"/>
        </w:rPr>
        <w:t>Asset quality</w:t>
      </w:r>
      <w:r w:rsidRPr="0032251D">
        <w:rPr>
          <w:rFonts w:ascii="Aptos" w:eastAsia="Times New Roman" w:hAnsi="Aptos" w:cs="Times New Roman"/>
          <w:kern w:val="0"/>
          <w:sz w:val="22"/>
          <w:szCs w:val="22"/>
          <w:lang w:eastAsia="en-GB"/>
          <w14:ligatures w14:val="none"/>
        </w:rPr>
        <w:t xml:space="preserve">: NPL ratios; default rates; downgrade-to-upgrade ratios; CDS-implied default probabilities. </w:t>
      </w:r>
      <w:r w:rsidRPr="0032251D">
        <w:rPr>
          <w:rFonts w:ascii="Aptos" w:eastAsia="Times New Roman" w:hAnsi="Aptos" w:cs="Times New Roman"/>
          <w:b/>
          <w:bCs/>
          <w:kern w:val="0"/>
          <w:sz w:val="22"/>
          <w:szCs w:val="22"/>
          <w:lang w:eastAsia="en-GB"/>
          <w14:ligatures w14:val="none"/>
        </w:rPr>
        <w:t>Concentration</w:t>
      </w:r>
      <w:r w:rsidRPr="0032251D">
        <w:rPr>
          <w:rFonts w:ascii="Aptos" w:eastAsia="Times New Roman" w:hAnsi="Aptos" w:cs="Times New Roman"/>
          <w:kern w:val="0"/>
          <w:sz w:val="22"/>
          <w:szCs w:val="22"/>
          <w:lang w:eastAsia="en-GB"/>
          <w14:ligatures w14:val="none"/>
        </w:rPr>
        <w:t xml:space="preserve">: SIFI list (G-SIBs); largest institution market share; sectoral credit concentration. </w:t>
      </w:r>
      <w:r w:rsidRPr="0032251D">
        <w:rPr>
          <w:rFonts w:ascii="Aptos" w:eastAsia="Times New Roman" w:hAnsi="Aptos" w:cs="Times New Roman"/>
          <w:b/>
          <w:bCs/>
          <w:kern w:val="0"/>
          <w:sz w:val="22"/>
          <w:szCs w:val="22"/>
          <w:lang w:eastAsia="en-GB"/>
          <w14:ligatures w14:val="none"/>
        </w:rPr>
        <w:t>Interconnectedness</w:t>
      </w:r>
      <w:r w:rsidRPr="0032251D">
        <w:rPr>
          <w:rFonts w:ascii="Aptos" w:eastAsia="Times New Roman" w:hAnsi="Aptos" w:cs="Times New Roman"/>
          <w:kern w:val="0"/>
          <w:sz w:val="22"/>
          <w:szCs w:val="22"/>
          <w:lang w:eastAsia="en-GB"/>
          <w14:ligatures w14:val="none"/>
        </w:rPr>
        <w:t xml:space="preserve">: cross-border bank claims (BIS); CCP exposures; bilateral derivatives </w:t>
      </w:r>
      <w:proofErr w:type="spellStart"/>
      <w:r w:rsidRPr="0032251D">
        <w:rPr>
          <w:rFonts w:ascii="Aptos" w:eastAsia="Times New Roman" w:hAnsi="Aptos" w:cs="Times New Roman"/>
          <w:kern w:val="0"/>
          <w:sz w:val="22"/>
          <w:szCs w:val="22"/>
          <w:lang w:eastAsia="en-GB"/>
          <w14:ligatures w14:val="none"/>
        </w:rPr>
        <w:t>notionals</w:t>
      </w:r>
      <w:proofErr w:type="spellEnd"/>
      <w:r w:rsidRPr="0032251D">
        <w:rPr>
          <w:rFonts w:ascii="Aptos" w:eastAsia="Times New Roman" w:hAnsi="Aptos" w:cs="Times New Roman"/>
          <w:kern w:val="0"/>
          <w:sz w:val="22"/>
          <w:szCs w:val="22"/>
          <w:lang w:eastAsia="en-GB"/>
          <w14:ligatures w14:val="none"/>
        </w:rPr>
        <w:t xml:space="preserve">. </w:t>
      </w:r>
      <w:r w:rsidRPr="0032251D">
        <w:rPr>
          <w:rFonts w:ascii="Aptos" w:eastAsia="Times New Roman" w:hAnsi="Aptos" w:cs="Times New Roman"/>
          <w:b/>
          <w:bCs/>
          <w:kern w:val="0"/>
          <w:sz w:val="22"/>
          <w:szCs w:val="22"/>
          <w:lang w:eastAsia="en-GB"/>
          <w14:ligatures w14:val="none"/>
        </w:rPr>
        <w:t>Asset price misalignment</w:t>
      </w:r>
      <w:r w:rsidRPr="0032251D">
        <w:rPr>
          <w:rFonts w:ascii="Aptos" w:eastAsia="Times New Roman" w:hAnsi="Aptos" w:cs="Times New Roman"/>
          <w:kern w:val="0"/>
          <w:sz w:val="22"/>
          <w:szCs w:val="22"/>
          <w:lang w:eastAsia="en-GB"/>
          <w14:ligatures w14:val="none"/>
        </w:rPr>
        <w:t xml:space="preserve">: P/E vs long-run average; credit spreads vs default rates; housing price-to-income; commercial real estate cap rates. </w:t>
      </w:r>
      <w:r w:rsidRPr="0032251D">
        <w:rPr>
          <w:rFonts w:ascii="Aptos" w:eastAsia="Times New Roman" w:hAnsi="Aptos" w:cs="Times New Roman"/>
          <w:b/>
          <w:bCs/>
          <w:kern w:val="0"/>
          <w:sz w:val="22"/>
          <w:szCs w:val="22"/>
          <w:lang w:eastAsia="en-GB"/>
          <w14:ligatures w14:val="none"/>
        </w:rPr>
        <w:t>Credit-to-GDP gap</w:t>
      </w:r>
      <w:r w:rsidRPr="0032251D">
        <w:rPr>
          <w:rFonts w:ascii="Aptos" w:eastAsia="Times New Roman" w:hAnsi="Aptos" w:cs="Times New Roman"/>
          <w:kern w:val="0"/>
          <w:sz w:val="22"/>
          <w:szCs w:val="22"/>
          <w:lang w:eastAsia="en-GB"/>
          <w14:ligatures w14:val="none"/>
        </w:rPr>
        <w:t xml:space="preserve"> (Basel III): the headline financial cycle indicator. </w:t>
      </w:r>
      <w:r w:rsidRPr="0032251D">
        <w:rPr>
          <w:rFonts w:ascii="Aptos" w:eastAsia="Times New Roman" w:hAnsi="Aptos" w:cs="Times New Roman"/>
          <w:b/>
          <w:bCs/>
          <w:kern w:val="0"/>
          <w:sz w:val="22"/>
          <w:szCs w:val="22"/>
          <w:lang w:eastAsia="en-GB"/>
          <w14:ligatures w14:val="none"/>
        </w:rPr>
        <w:t>Composite financial stress indices</w:t>
      </w:r>
      <w:r w:rsidRPr="0032251D">
        <w:rPr>
          <w:rFonts w:ascii="Aptos" w:eastAsia="Times New Roman" w:hAnsi="Aptos" w:cs="Times New Roman"/>
          <w:kern w:val="0"/>
          <w:sz w:val="22"/>
          <w:szCs w:val="22"/>
          <w:lang w:eastAsia="en-GB"/>
          <w14:ligatures w14:val="none"/>
        </w:rPr>
        <w:t>: Office of Financial Research FSI; ECB Composite Indicator of Systemic Stress; IMF Financial Stability Monitor.</w:t>
      </w:r>
    </w:p>
    <w:p w14:paraId="69C5314F"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Why this matters for asset prices.</w:t>
      </w:r>
      <w:r w:rsidRPr="0032251D">
        <w:rPr>
          <w:rFonts w:ascii="Aptos" w:eastAsia="Times New Roman" w:hAnsi="Aptos" w:cs="Times New Roman"/>
          <w:kern w:val="0"/>
          <w:sz w:val="22"/>
          <w:szCs w:val="22"/>
          <w:lang w:eastAsia="en-GB"/>
          <w14:ligatures w14:val="none"/>
        </w:rPr>
        <w:t xml:space="preserve"> L10b matters because stability tail events drive non-linear policy response and asset price dislocation. Routine cyclical variation operates within L10a's channels; stability stress activates the λ coefficient and forces emergency policy response (rate cuts, liquidity facilities, asset purchases) regardless of where inflation is. The 2023 SVB episode forced the Fed to ease policy expectations and create BTFP despite inflation being above target. The 2020 episode forced ZIRP and massive QE despite the inflation backdrop. For investment managers, L10b stress is when correlation regimes break — diversification fails, all risk assets sell together, and only safe-haven duration plus dollar cash work as hedges. Identifying L10b stress building before it triggers is therefore among the highest-value framework outputs. The leading indicators (credit-to-GDP gap rising; financial conditions loose; concentration rising; cross-border claims building) provide early signals.</w:t>
      </w:r>
    </w:p>
    <w:p w14:paraId="4D019CC9"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EM extension and SA specifics.</w:t>
      </w:r>
      <w:r w:rsidRPr="0032251D">
        <w:rPr>
          <w:rFonts w:ascii="Aptos" w:eastAsia="Times New Roman" w:hAnsi="Aptos" w:cs="Times New Roman"/>
          <w:kern w:val="0"/>
          <w:sz w:val="22"/>
          <w:szCs w:val="22"/>
          <w:lang w:eastAsia="en-GB"/>
          <w14:ligatures w14:val="none"/>
        </w:rPr>
        <w:t xml:space="preserve"> EM financial stability is often dominated by sovereign-bank loops, FX mismatches, and currency run dynamics. The original-sin literature (</w:t>
      </w:r>
      <w:proofErr w:type="spellStart"/>
      <w:r w:rsidRPr="0032251D">
        <w:rPr>
          <w:rFonts w:ascii="Aptos" w:eastAsia="Times New Roman" w:hAnsi="Aptos" w:cs="Times New Roman"/>
          <w:kern w:val="0"/>
          <w:sz w:val="22"/>
          <w:szCs w:val="22"/>
          <w:lang w:eastAsia="en-GB"/>
          <w14:ligatures w14:val="none"/>
        </w:rPr>
        <w:t>Eichengreen</w:t>
      </w:r>
      <w:proofErr w:type="spellEnd"/>
      <w:r w:rsidRPr="0032251D">
        <w:rPr>
          <w:rFonts w:ascii="Aptos" w:eastAsia="Times New Roman" w:hAnsi="Aptos" w:cs="Times New Roman"/>
          <w:kern w:val="0"/>
          <w:sz w:val="22"/>
          <w:szCs w:val="22"/>
          <w:lang w:eastAsia="en-GB"/>
          <w14:ligatures w14:val="none"/>
        </w:rPr>
        <w:t>-Hausmann 1999) establishes that EM borrowers in foreign currency face stability risks that DM borrowers in their own currency do not. For SA: the sovereign-bank loop is moderate (banks hold ~12-15% of SAGB stock, lower than peripheral euro area pre-2012); CET1 ratios are healthy (~12-14%); LCR and NSFR are above minimums; non-bank financial system is concentrated in PIC (the largest single L5b risk); contingent sovereign liabilities (Eskom, Transnet, SAA, defence pensions) create off-balance-sheet fiscal stress; household debt-service ratios are elevated (~8-9% of disposable income, high by EM standards) reflecting floating-rate mortgage exposure; property sector (commercial REITs) faces structural stress from high vacancies and weak growth; foreign portfolio dependence is moderate (SAGB foreign holder share ~20% post-2024) but down meaningfully from the 40%+ peak.</w:t>
      </w:r>
    </w:p>
    <w:p w14:paraId="51E8A9E1"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Empirical pitfalls.</w:t>
      </w:r>
      <w:r w:rsidRPr="0032251D">
        <w:rPr>
          <w:rFonts w:ascii="Aptos" w:eastAsia="Times New Roman" w:hAnsi="Aptos" w:cs="Times New Roman"/>
          <w:kern w:val="0"/>
          <w:sz w:val="22"/>
          <w:szCs w:val="22"/>
          <w:lang w:eastAsia="en-GB"/>
          <w14:ligatures w14:val="none"/>
        </w:rPr>
        <w:t xml:space="preserve"> Stability metrics often lag stress rather than lead it — NPLs spike after the credit cycle has turned, not before. The credit-to-GDP gap has well-documented false positives — particularly in EM where structural credit deepening is appropriate and registers as a gap. Concentration and interconnectedness are difficult to measure — bilateral exposures, derivatives chains, and shadow banking opacity all create measurement gaps. The "Great Moderation" problem (Minsky's insight) means that low realised volatility can mask building tail risk. Cross-border channels are particularly hard to measure — BIS banking statistics provide a partial picture but with substantial lag. NBFI measurement is structurally weak relative to bank measurement.</w:t>
      </w:r>
    </w:p>
    <w:p w14:paraId="65C9F4ED"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Where dissonance lives.</w:t>
      </w:r>
      <w:r w:rsidRPr="0032251D">
        <w:rPr>
          <w:rFonts w:ascii="Aptos" w:eastAsia="Times New Roman" w:hAnsi="Aptos" w:cs="Times New Roman"/>
          <w:kern w:val="0"/>
          <w:sz w:val="22"/>
          <w:szCs w:val="22"/>
          <w:lang w:eastAsia="en-GB"/>
          <w14:ligatures w14:val="none"/>
        </w:rPr>
        <w:t xml:space="preserve"> L10b dissonance is structurally important because stability failures are typically the result of dissonance accumulation across the framework. </w:t>
      </w:r>
      <w:r w:rsidRPr="0032251D">
        <w:rPr>
          <w:rFonts w:ascii="Aptos" w:eastAsia="Times New Roman" w:hAnsi="Aptos" w:cs="Times New Roman"/>
          <w:i/>
          <w:iCs/>
          <w:kern w:val="0"/>
          <w:sz w:val="22"/>
          <w:szCs w:val="22"/>
          <w:lang w:eastAsia="en-GB"/>
          <w14:ligatures w14:val="none"/>
        </w:rPr>
        <w:t>Intra-node:</w:t>
      </w:r>
      <w:r w:rsidRPr="0032251D">
        <w:rPr>
          <w:rFonts w:ascii="Aptos" w:eastAsia="Times New Roman" w:hAnsi="Aptos" w:cs="Times New Roman"/>
          <w:kern w:val="0"/>
          <w:sz w:val="22"/>
          <w:szCs w:val="22"/>
          <w:lang w:eastAsia="en-GB"/>
          <w14:ligatures w14:val="none"/>
        </w:rPr>
        <w:t xml:space="preserve"> leverage building without realised credit losses; asset prices elevated while fundamentals weak; concentration rising while system-level metrics appear healthy. </w:t>
      </w:r>
      <w:r w:rsidRPr="0032251D">
        <w:rPr>
          <w:rFonts w:ascii="Aptos" w:eastAsia="Times New Roman" w:hAnsi="Aptos" w:cs="Times New Roman"/>
          <w:i/>
          <w:iCs/>
          <w:kern w:val="0"/>
          <w:sz w:val="22"/>
          <w:szCs w:val="22"/>
          <w:lang w:eastAsia="en-GB"/>
          <w14:ligatures w14:val="none"/>
        </w:rPr>
        <w:t>Vertical from L7:</w:t>
      </w:r>
      <w:r w:rsidRPr="0032251D">
        <w:rPr>
          <w:rFonts w:ascii="Aptos" w:eastAsia="Times New Roman" w:hAnsi="Aptos" w:cs="Times New Roman"/>
          <w:kern w:val="0"/>
          <w:sz w:val="22"/>
          <w:szCs w:val="22"/>
          <w:lang w:eastAsia="en-GB"/>
          <w14:ligatures w14:val="none"/>
        </w:rPr>
        <w:t xml:space="preserve"> FCI loose for prolonged periods while leverage builds — the Borio "financial cycle" pattern; stability stress accumulating during apparently calm financial conditions. </w:t>
      </w:r>
      <w:r w:rsidRPr="0032251D">
        <w:rPr>
          <w:rFonts w:ascii="Aptos" w:eastAsia="Times New Roman" w:hAnsi="Aptos" w:cs="Times New Roman"/>
          <w:i/>
          <w:iCs/>
          <w:kern w:val="0"/>
          <w:sz w:val="22"/>
          <w:szCs w:val="22"/>
          <w:lang w:eastAsia="en-GB"/>
          <w14:ligatures w14:val="none"/>
        </w:rPr>
        <w:t>Vertical from L3e:</w:t>
      </w:r>
      <w:r w:rsidRPr="0032251D">
        <w:rPr>
          <w:rFonts w:ascii="Aptos" w:eastAsia="Times New Roman" w:hAnsi="Aptos" w:cs="Times New Roman"/>
          <w:kern w:val="0"/>
          <w:sz w:val="22"/>
          <w:szCs w:val="22"/>
          <w:lang w:eastAsia="en-GB"/>
          <w14:ligatures w14:val="none"/>
        </w:rPr>
        <w:t xml:space="preserve"> macroprudential tightening without stability indicators improving — instruments not biting. </w:t>
      </w:r>
      <w:r w:rsidRPr="0032251D">
        <w:rPr>
          <w:rFonts w:ascii="Aptos" w:eastAsia="Times New Roman" w:hAnsi="Aptos" w:cs="Times New Roman"/>
          <w:i/>
          <w:iCs/>
          <w:kern w:val="0"/>
          <w:sz w:val="22"/>
          <w:szCs w:val="22"/>
          <w:lang w:eastAsia="en-GB"/>
          <w14:ligatures w14:val="none"/>
        </w:rPr>
        <w:t>Vertical from L5:</w:t>
      </w:r>
      <w:r w:rsidRPr="0032251D">
        <w:rPr>
          <w:rFonts w:ascii="Aptos" w:eastAsia="Times New Roman" w:hAnsi="Aptos" w:cs="Times New Roman"/>
          <w:kern w:val="0"/>
          <w:sz w:val="22"/>
          <w:szCs w:val="22"/>
          <w:lang w:eastAsia="en-GB"/>
          <w14:ligatures w14:val="none"/>
        </w:rPr>
        <w:t xml:space="preserve"> intermediary stress at sub-component level without aggregate stability metrics registering — coverage gap. </w:t>
      </w:r>
      <w:r w:rsidRPr="0032251D">
        <w:rPr>
          <w:rFonts w:ascii="Aptos" w:eastAsia="Times New Roman" w:hAnsi="Aptos" w:cs="Times New Roman"/>
          <w:i/>
          <w:iCs/>
          <w:kern w:val="0"/>
          <w:sz w:val="22"/>
          <w:szCs w:val="22"/>
          <w:lang w:eastAsia="en-GB"/>
          <w14:ligatures w14:val="none"/>
        </w:rPr>
        <w:t>Vertical from L9:</w:t>
      </w:r>
      <w:r w:rsidRPr="0032251D">
        <w:rPr>
          <w:rFonts w:ascii="Aptos" w:eastAsia="Times New Roman" w:hAnsi="Aptos" w:cs="Times New Roman"/>
          <w:kern w:val="0"/>
          <w:sz w:val="22"/>
          <w:szCs w:val="22"/>
          <w:lang w:eastAsia="en-GB"/>
          <w14:ligatures w14:val="none"/>
        </w:rPr>
        <w:t xml:space="preserve"> asset prices elevated while stability metrics deteriorate — the pre-crisis pattern (2006-2007 housing, 2020-2021 risk asset rally despite COVID stress). </w:t>
      </w:r>
      <w:r w:rsidRPr="0032251D">
        <w:rPr>
          <w:rFonts w:ascii="Aptos" w:eastAsia="Times New Roman" w:hAnsi="Aptos" w:cs="Times New Roman"/>
          <w:i/>
          <w:iCs/>
          <w:kern w:val="0"/>
          <w:sz w:val="22"/>
          <w:szCs w:val="22"/>
          <w:lang w:eastAsia="en-GB"/>
          <w14:ligatures w14:val="none"/>
        </w:rPr>
        <w:t>Back to L1:</w:t>
      </w:r>
      <w:r w:rsidRPr="0032251D">
        <w:rPr>
          <w:rFonts w:ascii="Aptos" w:eastAsia="Times New Roman" w:hAnsi="Aptos" w:cs="Times New Roman"/>
          <w:kern w:val="0"/>
          <w:sz w:val="22"/>
          <w:szCs w:val="22"/>
          <w:lang w:eastAsia="en-GB"/>
          <w14:ligatures w14:val="none"/>
        </w:rPr>
        <w:t xml:space="preserve"> price stability targets being met while stability deteriorates — the Great Moderation pattern that the 2008 crisis exposed. Tight money + loose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or </w:t>
      </w:r>
      <w:proofErr w:type="spellStart"/>
      <w:r w:rsidRPr="0032251D">
        <w:rPr>
          <w:rFonts w:ascii="Aptos" w:eastAsia="Times New Roman" w:hAnsi="Aptos" w:cs="Times New Roman"/>
          <w:kern w:val="0"/>
          <w:sz w:val="22"/>
          <w:szCs w:val="22"/>
          <w:lang w:eastAsia="en-GB"/>
          <w14:ligatures w14:val="none"/>
        </w:rPr>
        <w:t>loose</w:t>
      </w:r>
      <w:proofErr w:type="spellEnd"/>
      <w:r w:rsidRPr="0032251D">
        <w:rPr>
          <w:rFonts w:ascii="Aptos" w:eastAsia="Times New Roman" w:hAnsi="Aptos" w:cs="Times New Roman"/>
          <w:kern w:val="0"/>
          <w:sz w:val="22"/>
          <w:szCs w:val="22"/>
          <w:lang w:eastAsia="en-GB"/>
          <w14:ligatures w14:val="none"/>
        </w:rPr>
        <w:t xml:space="preserve"> money + tight </w:t>
      </w:r>
      <w:proofErr w:type="spellStart"/>
      <w:r w:rsidRPr="0032251D">
        <w:rPr>
          <w:rFonts w:ascii="Aptos" w:eastAsia="Times New Roman" w:hAnsi="Aptos" w:cs="Times New Roman"/>
          <w:kern w:val="0"/>
          <w:sz w:val="22"/>
          <w:szCs w:val="22"/>
          <w:lang w:eastAsia="en-GB"/>
          <w14:ligatures w14:val="none"/>
        </w:rPr>
        <w:t>macropru</w:t>
      </w:r>
      <w:proofErr w:type="spellEnd"/>
      <w:r w:rsidRPr="0032251D">
        <w:rPr>
          <w:rFonts w:ascii="Aptos" w:eastAsia="Times New Roman" w:hAnsi="Aptos" w:cs="Times New Roman"/>
          <w:kern w:val="0"/>
          <w:sz w:val="22"/>
          <w:szCs w:val="22"/>
          <w:lang w:eastAsia="en-GB"/>
          <w14:ligatures w14:val="none"/>
        </w:rPr>
        <w:t xml:space="preserve"> — these cross-mandate stance choices are themselves L10b dissonance signals.</w:t>
      </w:r>
    </w:p>
    <w:p w14:paraId="0FC62049"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58CD904B">
          <v:rect id="_x0000_i1143" alt="" style="width:451.3pt;height:.05pt;mso-width-percent:0;mso-height-percent:0;mso-width-percent:0;mso-height-percent:0" o:hralign="center" o:hrstd="t" o:hr="t" fillcolor="#a0a0a0" stroked="f"/>
        </w:pict>
      </w:r>
    </w:p>
    <w:p w14:paraId="3ED1517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Level 10c — Global Spillovers</w:t>
      </w:r>
    </w:p>
    <w:p w14:paraId="7F2FC80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Definition.</w:t>
      </w:r>
      <w:r w:rsidRPr="0032251D">
        <w:rPr>
          <w:rFonts w:ascii="Aptos" w:eastAsia="Times New Roman" w:hAnsi="Aptos" w:cs="Times New Roman"/>
          <w:kern w:val="0"/>
          <w:sz w:val="22"/>
          <w:szCs w:val="22"/>
          <w:lang w:eastAsia="en-GB"/>
          <w14:ligatures w14:val="none"/>
        </w:rPr>
        <w:t xml:space="preserve"> L10c is the global-spillover terminal outcome — the cross-border transmission of monetary policy through capital flows, FX channels, foreign asset prices, and macro spillovers. The L10c node captures both </w:t>
      </w:r>
      <w:r w:rsidRPr="0032251D">
        <w:rPr>
          <w:rFonts w:ascii="Aptos" w:eastAsia="Times New Roman" w:hAnsi="Aptos" w:cs="Times New Roman"/>
          <w:i/>
          <w:iCs/>
          <w:kern w:val="0"/>
          <w:sz w:val="22"/>
          <w:szCs w:val="22"/>
          <w:lang w:eastAsia="en-GB"/>
          <w14:ligatures w14:val="none"/>
        </w:rPr>
        <w:t>inbound</w:t>
      </w:r>
      <w:r w:rsidRPr="0032251D">
        <w:rPr>
          <w:rFonts w:ascii="Aptos" w:eastAsia="Times New Roman" w:hAnsi="Aptos" w:cs="Times New Roman"/>
          <w:kern w:val="0"/>
          <w:sz w:val="22"/>
          <w:szCs w:val="22"/>
          <w:lang w:eastAsia="en-GB"/>
          <w14:ligatures w14:val="none"/>
        </w:rPr>
        <w:t xml:space="preserve"> spillovers (foreign policy affecting domestic conditions) and </w:t>
      </w:r>
      <w:r w:rsidRPr="0032251D">
        <w:rPr>
          <w:rFonts w:ascii="Aptos" w:eastAsia="Times New Roman" w:hAnsi="Aptos" w:cs="Times New Roman"/>
          <w:i/>
          <w:iCs/>
          <w:kern w:val="0"/>
          <w:sz w:val="22"/>
          <w:szCs w:val="22"/>
          <w:lang w:eastAsia="en-GB"/>
          <w14:ligatures w14:val="none"/>
        </w:rPr>
        <w:t>outbound</w:t>
      </w:r>
      <w:r w:rsidRPr="0032251D">
        <w:rPr>
          <w:rFonts w:ascii="Aptos" w:eastAsia="Times New Roman" w:hAnsi="Aptos" w:cs="Times New Roman"/>
          <w:kern w:val="0"/>
          <w:sz w:val="22"/>
          <w:szCs w:val="22"/>
          <w:lang w:eastAsia="en-GB"/>
          <w14:ligatures w14:val="none"/>
        </w:rPr>
        <w:t xml:space="preserve"> spillovers (domestic policy affecting peer countries and the global aggregate). The node closes the framework loop through the δ coefficient (FX response</w:t>
      </w:r>
      <w:proofErr w:type="gramStart"/>
      <w:r w:rsidRPr="0032251D">
        <w:rPr>
          <w:rFonts w:ascii="Aptos" w:eastAsia="Times New Roman" w:hAnsi="Aptos" w:cs="Times New Roman"/>
          <w:kern w:val="0"/>
          <w:sz w:val="22"/>
          <w:szCs w:val="22"/>
          <w:lang w:eastAsia="en-GB"/>
          <w14:ligatures w14:val="none"/>
        </w:rPr>
        <w:t>)</w:t>
      </w:r>
      <w:proofErr w:type="gramEnd"/>
      <w:r w:rsidRPr="0032251D">
        <w:rPr>
          <w:rFonts w:ascii="Aptos" w:eastAsia="Times New Roman" w:hAnsi="Aptos" w:cs="Times New Roman"/>
          <w:kern w:val="0"/>
          <w:sz w:val="22"/>
          <w:szCs w:val="22"/>
          <w:lang w:eastAsia="en-GB"/>
          <w14:ligatures w14:val="none"/>
        </w:rPr>
        <w:t xml:space="preserve"> and the constraint set (capital flow reversals, dollar funding stress) of the L2 loss function. For EM banks, L10c is often the </w:t>
      </w:r>
      <w:r w:rsidRPr="0032251D">
        <w:rPr>
          <w:rFonts w:ascii="Aptos" w:eastAsia="Times New Roman" w:hAnsi="Aptos" w:cs="Times New Roman"/>
          <w:i/>
          <w:iCs/>
          <w:kern w:val="0"/>
          <w:sz w:val="22"/>
          <w:szCs w:val="22"/>
          <w:lang w:eastAsia="en-GB"/>
          <w14:ligatures w14:val="none"/>
        </w:rPr>
        <w:t>dominant</w:t>
      </w:r>
      <w:r w:rsidRPr="0032251D">
        <w:rPr>
          <w:rFonts w:ascii="Aptos" w:eastAsia="Times New Roman" w:hAnsi="Aptos" w:cs="Times New Roman"/>
          <w:kern w:val="0"/>
          <w:sz w:val="22"/>
          <w:szCs w:val="22"/>
          <w:lang w:eastAsia="en-GB"/>
          <w14:ligatures w14:val="none"/>
        </w:rPr>
        <w:t xml:space="preserve"> terminal node — global cycle dynamics frequently overwhelm domestic policy intent.</w:t>
      </w:r>
    </w:p>
    <w:p w14:paraId="6719A76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Theory.</w:t>
      </w:r>
      <w:r w:rsidRPr="0032251D">
        <w:rPr>
          <w:rFonts w:ascii="Aptos" w:eastAsia="Times New Roman" w:hAnsi="Aptos" w:cs="Times New Roman"/>
          <w:kern w:val="0"/>
          <w:sz w:val="22"/>
          <w:szCs w:val="22"/>
          <w:lang w:eastAsia="en-GB"/>
          <w14:ligatures w14:val="none"/>
        </w:rPr>
        <w:t xml:space="preserve"> Foundations include several key contributions. </w:t>
      </w:r>
      <w:r w:rsidRPr="0032251D">
        <w:rPr>
          <w:rFonts w:ascii="Aptos" w:eastAsia="Times New Roman" w:hAnsi="Aptos" w:cs="Times New Roman"/>
          <w:b/>
          <w:bCs/>
          <w:kern w:val="0"/>
          <w:sz w:val="22"/>
          <w:szCs w:val="22"/>
          <w:lang w:eastAsia="en-GB"/>
          <w14:ligatures w14:val="none"/>
        </w:rPr>
        <w:t>The Mundell-Fleming trilemma (1960s)</w:t>
      </w:r>
      <w:r w:rsidRPr="0032251D">
        <w:rPr>
          <w:rFonts w:ascii="Aptos" w:eastAsia="Times New Roman" w:hAnsi="Aptos" w:cs="Times New Roman"/>
          <w:kern w:val="0"/>
          <w:sz w:val="22"/>
          <w:szCs w:val="22"/>
          <w:lang w:eastAsia="en-GB"/>
          <w14:ligatures w14:val="none"/>
        </w:rPr>
        <w:t xml:space="preserve"> establishes that countries can have at most two of: monetary autonomy, fixed exchange rate, free capital mobility. </w:t>
      </w:r>
      <w:r w:rsidRPr="0032251D">
        <w:rPr>
          <w:rFonts w:ascii="Aptos" w:eastAsia="Times New Roman" w:hAnsi="Aptos" w:cs="Times New Roman"/>
          <w:b/>
          <w:bCs/>
          <w:kern w:val="0"/>
          <w:sz w:val="22"/>
          <w:szCs w:val="22"/>
          <w:lang w:eastAsia="en-GB"/>
          <w14:ligatures w14:val="none"/>
        </w:rPr>
        <w:t>Rey (2015)</w:t>
      </w:r>
      <w:r w:rsidRPr="0032251D">
        <w:rPr>
          <w:rFonts w:ascii="Aptos" w:eastAsia="Times New Roman" w:hAnsi="Aptos" w:cs="Times New Roman"/>
          <w:kern w:val="0"/>
          <w:sz w:val="22"/>
          <w:szCs w:val="22"/>
          <w:lang w:eastAsia="en-GB"/>
          <w14:ligatures w14:val="none"/>
        </w:rPr>
        <w:t xml:space="preserve"> updates this to a </w:t>
      </w:r>
      <w:r w:rsidRPr="0032251D">
        <w:rPr>
          <w:rFonts w:ascii="Aptos" w:eastAsia="Times New Roman" w:hAnsi="Aptos" w:cs="Times New Roman"/>
          <w:i/>
          <w:iCs/>
          <w:kern w:val="0"/>
          <w:sz w:val="22"/>
          <w:szCs w:val="22"/>
          <w:lang w:eastAsia="en-GB"/>
          <w14:ligatures w14:val="none"/>
        </w:rPr>
        <w:t>dilemma</w:t>
      </w:r>
      <w:r w:rsidRPr="0032251D">
        <w:rPr>
          <w:rFonts w:ascii="Aptos" w:eastAsia="Times New Roman" w:hAnsi="Aptos" w:cs="Times New Roman"/>
          <w:kern w:val="0"/>
          <w:sz w:val="22"/>
          <w:szCs w:val="22"/>
          <w:lang w:eastAsia="en-GB"/>
          <w14:ligatures w14:val="none"/>
        </w:rPr>
        <w:t xml:space="preserve"> — capital mobility alone binds monetary autonomy, regardless of exchange rate regime. </w:t>
      </w:r>
      <w:r w:rsidRPr="0032251D">
        <w:rPr>
          <w:rFonts w:ascii="Aptos" w:eastAsia="Times New Roman" w:hAnsi="Aptos" w:cs="Times New Roman"/>
          <w:b/>
          <w:bCs/>
          <w:kern w:val="0"/>
          <w:sz w:val="22"/>
          <w:szCs w:val="22"/>
          <w:lang w:eastAsia="en-GB"/>
          <w14:ligatures w14:val="none"/>
        </w:rPr>
        <w:t>Miranda-Agrippino-Rey (2020)</w:t>
      </w:r>
      <w:r w:rsidRPr="0032251D">
        <w:rPr>
          <w:rFonts w:ascii="Aptos" w:eastAsia="Times New Roman" w:hAnsi="Aptos" w:cs="Times New Roman"/>
          <w:kern w:val="0"/>
          <w:sz w:val="22"/>
          <w:szCs w:val="22"/>
          <w:lang w:eastAsia="en-GB"/>
          <w14:ligatures w14:val="none"/>
        </w:rPr>
        <w:t xml:space="preserve"> documents the global financial cycle as a single common factor driving cross-border capital flows, risk asset prices, and credit conditions across countries; the cycle is driven largely by US monetary policy and global risk appetite. </w:t>
      </w:r>
      <w:r w:rsidRPr="0032251D">
        <w:rPr>
          <w:rFonts w:ascii="Aptos" w:eastAsia="Times New Roman" w:hAnsi="Aptos" w:cs="Times New Roman"/>
          <w:b/>
          <w:bCs/>
          <w:kern w:val="0"/>
          <w:sz w:val="22"/>
          <w:szCs w:val="22"/>
          <w:lang w:eastAsia="en-GB"/>
          <w14:ligatures w14:val="none"/>
        </w:rPr>
        <w:t>Calvo (1998; 2003)</w:t>
      </w:r>
      <w:r w:rsidRPr="0032251D">
        <w:rPr>
          <w:rFonts w:ascii="Aptos" w:eastAsia="Times New Roman" w:hAnsi="Aptos" w:cs="Times New Roman"/>
          <w:kern w:val="0"/>
          <w:sz w:val="22"/>
          <w:szCs w:val="22"/>
          <w:lang w:eastAsia="en-GB"/>
          <w14:ligatures w14:val="none"/>
        </w:rPr>
        <w:t xml:space="preserve"> establishes sudden stops — abrupt reversals of capital inflows that force painful adjustment in EM. </w:t>
      </w:r>
      <w:r w:rsidRPr="0032251D">
        <w:rPr>
          <w:rFonts w:ascii="Aptos" w:eastAsia="Times New Roman" w:hAnsi="Aptos" w:cs="Times New Roman"/>
          <w:b/>
          <w:bCs/>
          <w:kern w:val="0"/>
          <w:sz w:val="22"/>
          <w:szCs w:val="22"/>
          <w:lang w:eastAsia="en-GB"/>
          <w14:ligatures w14:val="none"/>
        </w:rPr>
        <w:t>Bruno-Shin (2015)</w:t>
      </w:r>
      <w:r w:rsidRPr="0032251D">
        <w:rPr>
          <w:rFonts w:ascii="Aptos" w:eastAsia="Times New Roman" w:hAnsi="Aptos" w:cs="Times New Roman"/>
          <w:kern w:val="0"/>
          <w:sz w:val="22"/>
          <w:szCs w:val="22"/>
          <w:lang w:eastAsia="en-GB"/>
          <w14:ligatures w14:val="none"/>
        </w:rPr>
        <w:t xml:space="preserve"> develops the global banking model — cross-border bank lending transmits monetary policy across borders through dollar funding. </w:t>
      </w:r>
      <w:proofErr w:type="spellStart"/>
      <w:r w:rsidRPr="0032251D">
        <w:rPr>
          <w:rFonts w:ascii="Aptos" w:eastAsia="Times New Roman" w:hAnsi="Aptos" w:cs="Times New Roman"/>
          <w:b/>
          <w:bCs/>
          <w:kern w:val="0"/>
          <w:sz w:val="22"/>
          <w:szCs w:val="22"/>
          <w:lang w:eastAsia="en-GB"/>
          <w14:ligatures w14:val="none"/>
        </w:rPr>
        <w:t>Avdjiev</w:t>
      </w:r>
      <w:proofErr w:type="spellEnd"/>
      <w:r w:rsidRPr="0032251D">
        <w:rPr>
          <w:rFonts w:ascii="Aptos" w:eastAsia="Times New Roman" w:hAnsi="Aptos" w:cs="Times New Roman"/>
          <w:b/>
          <w:bCs/>
          <w:kern w:val="0"/>
          <w:sz w:val="22"/>
          <w:szCs w:val="22"/>
          <w:lang w:eastAsia="en-GB"/>
          <w14:ligatures w14:val="none"/>
        </w:rPr>
        <w:t>-McCauley-Shin (2019)</w:t>
      </w:r>
      <w:r w:rsidRPr="0032251D">
        <w:rPr>
          <w:rFonts w:ascii="Aptos" w:eastAsia="Times New Roman" w:hAnsi="Aptos" w:cs="Times New Roman"/>
          <w:kern w:val="0"/>
          <w:sz w:val="22"/>
          <w:szCs w:val="22"/>
          <w:lang w:eastAsia="en-GB"/>
          <w14:ligatures w14:val="none"/>
        </w:rPr>
        <w:t xml:space="preserve"> establishes USD dominance in cross-border finance — the dollar is the dominant funding currency for non-US borrowers, creating asymmetric vulnerability to Fed policy. </w:t>
      </w:r>
      <w:proofErr w:type="spellStart"/>
      <w:r w:rsidRPr="0032251D">
        <w:rPr>
          <w:rFonts w:ascii="Aptos" w:eastAsia="Times New Roman" w:hAnsi="Aptos" w:cs="Times New Roman"/>
          <w:b/>
          <w:bCs/>
          <w:kern w:val="0"/>
          <w:sz w:val="22"/>
          <w:szCs w:val="22"/>
          <w:lang w:eastAsia="en-GB"/>
          <w14:ligatures w14:val="none"/>
        </w:rPr>
        <w:t>Eichengreen</w:t>
      </w:r>
      <w:proofErr w:type="spellEnd"/>
      <w:r w:rsidRPr="0032251D">
        <w:rPr>
          <w:rFonts w:ascii="Aptos" w:eastAsia="Times New Roman" w:hAnsi="Aptos" w:cs="Times New Roman"/>
          <w:b/>
          <w:bCs/>
          <w:kern w:val="0"/>
          <w:sz w:val="22"/>
          <w:szCs w:val="22"/>
          <w:lang w:eastAsia="en-GB"/>
          <w14:ligatures w14:val="none"/>
        </w:rPr>
        <w:t>-Hausmann (1999)</w:t>
      </w:r>
      <w:r w:rsidRPr="0032251D">
        <w:rPr>
          <w:rFonts w:ascii="Aptos" w:eastAsia="Times New Roman" w:hAnsi="Aptos" w:cs="Times New Roman"/>
          <w:kern w:val="0"/>
          <w:sz w:val="22"/>
          <w:szCs w:val="22"/>
          <w:lang w:eastAsia="en-GB"/>
          <w14:ligatures w14:val="none"/>
        </w:rPr>
        <w:t xml:space="preserve"> establishes "original sin" — EM countries cannot borrow in their own currency at long maturities, creating structural FX mismatch.</w:t>
      </w:r>
    </w:p>
    <w:p w14:paraId="5E382C2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Canonical components.</w:t>
      </w:r>
      <w:r w:rsidRPr="0032251D">
        <w:rPr>
          <w:rFonts w:ascii="Aptos" w:eastAsia="Times New Roman" w:hAnsi="Aptos" w:cs="Times New Roman"/>
          <w:kern w:val="0"/>
          <w:sz w:val="22"/>
          <w:szCs w:val="22"/>
          <w:lang w:eastAsia="en-GB"/>
          <w14:ligatures w14:val="none"/>
        </w:rPr>
        <w:t xml:space="preserve"> L10c measurement spans capital flow and price dimensions. </w:t>
      </w:r>
      <w:r w:rsidRPr="0032251D">
        <w:rPr>
          <w:rFonts w:ascii="Aptos" w:eastAsia="Times New Roman" w:hAnsi="Aptos" w:cs="Times New Roman"/>
          <w:b/>
          <w:bCs/>
          <w:kern w:val="0"/>
          <w:sz w:val="22"/>
          <w:szCs w:val="22"/>
          <w:lang w:eastAsia="en-GB"/>
          <w14:ligatures w14:val="none"/>
        </w:rPr>
        <w:t>Capital flows by type</w:t>
      </w:r>
      <w:r w:rsidRPr="0032251D">
        <w:rPr>
          <w:rFonts w:ascii="Aptos" w:eastAsia="Times New Roman" w:hAnsi="Aptos" w:cs="Times New Roman"/>
          <w:kern w:val="0"/>
          <w:sz w:val="22"/>
          <w:szCs w:val="22"/>
          <w:lang w:eastAsia="en-GB"/>
          <w14:ligatures w14:val="none"/>
        </w:rPr>
        <w:t xml:space="preserve">: portfolio (equity, bond); FDI; bank lending; other (trade credit, derivatives margin). </w:t>
      </w:r>
      <w:r w:rsidRPr="0032251D">
        <w:rPr>
          <w:rFonts w:ascii="Aptos" w:eastAsia="Times New Roman" w:hAnsi="Aptos" w:cs="Times New Roman"/>
          <w:b/>
          <w:bCs/>
          <w:kern w:val="0"/>
          <w:sz w:val="22"/>
          <w:szCs w:val="22"/>
          <w:lang w:eastAsia="en-GB"/>
          <w14:ligatures w14:val="none"/>
        </w:rPr>
        <w:t>FX</w:t>
      </w:r>
      <w:r w:rsidRPr="0032251D">
        <w:rPr>
          <w:rFonts w:ascii="Aptos" w:eastAsia="Times New Roman" w:hAnsi="Aptos" w:cs="Times New Roman"/>
          <w:kern w:val="0"/>
          <w:sz w:val="22"/>
          <w:szCs w:val="22"/>
          <w:lang w:eastAsia="en-GB"/>
          <w14:ligatures w14:val="none"/>
        </w:rPr>
        <w:t xml:space="preserve">: bilateral USD rate; trade-weighted REER; effective exchange rate. </w:t>
      </w:r>
      <w:r w:rsidRPr="0032251D">
        <w:rPr>
          <w:rFonts w:ascii="Aptos" w:eastAsia="Times New Roman" w:hAnsi="Aptos" w:cs="Times New Roman"/>
          <w:b/>
          <w:bCs/>
          <w:kern w:val="0"/>
          <w:sz w:val="22"/>
          <w:szCs w:val="22"/>
          <w:lang w:eastAsia="en-GB"/>
          <w14:ligatures w14:val="none"/>
        </w:rPr>
        <w:t>Cross-border banking</w:t>
      </w:r>
      <w:r w:rsidRPr="0032251D">
        <w:rPr>
          <w:rFonts w:ascii="Aptos" w:eastAsia="Times New Roman" w:hAnsi="Aptos" w:cs="Times New Roman"/>
          <w:kern w:val="0"/>
          <w:sz w:val="22"/>
          <w:szCs w:val="22"/>
          <w:lang w:eastAsia="en-GB"/>
          <w14:ligatures w14:val="none"/>
        </w:rPr>
        <w:t xml:space="preserve">: BIS consolidated banking statistics; locational banking statistics. </w:t>
      </w:r>
      <w:r w:rsidRPr="0032251D">
        <w:rPr>
          <w:rFonts w:ascii="Aptos" w:eastAsia="Times New Roman" w:hAnsi="Aptos" w:cs="Times New Roman"/>
          <w:b/>
          <w:bCs/>
          <w:kern w:val="0"/>
          <w:sz w:val="22"/>
          <w:szCs w:val="22"/>
          <w:lang w:eastAsia="en-GB"/>
          <w14:ligatures w14:val="none"/>
        </w:rPr>
        <w:t>Global financial cycle index</w:t>
      </w:r>
      <w:r w:rsidRPr="0032251D">
        <w:rPr>
          <w:rFonts w:ascii="Aptos" w:eastAsia="Times New Roman" w:hAnsi="Aptos" w:cs="Times New Roman"/>
          <w:kern w:val="0"/>
          <w:sz w:val="22"/>
          <w:szCs w:val="22"/>
          <w:lang w:eastAsia="en-GB"/>
          <w14:ligatures w14:val="none"/>
        </w:rPr>
        <w:t xml:space="preserve">: Miranda-Agrippino-Rey factor; alternative GFC measures from other authors. </w:t>
      </w:r>
      <w:r w:rsidRPr="0032251D">
        <w:rPr>
          <w:rFonts w:ascii="Aptos" w:eastAsia="Times New Roman" w:hAnsi="Aptos" w:cs="Times New Roman"/>
          <w:b/>
          <w:bCs/>
          <w:kern w:val="0"/>
          <w:sz w:val="22"/>
          <w:szCs w:val="22"/>
          <w:lang w:eastAsia="en-GB"/>
          <w14:ligatures w14:val="none"/>
        </w:rPr>
        <w:t>USD strength</w:t>
      </w:r>
      <w:r w:rsidRPr="0032251D">
        <w:rPr>
          <w:rFonts w:ascii="Aptos" w:eastAsia="Times New Roman" w:hAnsi="Aptos" w:cs="Times New Roman"/>
          <w:kern w:val="0"/>
          <w:sz w:val="22"/>
          <w:szCs w:val="22"/>
          <w:lang w:eastAsia="en-GB"/>
          <w14:ligatures w14:val="none"/>
        </w:rPr>
        <w:t xml:space="preserve">: DXY; BIS broad USD index; broad real USD index. </w:t>
      </w:r>
      <w:r w:rsidRPr="0032251D">
        <w:rPr>
          <w:rFonts w:ascii="Aptos" w:eastAsia="Times New Roman" w:hAnsi="Aptos" w:cs="Times New Roman"/>
          <w:b/>
          <w:bCs/>
          <w:kern w:val="0"/>
          <w:sz w:val="22"/>
          <w:szCs w:val="22"/>
          <w:lang w:eastAsia="en-GB"/>
          <w14:ligatures w14:val="none"/>
        </w:rPr>
        <w:t>US Treasury yields as global benchmark</w:t>
      </w:r>
      <w:r w:rsidRPr="0032251D">
        <w:rPr>
          <w:rFonts w:ascii="Aptos" w:eastAsia="Times New Roman" w:hAnsi="Aptos" w:cs="Times New Roman"/>
          <w:kern w:val="0"/>
          <w:sz w:val="22"/>
          <w:szCs w:val="22"/>
          <w:lang w:eastAsia="en-GB"/>
          <w14:ligatures w14:val="none"/>
        </w:rPr>
        <w:t xml:space="preserve">: 10Y UST functions as the global risk-free anchor for non-US assets. </w:t>
      </w:r>
      <w:r w:rsidRPr="0032251D">
        <w:rPr>
          <w:rFonts w:ascii="Aptos" w:eastAsia="Times New Roman" w:hAnsi="Aptos" w:cs="Times New Roman"/>
          <w:b/>
          <w:bCs/>
          <w:kern w:val="0"/>
          <w:sz w:val="22"/>
          <w:szCs w:val="22"/>
          <w:lang w:eastAsia="en-GB"/>
          <w14:ligatures w14:val="none"/>
        </w:rPr>
        <w:t>Risk appetite indicators</w:t>
      </w:r>
      <w:r w:rsidRPr="0032251D">
        <w:rPr>
          <w:rFonts w:ascii="Aptos" w:eastAsia="Times New Roman" w:hAnsi="Aptos" w:cs="Times New Roman"/>
          <w:kern w:val="0"/>
          <w:sz w:val="22"/>
          <w:szCs w:val="22"/>
          <w:lang w:eastAsia="en-GB"/>
          <w14:ligatures w14:val="none"/>
        </w:rPr>
        <w:t xml:space="preserve">: VIX; MOVE; sovereign CDS for EM; emerging market risk premium (EMBI spread). </w:t>
      </w:r>
      <w:r w:rsidRPr="0032251D">
        <w:rPr>
          <w:rFonts w:ascii="Aptos" w:eastAsia="Times New Roman" w:hAnsi="Aptos" w:cs="Times New Roman"/>
          <w:b/>
          <w:bCs/>
          <w:kern w:val="0"/>
          <w:sz w:val="22"/>
          <w:szCs w:val="22"/>
          <w:lang w:eastAsia="en-GB"/>
          <w14:ligatures w14:val="none"/>
        </w:rPr>
        <w:t>Cross-border dollar funding</w:t>
      </w:r>
      <w:r w:rsidRPr="0032251D">
        <w:rPr>
          <w:rFonts w:ascii="Aptos" w:eastAsia="Times New Roman" w:hAnsi="Aptos" w:cs="Times New Roman"/>
          <w:kern w:val="0"/>
          <w:sz w:val="22"/>
          <w:szCs w:val="22"/>
          <w:lang w:eastAsia="en-GB"/>
          <w14:ligatures w14:val="none"/>
        </w:rPr>
        <w:t>: cross-currency basis swaps; dollar funding cost for non-US institutions.</w:t>
      </w:r>
    </w:p>
    <w:p w14:paraId="2C02B92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Why this matters for asset prices.</w:t>
      </w:r>
      <w:r w:rsidRPr="0032251D">
        <w:rPr>
          <w:rFonts w:ascii="Aptos" w:eastAsia="Times New Roman" w:hAnsi="Aptos" w:cs="Times New Roman"/>
          <w:kern w:val="0"/>
          <w:sz w:val="22"/>
          <w:szCs w:val="22"/>
          <w:lang w:eastAsia="en-GB"/>
          <w14:ligatures w14:val="none"/>
        </w:rPr>
        <w:t xml:space="preserve"> L10c matters because for EM (and increasingly for everyone), domestic policy is not the only force on domestic asset prices. Fed policy moves the global financial cycle regardless of foreign banks' preferences. Dollar funding stress propagates instantly across borders. Risk appetite shifts can drive capital flow reversals that overwhelm domestic policy. For investment managers in EM, the global cycle is often </w:t>
      </w:r>
      <w:r w:rsidRPr="0032251D">
        <w:rPr>
          <w:rFonts w:ascii="Aptos" w:eastAsia="Times New Roman" w:hAnsi="Aptos" w:cs="Times New Roman"/>
          <w:i/>
          <w:iCs/>
          <w:kern w:val="0"/>
          <w:sz w:val="22"/>
          <w:szCs w:val="22"/>
          <w:lang w:eastAsia="en-GB"/>
          <w14:ligatures w14:val="none"/>
        </w:rPr>
        <w:t>more important</w:t>
      </w:r>
      <w:r w:rsidRPr="0032251D">
        <w:rPr>
          <w:rFonts w:ascii="Aptos" w:eastAsia="Times New Roman" w:hAnsi="Aptos" w:cs="Times New Roman"/>
          <w:kern w:val="0"/>
          <w:sz w:val="22"/>
          <w:szCs w:val="22"/>
          <w:lang w:eastAsia="en-GB"/>
          <w14:ligatures w14:val="none"/>
        </w:rPr>
        <w:t xml:space="preserve"> than domestic policy for cyclical positioning — the 2013 taper tantrum demonstrated this canonically (US Fed communication moved EM asset prices more than any EM domestic policy). The cleanest single read on L10c for EM positioning is the USD index combined with US 10Y yields and EM-specific risk appetite (EMBI spread).</w:t>
      </w:r>
    </w:p>
    <w:p w14:paraId="7F86A120"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EM extension and SA specifics.</w:t>
      </w:r>
      <w:r w:rsidRPr="0032251D">
        <w:rPr>
          <w:rFonts w:ascii="Aptos" w:eastAsia="Times New Roman" w:hAnsi="Aptos" w:cs="Times New Roman"/>
          <w:kern w:val="0"/>
          <w:sz w:val="22"/>
          <w:szCs w:val="22"/>
          <w:lang w:eastAsia="en-GB"/>
          <w14:ligatures w14:val="none"/>
        </w:rPr>
        <w:t xml:space="preserve"> EM is structurally the </w:t>
      </w:r>
      <w:r w:rsidRPr="0032251D">
        <w:rPr>
          <w:rFonts w:ascii="Aptos" w:eastAsia="Times New Roman" w:hAnsi="Aptos" w:cs="Times New Roman"/>
          <w:i/>
          <w:iCs/>
          <w:kern w:val="0"/>
          <w:sz w:val="22"/>
          <w:szCs w:val="22"/>
          <w:lang w:eastAsia="en-GB"/>
          <w14:ligatures w14:val="none"/>
        </w:rPr>
        <w:t>receiver</w:t>
      </w:r>
      <w:r w:rsidRPr="0032251D">
        <w:rPr>
          <w:rFonts w:ascii="Aptos" w:eastAsia="Times New Roman" w:hAnsi="Aptos" w:cs="Times New Roman"/>
          <w:kern w:val="0"/>
          <w:sz w:val="22"/>
          <w:szCs w:val="22"/>
          <w:lang w:eastAsia="en-GB"/>
          <w14:ligatures w14:val="none"/>
        </w:rPr>
        <w:t xml:space="preserve"> of the global financial cycle, not a driver. Capital flow reversals are existential threats — sudden stops can force painful EM monetary tightening regardless of domestic inflation/output state. Original sin means FX mismatches create direct stability vulnerabilities. For SA: SAGB foreign holder share dynamics (peaked 40%+, fell to ~20%) drive both discount-rate and risk-premium volatility through positioning shifts; ZAR is structurally sensitive to global risk appetite — typically the most volatile G10/EM cross-rate; SA is largely a </w:t>
      </w:r>
      <w:r w:rsidRPr="0032251D">
        <w:rPr>
          <w:rFonts w:ascii="Aptos" w:eastAsia="Times New Roman" w:hAnsi="Aptos" w:cs="Times New Roman"/>
          <w:i/>
          <w:iCs/>
          <w:kern w:val="0"/>
          <w:sz w:val="22"/>
          <w:szCs w:val="22"/>
          <w:lang w:eastAsia="en-GB"/>
          <w14:ligatures w14:val="none"/>
        </w:rPr>
        <w:t>commodity-exporter currency</w:t>
      </w:r>
      <w:r w:rsidRPr="0032251D">
        <w:rPr>
          <w:rFonts w:ascii="Aptos" w:eastAsia="Times New Roman" w:hAnsi="Aptos" w:cs="Times New Roman"/>
          <w:kern w:val="0"/>
          <w:sz w:val="22"/>
          <w:szCs w:val="22"/>
          <w:lang w:eastAsia="en-GB"/>
          <w14:ligatures w14:val="none"/>
        </w:rPr>
        <w:t xml:space="preserve"> — terms-of-trade effects from commodity prices drive ZAR alongside risk appetite; SA was excluded from Fed swap lines during 2008 and 2020 (unlike Brazil, Mexico, Korea, Singapore), making dollar funding stress more acute; PIC inflows have partially offset foreign portfolio outflows in SAGBs (the substitution channel); commodity exports (precious metals, base metals, coal) create dual character — ZAR can be a commodity proxy in some regimes and a pure risk-off currency in others. SA is genuinely </w:t>
      </w:r>
      <w:r w:rsidRPr="0032251D">
        <w:rPr>
          <w:rFonts w:ascii="Aptos" w:eastAsia="Times New Roman" w:hAnsi="Aptos" w:cs="Times New Roman"/>
          <w:i/>
          <w:iCs/>
          <w:kern w:val="0"/>
          <w:sz w:val="22"/>
          <w:szCs w:val="22"/>
          <w:lang w:eastAsia="en-GB"/>
          <w14:ligatures w14:val="none"/>
        </w:rPr>
        <w:t>small open economy</w:t>
      </w:r>
      <w:r w:rsidRPr="0032251D">
        <w:rPr>
          <w:rFonts w:ascii="Aptos" w:eastAsia="Times New Roman" w:hAnsi="Aptos" w:cs="Times New Roman"/>
          <w:kern w:val="0"/>
          <w:sz w:val="22"/>
          <w:szCs w:val="22"/>
          <w:lang w:eastAsia="en-GB"/>
          <w14:ligatures w14:val="none"/>
        </w:rPr>
        <w:t xml:space="preserve"> — domestic policy has limited spillover effect on global aggregate; the framework's bidirectional spillover assumption is asymmetric for SA (large inbound, minimal outbound).</w:t>
      </w:r>
    </w:p>
    <w:p w14:paraId="6AE04827"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Empirical pitfalls.</w:t>
      </w:r>
      <w:r w:rsidRPr="0032251D">
        <w:rPr>
          <w:rFonts w:ascii="Aptos" w:eastAsia="Times New Roman" w:hAnsi="Aptos" w:cs="Times New Roman"/>
          <w:kern w:val="0"/>
          <w:sz w:val="22"/>
          <w:szCs w:val="22"/>
          <w:lang w:eastAsia="en-GB"/>
          <w14:ligatures w14:val="none"/>
        </w:rPr>
        <w:t xml:space="preserve"> Spillover identification is methodologically difficult — disentangling global cycle from domestic factors requires careful VAR identification (sign restrictions; high-frequency identification; structural shocks). Domestic vs global decomposition is unstable across regimes — some periods see global dominance, others see domestic dominance, and the regime can switch quickly. Currency mismatch measurement is challenging — corporate and sovereign FX exposure data is partial; off-balance-sheet hedging is opaque. Network effects in cross-border banking are hard to model — second-round and contagion effects from one country to another are difficult to predict. The relationship between global cycle and EM is itself time-varying — pre-2008, the EM cycle was more idiosyncratic; post-2008, the global cycle dominance has strengthened.</w:t>
      </w:r>
    </w:p>
    <w:p w14:paraId="393CDFDA"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Where dissonance lives.</w:t>
      </w:r>
      <w:r w:rsidRPr="0032251D">
        <w:rPr>
          <w:rFonts w:ascii="Aptos" w:eastAsia="Times New Roman" w:hAnsi="Aptos" w:cs="Times New Roman"/>
          <w:kern w:val="0"/>
          <w:sz w:val="22"/>
          <w:szCs w:val="22"/>
          <w:lang w:eastAsia="en-GB"/>
          <w14:ligatures w14:val="none"/>
        </w:rPr>
        <w:t xml:space="preserve"> L10c dissonance is structurally the most important EM framework dissonance — global cycle dynamics frequently dominate domestic policy. </w:t>
      </w:r>
      <w:r w:rsidRPr="0032251D">
        <w:rPr>
          <w:rFonts w:ascii="Aptos" w:eastAsia="Times New Roman" w:hAnsi="Aptos" w:cs="Times New Roman"/>
          <w:i/>
          <w:iCs/>
          <w:kern w:val="0"/>
          <w:sz w:val="22"/>
          <w:szCs w:val="22"/>
          <w:lang w:eastAsia="en-GB"/>
          <w14:ligatures w14:val="none"/>
        </w:rPr>
        <w:t>Intra-node:</w:t>
      </w:r>
      <w:r w:rsidRPr="0032251D">
        <w:rPr>
          <w:rFonts w:ascii="Aptos" w:eastAsia="Times New Roman" w:hAnsi="Aptos" w:cs="Times New Roman"/>
          <w:kern w:val="0"/>
          <w:sz w:val="22"/>
          <w:szCs w:val="22"/>
          <w:lang w:eastAsia="en-GB"/>
          <w14:ligatures w14:val="none"/>
        </w:rPr>
        <w:t xml:space="preserve"> capital flow direction opposite to fundamentals (foreign outflows during apparent fundamental </w:t>
      </w:r>
      <w:r w:rsidRPr="0032251D">
        <w:rPr>
          <w:rFonts w:ascii="Aptos" w:eastAsia="Times New Roman" w:hAnsi="Aptos" w:cs="Times New Roman"/>
          <w:kern w:val="0"/>
          <w:sz w:val="22"/>
          <w:szCs w:val="22"/>
          <w:lang w:eastAsia="en-GB"/>
          <w14:ligatures w14:val="none"/>
        </w:rPr>
        <w:lastRenderedPageBreak/>
        <w:t xml:space="preserve">improvement); cross-border banking claims contracting without corresponding domestic credit reduction; FX moves opposite to interest rate differentials (carry trade failures). </w:t>
      </w:r>
      <w:r w:rsidRPr="0032251D">
        <w:rPr>
          <w:rFonts w:ascii="Aptos" w:eastAsia="Times New Roman" w:hAnsi="Aptos" w:cs="Times New Roman"/>
          <w:i/>
          <w:iCs/>
          <w:kern w:val="0"/>
          <w:sz w:val="22"/>
          <w:szCs w:val="22"/>
          <w:lang w:eastAsia="en-GB"/>
          <w14:ligatures w14:val="none"/>
        </w:rPr>
        <w:t>Vertical from L1:</w:t>
      </w:r>
      <w:r w:rsidRPr="0032251D">
        <w:rPr>
          <w:rFonts w:ascii="Aptos" w:eastAsia="Times New Roman" w:hAnsi="Aptos" w:cs="Times New Roman"/>
          <w:kern w:val="0"/>
          <w:sz w:val="22"/>
          <w:szCs w:val="22"/>
          <w:lang w:eastAsia="en-GB"/>
          <w14:ligatures w14:val="none"/>
        </w:rPr>
        <w:t xml:space="preserve"> domestic policy stance vs global cycle direction mismatch — the canonical EM "fear of floating" problem; bank wants to ease but global cycle forces hiking. </w:t>
      </w:r>
      <w:r w:rsidRPr="0032251D">
        <w:rPr>
          <w:rFonts w:ascii="Aptos" w:eastAsia="Times New Roman" w:hAnsi="Aptos" w:cs="Times New Roman"/>
          <w:i/>
          <w:iCs/>
          <w:kern w:val="0"/>
          <w:sz w:val="22"/>
          <w:szCs w:val="22"/>
          <w:lang w:eastAsia="en-GB"/>
          <w14:ligatures w14:val="none"/>
        </w:rPr>
        <w:t>Vertical from L3d:</w:t>
      </w:r>
      <w:r w:rsidRPr="0032251D">
        <w:rPr>
          <w:rFonts w:ascii="Aptos" w:eastAsia="Times New Roman" w:hAnsi="Aptos" w:cs="Times New Roman"/>
          <w:kern w:val="0"/>
          <w:sz w:val="22"/>
          <w:szCs w:val="22"/>
          <w:lang w:eastAsia="en-GB"/>
          <w14:ligatures w14:val="none"/>
        </w:rPr>
        <w:t xml:space="preserve"> FX intervention without sustained FX response — global cycle overwhelming domestic intervention; reserves drained without effective </w:t>
      </w:r>
      <w:proofErr w:type="spellStart"/>
      <w:r w:rsidRPr="0032251D">
        <w:rPr>
          <w:rFonts w:ascii="Aptos" w:eastAsia="Times New Roman" w:hAnsi="Aptos" w:cs="Times New Roman"/>
          <w:kern w:val="0"/>
          <w:sz w:val="22"/>
          <w:szCs w:val="22"/>
          <w:lang w:eastAsia="en-GB"/>
          <w14:ligatures w14:val="none"/>
        </w:rPr>
        <w:t>defense</w:t>
      </w:r>
      <w:proofErr w:type="spellEnd"/>
      <w:r w:rsidRPr="0032251D">
        <w:rPr>
          <w:rFonts w:ascii="Aptos" w:eastAsia="Times New Roman" w:hAnsi="Aptos" w:cs="Times New Roman"/>
          <w:kern w:val="0"/>
          <w:sz w:val="22"/>
          <w:szCs w:val="22"/>
          <w:lang w:eastAsia="en-GB"/>
          <w14:ligatures w14:val="none"/>
        </w:rPr>
        <w:t xml:space="preserve">. </w:t>
      </w:r>
      <w:r w:rsidRPr="0032251D">
        <w:rPr>
          <w:rFonts w:ascii="Aptos" w:eastAsia="Times New Roman" w:hAnsi="Aptos" w:cs="Times New Roman"/>
          <w:i/>
          <w:iCs/>
          <w:kern w:val="0"/>
          <w:sz w:val="22"/>
          <w:szCs w:val="22"/>
          <w:lang w:eastAsia="en-GB"/>
          <w14:ligatures w14:val="none"/>
        </w:rPr>
        <w:t>Vertical from L9:</w:t>
      </w:r>
      <w:r w:rsidRPr="0032251D">
        <w:rPr>
          <w:rFonts w:ascii="Aptos" w:eastAsia="Times New Roman" w:hAnsi="Aptos" w:cs="Times New Roman"/>
          <w:kern w:val="0"/>
          <w:sz w:val="22"/>
          <w:szCs w:val="22"/>
          <w:lang w:eastAsia="en-GB"/>
          <w14:ligatures w14:val="none"/>
        </w:rPr>
        <w:t xml:space="preserve"> domestic asset prices moving with global cycle independent of domestic fundamentals — the 2013 taper tantrum pattern. </w:t>
      </w:r>
      <w:r w:rsidRPr="0032251D">
        <w:rPr>
          <w:rFonts w:ascii="Aptos" w:eastAsia="Times New Roman" w:hAnsi="Aptos" w:cs="Times New Roman"/>
          <w:i/>
          <w:iCs/>
          <w:kern w:val="0"/>
          <w:sz w:val="22"/>
          <w:szCs w:val="22"/>
          <w:lang w:eastAsia="en-GB"/>
          <w14:ligatures w14:val="none"/>
        </w:rPr>
        <w:t>Vertical from L5e:</w:t>
      </w:r>
      <w:r w:rsidRPr="0032251D">
        <w:rPr>
          <w:rFonts w:ascii="Aptos" w:eastAsia="Times New Roman" w:hAnsi="Aptos" w:cs="Times New Roman"/>
          <w:kern w:val="0"/>
          <w:sz w:val="22"/>
          <w:szCs w:val="22"/>
          <w:lang w:eastAsia="en-GB"/>
          <w14:ligatures w14:val="none"/>
        </w:rPr>
        <w:t xml:space="preserve"> sovereign credit deteriorating in line with global EM credit independent of domestic fiscal position — pure spillover. </w:t>
      </w:r>
      <w:r w:rsidRPr="0032251D">
        <w:rPr>
          <w:rFonts w:ascii="Aptos" w:eastAsia="Times New Roman" w:hAnsi="Aptos" w:cs="Times New Roman"/>
          <w:i/>
          <w:iCs/>
          <w:kern w:val="0"/>
          <w:sz w:val="22"/>
          <w:szCs w:val="22"/>
          <w:lang w:eastAsia="en-GB"/>
          <w14:ligatures w14:val="none"/>
        </w:rPr>
        <w:t>Back to L1 and L2:</w:t>
      </w:r>
      <w:r w:rsidRPr="0032251D">
        <w:rPr>
          <w:rFonts w:ascii="Aptos" w:eastAsia="Times New Roman" w:hAnsi="Aptos" w:cs="Times New Roman"/>
          <w:kern w:val="0"/>
          <w:sz w:val="22"/>
          <w:szCs w:val="22"/>
          <w:lang w:eastAsia="en-GB"/>
          <w14:ligatures w14:val="none"/>
        </w:rPr>
        <w:t xml:space="preserve"> δ coefficient becoming binding in the loss function — FX dominance forcing policy stance away from where domestic conditions alone would dictate.</w:t>
      </w:r>
    </w:p>
    <w:p w14:paraId="6F648662"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For investment managers, L10c dissonance is among the most actionable EM signals because the global cycle is identifiable through observable indicators (DXY, UST yields, VIX, EMBI) that can be tracked in real time. When domestic EM policy is dissonant with the global cycle direction, the dissonance is unlikely to resolve through domestic policy alone — eventually the domestic policy must adjust or capital flow reversal forces adjustment. The 2018 Argentina and Turkey episodes; the 2013 broad EM taper tantrum; the 2022 broad EM stress under Fed hiking — all were L10c dissonance events that forced eventual capital flow reversals and policy adjustment.</w:t>
      </w:r>
    </w:p>
    <w:p w14:paraId="7E8455C8"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For SA specifically, L10c is structurally one of the highest-weight framework nodes for portfolio implications. The dominant SA macro narrative since 2013 has been the interaction between domestic dissonance (sovereign-PIC loop, growth stagnation, fiscal stress) and global cycle dynamics (Fed cycles, USD direction, EM risk appetite). The framework's L10c dissonance signals are most actionable through ZAR positioning, SAGB foreign holder dynamics, and JSE equity positioning relative to global EM equity benchmarks.</w:t>
      </w:r>
    </w:p>
    <w:p w14:paraId="35DBE759" w14:textId="77777777" w:rsidR="0032251D" w:rsidRPr="0032251D" w:rsidRDefault="00000000" w:rsidP="0032251D">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386DB261">
          <v:rect id="_x0000_i1144" alt="" style="width:451.3pt;height:.05pt;mso-width-percent:0;mso-height-percent:0;mso-width-percent:0;mso-height-percent:0" o:hralign="center" o:hrstd="t" o:hr="t" fillcolor="#a0a0a0" stroked="f"/>
        </w:pict>
      </w:r>
    </w:p>
    <w:p w14:paraId="50470764"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Closing the framework loop.</w:t>
      </w:r>
      <w:r w:rsidRPr="0032251D">
        <w:rPr>
          <w:rFonts w:ascii="Aptos" w:eastAsia="Times New Roman" w:hAnsi="Aptos" w:cs="Times New Roman"/>
          <w:kern w:val="0"/>
          <w:sz w:val="22"/>
          <w:szCs w:val="22"/>
          <w:lang w:eastAsia="en-GB"/>
          <w14:ligatures w14:val="none"/>
        </w:rPr>
        <w:t xml:space="preserve"> L10a, L10b, and L10c are the three terminal feedback nodes. Each feeds back to L1 (reaction function) through a different coefficient in the L2 loss function: L10a feeds α (inflation) and β (output gap); L10b feeds λ (financial stability); L10c feeds δ (FX) and modifies the constraint set. The bank optimises across all three simultaneously, which is what makes modern central banking genuinely hard — the three terminal nodes can diverge (real economy resilient, stability stressed, global cycle adverse), forcing policy trade-offs that no single instrument can resolve cleanly. This is the structural reason the Tinbergen instrument-count argument matters: hitting three terminal targets requires at least three instruments, and the framework's L3 sub-nodes (L3a-f) represent exactly the multi-instrument toolkit that modern central banks have developed in response.</w:t>
      </w:r>
    </w:p>
    <w:p w14:paraId="4FF35ACC" w14:textId="77777777" w:rsidR="0032251D" w:rsidRPr="0032251D" w:rsidRDefault="0032251D" w:rsidP="0032251D">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framework is now structurally complete. Every node L1 through L10 has been characterised; the loop closes from L10 back to L1 via the loss function and reaction function. Dissonance can fire at any node (24 intra-node tests) or at any inter-node relationship (276 inter-node tests, ~125 structurally meaningful) — and the framework's commercial value is the systematic identification of these dissonance signals across the full graph. With every node now anchored in theory, components, asset-price implications, EM/SA specifics, measurement, and dissonance locations, the framework is ready for the next phase of the thesis work: empirical instantiation, beginning with the SA pilot in Phase 3 of the working plan.</w:t>
      </w:r>
    </w:p>
    <w:p w14:paraId="4EA821F2" w14:textId="77777777" w:rsidR="001F2E56" w:rsidRPr="00B8458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499F7969" w14:textId="77777777" w:rsidR="001F2E56" w:rsidRPr="00B8458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0690BC74" w14:textId="77777777" w:rsidR="001F2E56" w:rsidRPr="00B8458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3132AC7F" w14:textId="77777777" w:rsidR="001F2E56" w:rsidRPr="00B8458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0CD5A9CF" w14:textId="77777777" w:rsidR="001F2E56" w:rsidRPr="00B8458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60ED8904" w14:textId="77777777" w:rsidR="001F2E56" w:rsidRPr="00B8458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21FC7585" w14:textId="77777777" w:rsidR="001F2E56" w:rsidRPr="00B8458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2A3F9A86" w14:textId="77777777" w:rsidR="001F2E56" w:rsidRPr="00B8458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5D8EFCB2" w14:textId="77777777" w:rsidR="001F2E56" w:rsidRPr="00B8458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647DF92F" w14:textId="77777777" w:rsidR="001F2E56" w:rsidRPr="00B8458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141076E8" w14:textId="77777777" w:rsidR="001F2E56" w:rsidRPr="00B8458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7B16AE62" w14:textId="77777777" w:rsidR="001F2E56" w:rsidRPr="00B8458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45F19C27" w14:textId="77777777" w:rsidR="001F2E56" w:rsidRPr="00B8458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642C3B07" w14:textId="55134D1F" w:rsidR="001F2E56" w:rsidRPr="00B8458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571BCE27" w14:textId="77777777" w:rsidR="001F2E56" w:rsidRPr="00B8458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5930B83A" w14:textId="77777777" w:rsidR="001F2E56" w:rsidRPr="00B8458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6F434C06" w14:textId="77777777" w:rsidR="001F2E56" w:rsidRPr="00B8458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3D72A475" w14:textId="77777777" w:rsidR="001F2E56" w:rsidRPr="00B8458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3390191E" w14:textId="77777777" w:rsidR="001F2E56" w:rsidRPr="001F2E56" w:rsidRDefault="001F2E56" w:rsidP="001F2E56">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4D63BDBB" w14:textId="20BAD435" w:rsidR="00283383" w:rsidRPr="00B84586" w:rsidRDefault="00283383" w:rsidP="00283383">
      <w:pPr>
        <w:rPr>
          <w:rFonts w:ascii="Aptos" w:hAnsi="Aptos"/>
          <w:sz w:val="22"/>
          <w:szCs w:val="22"/>
          <w:lang w:val="en-US"/>
        </w:rPr>
      </w:pPr>
    </w:p>
    <w:sectPr w:rsidR="00283383" w:rsidRPr="00B845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A7C"/>
    <w:multiLevelType w:val="multilevel"/>
    <w:tmpl w:val="3524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C3C48"/>
    <w:multiLevelType w:val="multilevel"/>
    <w:tmpl w:val="9228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12F55"/>
    <w:multiLevelType w:val="multilevel"/>
    <w:tmpl w:val="105E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E088E"/>
    <w:multiLevelType w:val="multilevel"/>
    <w:tmpl w:val="E61E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530F0"/>
    <w:multiLevelType w:val="multilevel"/>
    <w:tmpl w:val="308C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0C64BF"/>
    <w:multiLevelType w:val="multilevel"/>
    <w:tmpl w:val="7D1E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3754FE"/>
    <w:multiLevelType w:val="multilevel"/>
    <w:tmpl w:val="B8A0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DA61E3"/>
    <w:multiLevelType w:val="multilevel"/>
    <w:tmpl w:val="3A9C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E31BC5"/>
    <w:multiLevelType w:val="multilevel"/>
    <w:tmpl w:val="106A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EA3447"/>
    <w:multiLevelType w:val="hybridMultilevel"/>
    <w:tmpl w:val="22383B1E"/>
    <w:lvl w:ilvl="0" w:tplc="224ACB4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4FA11B4"/>
    <w:multiLevelType w:val="multilevel"/>
    <w:tmpl w:val="99BE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C517DE"/>
    <w:multiLevelType w:val="multilevel"/>
    <w:tmpl w:val="B3DE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0C07AD"/>
    <w:multiLevelType w:val="multilevel"/>
    <w:tmpl w:val="5B28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6D3F38"/>
    <w:multiLevelType w:val="multilevel"/>
    <w:tmpl w:val="ED54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AF35AD"/>
    <w:multiLevelType w:val="multilevel"/>
    <w:tmpl w:val="FD5E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1D1BEC"/>
    <w:multiLevelType w:val="multilevel"/>
    <w:tmpl w:val="ADAC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CE385B"/>
    <w:multiLevelType w:val="multilevel"/>
    <w:tmpl w:val="56D8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EE1032"/>
    <w:multiLevelType w:val="multilevel"/>
    <w:tmpl w:val="DE3C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0845FB"/>
    <w:multiLevelType w:val="multilevel"/>
    <w:tmpl w:val="FC50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56690C"/>
    <w:multiLevelType w:val="multilevel"/>
    <w:tmpl w:val="90E4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8E3F86"/>
    <w:multiLevelType w:val="multilevel"/>
    <w:tmpl w:val="9614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3B79D4"/>
    <w:multiLevelType w:val="multilevel"/>
    <w:tmpl w:val="F3CE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6255DE"/>
    <w:multiLevelType w:val="multilevel"/>
    <w:tmpl w:val="FD66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4231D7"/>
    <w:multiLevelType w:val="multilevel"/>
    <w:tmpl w:val="8C60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8E5419"/>
    <w:multiLevelType w:val="multilevel"/>
    <w:tmpl w:val="1586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DC0047"/>
    <w:multiLevelType w:val="multilevel"/>
    <w:tmpl w:val="83F6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465AE5"/>
    <w:multiLevelType w:val="multilevel"/>
    <w:tmpl w:val="949A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545650"/>
    <w:multiLevelType w:val="multilevel"/>
    <w:tmpl w:val="EE5E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6A4A81"/>
    <w:multiLevelType w:val="multilevel"/>
    <w:tmpl w:val="DC44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4A2B13"/>
    <w:multiLevelType w:val="multilevel"/>
    <w:tmpl w:val="7EEC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72514A"/>
    <w:multiLevelType w:val="multilevel"/>
    <w:tmpl w:val="ACB0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53110F"/>
    <w:multiLevelType w:val="multilevel"/>
    <w:tmpl w:val="1D90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F2595C"/>
    <w:multiLevelType w:val="multilevel"/>
    <w:tmpl w:val="DDF2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146780"/>
    <w:multiLevelType w:val="multilevel"/>
    <w:tmpl w:val="C830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0D4B4A"/>
    <w:multiLevelType w:val="multilevel"/>
    <w:tmpl w:val="48DC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2C63C2"/>
    <w:multiLevelType w:val="multilevel"/>
    <w:tmpl w:val="AAF88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CD17D3"/>
    <w:multiLevelType w:val="multilevel"/>
    <w:tmpl w:val="7260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9D4522"/>
    <w:multiLevelType w:val="multilevel"/>
    <w:tmpl w:val="BEA2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7359F3"/>
    <w:multiLevelType w:val="multilevel"/>
    <w:tmpl w:val="0AFE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7B72F0"/>
    <w:multiLevelType w:val="multilevel"/>
    <w:tmpl w:val="588C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7874FB"/>
    <w:multiLevelType w:val="multilevel"/>
    <w:tmpl w:val="3D80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155700"/>
    <w:multiLevelType w:val="multilevel"/>
    <w:tmpl w:val="A77E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E4663A"/>
    <w:multiLevelType w:val="multilevel"/>
    <w:tmpl w:val="3CDC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8C01DC"/>
    <w:multiLevelType w:val="multilevel"/>
    <w:tmpl w:val="E488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E1354A"/>
    <w:multiLevelType w:val="multilevel"/>
    <w:tmpl w:val="2A44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5A6C29"/>
    <w:multiLevelType w:val="multilevel"/>
    <w:tmpl w:val="511A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A10DAE"/>
    <w:multiLevelType w:val="multilevel"/>
    <w:tmpl w:val="E1FC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FE02DD"/>
    <w:multiLevelType w:val="multilevel"/>
    <w:tmpl w:val="1000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7E128B"/>
    <w:multiLevelType w:val="multilevel"/>
    <w:tmpl w:val="118C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7E1D4A"/>
    <w:multiLevelType w:val="multilevel"/>
    <w:tmpl w:val="BAFE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EE69DD"/>
    <w:multiLevelType w:val="multilevel"/>
    <w:tmpl w:val="2786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973F56"/>
    <w:multiLevelType w:val="multilevel"/>
    <w:tmpl w:val="288E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B70B75"/>
    <w:multiLevelType w:val="multilevel"/>
    <w:tmpl w:val="5FC0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262C88"/>
    <w:multiLevelType w:val="multilevel"/>
    <w:tmpl w:val="3246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7A3B40"/>
    <w:multiLevelType w:val="multilevel"/>
    <w:tmpl w:val="B0AE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F53C09"/>
    <w:multiLevelType w:val="multilevel"/>
    <w:tmpl w:val="C3F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1E5531"/>
    <w:multiLevelType w:val="multilevel"/>
    <w:tmpl w:val="DD6A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F468C1"/>
    <w:multiLevelType w:val="multilevel"/>
    <w:tmpl w:val="26F0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C71382E"/>
    <w:multiLevelType w:val="multilevel"/>
    <w:tmpl w:val="0D1A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E879B1"/>
    <w:multiLevelType w:val="multilevel"/>
    <w:tmpl w:val="80E8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C359F1"/>
    <w:multiLevelType w:val="multilevel"/>
    <w:tmpl w:val="5414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B62EFA"/>
    <w:multiLevelType w:val="multilevel"/>
    <w:tmpl w:val="F83C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C97FE8"/>
    <w:multiLevelType w:val="multilevel"/>
    <w:tmpl w:val="736E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2E3570"/>
    <w:multiLevelType w:val="multilevel"/>
    <w:tmpl w:val="A3B6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56257F"/>
    <w:multiLevelType w:val="multilevel"/>
    <w:tmpl w:val="43BC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B531F8"/>
    <w:multiLevelType w:val="multilevel"/>
    <w:tmpl w:val="870E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266585"/>
    <w:multiLevelType w:val="multilevel"/>
    <w:tmpl w:val="E364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8E0125"/>
    <w:multiLevelType w:val="multilevel"/>
    <w:tmpl w:val="530E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5147434"/>
    <w:multiLevelType w:val="multilevel"/>
    <w:tmpl w:val="6634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161EEF"/>
    <w:multiLevelType w:val="multilevel"/>
    <w:tmpl w:val="E570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A34EB3"/>
    <w:multiLevelType w:val="multilevel"/>
    <w:tmpl w:val="0140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3244C7"/>
    <w:multiLevelType w:val="multilevel"/>
    <w:tmpl w:val="6FD8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3C3B68"/>
    <w:multiLevelType w:val="multilevel"/>
    <w:tmpl w:val="AC5E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79874D2"/>
    <w:multiLevelType w:val="multilevel"/>
    <w:tmpl w:val="BCCE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88E4D39"/>
    <w:multiLevelType w:val="multilevel"/>
    <w:tmpl w:val="98B0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8972D6C"/>
    <w:multiLevelType w:val="multilevel"/>
    <w:tmpl w:val="657E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A156B00"/>
    <w:multiLevelType w:val="multilevel"/>
    <w:tmpl w:val="7E62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A5353CE"/>
    <w:multiLevelType w:val="multilevel"/>
    <w:tmpl w:val="8830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C670CB2"/>
    <w:multiLevelType w:val="multilevel"/>
    <w:tmpl w:val="6B86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1D530C"/>
    <w:multiLevelType w:val="multilevel"/>
    <w:tmpl w:val="69E6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F457BB9"/>
    <w:multiLevelType w:val="multilevel"/>
    <w:tmpl w:val="5A48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1547B7B"/>
    <w:multiLevelType w:val="multilevel"/>
    <w:tmpl w:val="015E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24C26B3"/>
    <w:multiLevelType w:val="multilevel"/>
    <w:tmpl w:val="AA56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2EA5E17"/>
    <w:multiLevelType w:val="multilevel"/>
    <w:tmpl w:val="C0C0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38765E4"/>
    <w:multiLevelType w:val="multilevel"/>
    <w:tmpl w:val="7072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3BE0977"/>
    <w:multiLevelType w:val="multilevel"/>
    <w:tmpl w:val="B184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59533BC"/>
    <w:multiLevelType w:val="multilevel"/>
    <w:tmpl w:val="D400B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5F22B02"/>
    <w:multiLevelType w:val="multilevel"/>
    <w:tmpl w:val="5BD8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6D47038"/>
    <w:multiLevelType w:val="multilevel"/>
    <w:tmpl w:val="A3FA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8A826A5"/>
    <w:multiLevelType w:val="multilevel"/>
    <w:tmpl w:val="88F2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8F937BF"/>
    <w:multiLevelType w:val="multilevel"/>
    <w:tmpl w:val="C1F0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99934D9"/>
    <w:multiLevelType w:val="multilevel"/>
    <w:tmpl w:val="2BEE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A5610B6"/>
    <w:multiLevelType w:val="multilevel"/>
    <w:tmpl w:val="6D74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A6A7CBD"/>
    <w:multiLevelType w:val="multilevel"/>
    <w:tmpl w:val="5274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A904B99"/>
    <w:multiLevelType w:val="multilevel"/>
    <w:tmpl w:val="BE2A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BA830D9"/>
    <w:multiLevelType w:val="multilevel"/>
    <w:tmpl w:val="4406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CF76D81"/>
    <w:multiLevelType w:val="multilevel"/>
    <w:tmpl w:val="8EF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D6D0ACF"/>
    <w:multiLevelType w:val="multilevel"/>
    <w:tmpl w:val="8E90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E9623F6"/>
    <w:multiLevelType w:val="multilevel"/>
    <w:tmpl w:val="9EBC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EAF5602"/>
    <w:multiLevelType w:val="multilevel"/>
    <w:tmpl w:val="A5E0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EE559EC"/>
    <w:multiLevelType w:val="multilevel"/>
    <w:tmpl w:val="F926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1451DA3"/>
    <w:multiLevelType w:val="multilevel"/>
    <w:tmpl w:val="5D5E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1BE1998"/>
    <w:multiLevelType w:val="multilevel"/>
    <w:tmpl w:val="1E88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20E3620"/>
    <w:multiLevelType w:val="multilevel"/>
    <w:tmpl w:val="2A66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26530F1"/>
    <w:multiLevelType w:val="multilevel"/>
    <w:tmpl w:val="766C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2B0701E"/>
    <w:multiLevelType w:val="multilevel"/>
    <w:tmpl w:val="01FC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2E61522"/>
    <w:multiLevelType w:val="multilevel"/>
    <w:tmpl w:val="FFEE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5864F76"/>
    <w:multiLevelType w:val="multilevel"/>
    <w:tmpl w:val="30F4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5875F2E"/>
    <w:multiLevelType w:val="multilevel"/>
    <w:tmpl w:val="4B38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59B508F"/>
    <w:multiLevelType w:val="multilevel"/>
    <w:tmpl w:val="6698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6C91A64"/>
    <w:multiLevelType w:val="multilevel"/>
    <w:tmpl w:val="256A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6D45541"/>
    <w:multiLevelType w:val="multilevel"/>
    <w:tmpl w:val="C5B0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79A0817"/>
    <w:multiLevelType w:val="multilevel"/>
    <w:tmpl w:val="30D8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8847E51"/>
    <w:multiLevelType w:val="multilevel"/>
    <w:tmpl w:val="65D8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96131CB"/>
    <w:multiLevelType w:val="multilevel"/>
    <w:tmpl w:val="F3C0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A5D68E5"/>
    <w:multiLevelType w:val="multilevel"/>
    <w:tmpl w:val="BEE6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B016F9A"/>
    <w:multiLevelType w:val="multilevel"/>
    <w:tmpl w:val="63F4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B1E5793"/>
    <w:multiLevelType w:val="multilevel"/>
    <w:tmpl w:val="EE46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B5F1F04"/>
    <w:multiLevelType w:val="multilevel"/>
    <w:tmpl w:val="3D08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BCC672B"/>
    <w:multiLevelType w:val="multilevel"/>
    <w:tmpl w:val="4E04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C806FC7"/>
    <w:multiLevelType w:val="multilevel"/>
    <w:tmpl w:val="CA84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C8F2DA8"/>
    <w:multiLevelType w:val="multilevel"/>
    <w:tmpl w:val="63B0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03C1D3C"/>
    <w:multiLevelType w:val="multilevel"/>
    <w:tmpl w:val="9B48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0B55AC0"/>
    <w:multiLevelType w:val="multilevel"/>
    <w:tmpl w:val="8002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2C55C9F"/>
    <w:multiLevelType w:val="multilevel"/>
    <w:tmpl w:val="FA7C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4530A79"/>
    <w:multiLevelType w:val="multilevel"/>
    <w:tmpl w:val="FDD2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4636E78"/>
    <w:multiLevelType w:val="hybridMultilevel"/>
    <w:tmpl w:val="5F4C6A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7" w15:restartNumberingAfterBreak="0">
    <w:nsid w:val="647B1BA7"/>
    <w:multiLevelType w:val="multilevel"/>
    <w:tmpl w:val="0014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73D5D6D"/>
    <w:multiLevelType w:val="multilevel"/>
    <w:tmpl w:val="E59A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7F4EEA"/>
    <w:multiLevelType w:val="multilevel"/>
    <w:tmpl w:val="5134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7C009B5"/>
    <w:multiLevelType w:val="multilevel"/>
    <w:tmpl w:val="117E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8264A0F"/>
    <w:multiLevelType w:val="multilevel"/>
    <w:tmpl w:val="B160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841530B"/>
    <w:multiLevelType w:val="multilevel"/>
    <w:tmpl w:val="48CC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874792E"/>
    <w:multiLevelType w:val="multilevel"/>
    <w:tmpl w:val="6E06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98E323E"/>
    <w:multiLevelType w:val="multilevel"/>
    <w:tmpl w:val="41C4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A7A1959"/>
    <w:multiLevelType w:val="multilevel"/>
    <w:tmpl w:val="2562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C427A61"/>
    <w:multiLevelType w:val="multilevel"/>
    <w:tmpl w:val="4958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CE6773B"/>
    <w:multiLevelType w:val="multilevel"/>
    <w:tmpl w:val="BCAC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E3D76C5"/>
    <w:multiLevelType w:val="multilevel"/>
    <w:tmpl w:val="44C6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EFD32B1"/>
    <w:multiLevelType w:val="multilevel"/>
    <w:tmpl w:val="F706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13C5FD8"/>
    <w:multiLevelType w:val="multilevel"/>
    <w:tmpl w:val="40DC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1A8094B"/>
    <w:multiLevelType w:val="multilevel"/>
    <w:tmpl w:val="602A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46930A3"/>
    <w:multiLevelType w:val="multilevel"/>
    <w:tmpl w:val="4E0A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55E7949"/>
    <w:multiLevelType w:val="multilevel"/>
    <w:tmpl w:val="6068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650324C"/>
    <w:multiLevelType w:val="multilevel"/>
    <w:tmpl w:val="ABFE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7095846"/>
    <w:multiLevelType w:val="multilevel"/>
    <w:tmpl w:val="7AC0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774638F"/>
    <w:multiLevelType w:val="multilevel"/>
    <w:tmpl w:val="8414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7E02E12"/>
    <w:multiLevelType w:val="multilevel"/>
    <w:tmpl w:val="4764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89D016D"/>
    <w:multiLevelType w:val="multilevel"/>
    <w:tmpl w:val="C876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8A35C5C"/>
    <w:multiLevelType w:val="multilevel"/>
    <w:tmpl w:val="1988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8E54826"/>
    <w:multiLevelType w:val="multilevel"/>
    <w:tmpl w:val="5EFA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9114EDE"/>
    <w:multiLevelType w:val="multilevel"/>
    <w:tmpl w:val="BCF8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9993CC3"/>
    <w:multiLevelType w:val="multilevel"/>
    <w:tmpl w:val="9F84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B7756FA"/>
    <w:multiLevelType w:val="multilevel"/>
    <w:tmpl w:val="FBEA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B7B79E6"/>
    <w:multiLevelType w:val="multilevel"/>
    <w:tmpl w:val="7732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C307E13"/>
    <w:multiLevelType w:val="multilevel"/>
    <w:tmpl w:val="DE4C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D433F23"/>
    <w:multiLevelType w:val="multilevel"/>
    <w:tmpl w:val="B9F2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D98001F"/>
    <w:multiLevelType w:val="multilevel"/>
    <w:tmpl w:val="9AD2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DE4770A"/>
    <w:multiLevelType w:val="multilevel"/>
    <w:tmpl w:val="3708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F995631"/>
    <w:multiLevelType w:val="multilevel"/>
    <w:tmpl w:val="DBCA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985721">
    <w:abstractNumId w:val="126"/>
  </w:num>
  <w:num w:numId="2" w16cid:durableId="48496923">
    <w:abstractNumId w:val="80"/>
  </w:num>
  <w:num w:numId="3" w16cid:durableId="335572438">
    <w:abstractNumId w:val="33"/>
  </w:num>
  <w:num w:numId="4" w16cid:durableId="895046067">
    <w:abstractNumId w:val="1"/>
  </w:num>
  <w:num w:numId="5" w16cid:durableId="1734766976">
    <w:abstractNumId w:val="6"/>
  </w:num>
  <w:num w:numId="6" w16cid:durableId="567149561">
    <w:abstractNumId w:val="138"/>
  </w:num>
  <w:num w:numId="7" w16cid:durableId="1404571643">
    <w:abstractNumId w:val="41"/>
  </w:num>
  <w:num w:numId="8" w16cid:durableId="1039205153">
    <w:abstractNumId w:val="95"/>
  </w:num>
  <w:num w:numId="9" w16cid:durableId="2000184803">
    <w:abstractNumId w:val="72"/>
  </w:num>
  <w:num w:numId="10" w16cid:durableId="2139640248">
    <w:abstractNumId w:val="120"/>
  </w:num>
  <w:num w:numId="11" w16cid:durableId="1066879712">
    <w:abstractNumId w:val="89"/>
  </w:num>
  <w:num w:numId="12" w16cid:durableId="187332845">
    <w:abstractNumId w:val="91"/>
  </w:num>
  <w:num w:numId="13" w16cid:durableId="2050839646">
    <w:abstractNumId w:val="135"/>
  </w:num>
  <w:num w:numId="14" w16cid:durableId="1915317078">
    <w:abstractNumId w:val="78"/>
  </w:num>
  <w:num w:numId="15" w16cid:durableId="497843834">
    <w:abstractNumId w:val="27"/>
  </w:num>
  <w:num w:numId="16" w16cid:durableId="43674844">
    <w:abstractNumId w:val="108"/>
  </w:num>
  <w:num w:numId="17" w16cid:durableId="458842272">
    <w:abstractNumId w:val="156"/>
  </w:num>
  <w:num w:numId="18" w16cid:durableId="399913516">
    <w:abstractNumId w:val="23"/>
  </w:num>
  <w:num w:numId="19" w16cid:durableId="1080641295">
    <w:abstractNumId w:val="159"/>
  </w:num>
  <w:num w:numId="20" w16cid:durableId="1222403750">
    <w:abstractNumId w:val="141"/>
  </w:num>
  <w:num w:numId="21" w16cid:durableId="584606786">
    <w:abstractNumId w:val="58"/>
  </w:num>
  <w:num w:numId="22" w16cid:durableId="1480923530">
    <w:abstractNumId w:val="145"/>
  </w:num>
  <w:num w:numId="23" w16cid:durableId="1337080009">
    <w:abstractNumId w:val="144"/>
  </w:num>
  <w:num w:numId="24" w16cid:durableId="1101530855">
    <w:abstractNumId w:val="81"/>
  </w:num>
  <w:num w:numId="25" w16cid:durableId="2146579705">
    <w:abstractNumId w:val="77"/>
  </w:num>
  <w:num w:numId="26" w16cid:durableId="1175534449">
    <w:abstractNumId w:val="123"/>
  </w:num>
  <w:num w:numId="27" w16cid:durableId="1077439589">
    <w:abstractNumId w:val="25"/>
  </w:num>
  <w:num w:numId="28" w16cid:durableId="1655136128">
    <w:abstractNumId w:val="73"/>
  </w:num>
  <w:num w:numId="29" w16cid:durableId="1307514085">
    <w:abstractNumId w:val="4"/>
  </w:num>
  <w:num w:numId="30" w16cid:durableId="1612011084">
    <w:abstractNumId w:val="94"/>
  </w:num>
  <w:num w:numId="31" w16cid:durableId="953176794">
    <w:abstractNumId w:val="124"/>
  </w:num>
  <w:num w:numId="32" w16cid:durableId="1051541910">
    <w:abstractNumId w:val="69"/>
  </w:num>
  <w:num w:numId="33" w16cid:durableId="1858696818">
    <w:abstractNumId w:val="125"/>
  </w:num>
  <w:num w:numId="34" w16cid:durableId="2044818139">
    <w:abstractNumId w:val="99"/>
  </w:num>
  <w:num w:numId="35" w16cid:durableId="987707079">
    <w:abstractNumId w:val="24"/>
  </w:num>
  <w:num w:numId="36" w16cid:durableId="1048870570">
    <w:abstractNumId w:val="38"/>
  </w:num>
  <w:num w:numId="37" w16cid:durableId="843976169">
    <w:abstractNumId w:val="20"/>
  </w:num>
  <w:num w:numId="38" w16cid:durableId="183178396">
    <w:abstractNumId w:val="127"/>
  </w:num>
  <w:num w:numId="39" w16cid:durableId="2080906688">
    <w:abstractNumId w:val="122"/>
  </w:num>
  <w:num w:numId="40" w16cid:durableId="938634261">
    <w:abstractNumId w:val="21"/>
  </w:num>
  <w:num w:numId="41" w16cid:durableId="1220632022">
    <w:abstractNumId w:val="36"/>
  </w:num>
  <w:num w:numId="42" w16cid:durableId="285359723">
    <w:abstractNumId w:val="34"/>
  </w:num>
  <w:num w:numId="43" w16cid:durableId="1773167643">
    <w:abstractNumId w:val="147"/>
  </w:num>
  <w:num w:numId="44" w16cid:durableId="395906159">
    <w:abstractNumId w:val="45"/>
  </w:num>
  <w:num w:numId="45" w16cid:durableId="454640168">
    <w:abstractNumId w:val="60"/>
  </w:num>
  <w:num w:numId="46" w16cid:durableId="322201624">
    <w:abstractNumId w:val="62"/>
  </w:num>
  <w:num w:numId="47" w16cid:durableId="1525946312">
    <w:abstractNumId w:val="74"/>
  </w:num>
  <w:num w:numId="48" w16cid:durableId="1459032496">
    <w:abstractNumId w:val="155"/>
  </w:num>
  <w:num w:numId="49" w16cid:durableId="515769680">
    <w:abstractNumId w:val="64"/>
  </w:num>
  <w:num w:numId="50" w16cid:durableId="1346785971">
    <w:abstractNumId w:val="157"/>
  </w:num>
  <w:num w:numId="51" w16cid:durableId="194465752">
    <w:abstractNumId w:val="106"/>
  </w:num>
  <w:num w:numId="52" w16cid:durableId="1801460502">
    <w:abstractNumId w:val="11"/>
  </w:num>
  <w:num w:numId="53" w16cid:durableId="1775515059">
    <w:abstractNumId w:val="104"/>
  </w:num>
  <w:num w:numId="54" w16cid:durableId="753626123">
    <w:abstractNumId w:val="115"/>
  </w:num>
  <w:num w:numId="55" w16cid:durableId="1882329072">
    <w:abstractNumId w:val="61"/>
  </w:num>
  <w:num w:numId="56" w16cid:durableId="1621380109">
    <w:abstractNumId w:val="26"/>
  </w:num>
  <w:num w:numId="57" w16cid:durableId="1657684265">
    <w:abstractNumId w:val="102"/>
  </w:num>
  <w:num w:numId="58" w16cid:durableId="120656047">
    <w:abstractNumId w:val="143"/>
  </w:num>
  <w:num w:numId="59" w16cid:durableId="1014769542">
    <w:abstractNumId w:val="88"/>
  </w:num>
  <w:num w:numId="60" w16cid:durableId="1525437193">
    <w:abstractNumId w:val="133"/>
  </w:num>
  <w:num w:numId="61" w16cid:durableId="34163977">
    <w:abstractNumId w:val="87"/>
  </w:num>
  <w:num w:numId="62" w16cid:durableId="1615746930">
    <w:abstractNumId w:val="43"/>
  </w:num>
  <w:num w:numId="63" w16cid:durableId="1142380086">
    <w:abstractNumId w:val="153"/>
  </w:num>
  <w:num w:numId="64" w16cid:durableId="1959949163">
    <w:abstractNumId w:val="18"/>
  </w:num>
  <w:num w:numId="65" w16cid:durableId="1174301344">
    <w:abstractNumId w:val="54"/>
  </w:num>
  <w:num w:numId="66" w16cid:durableId="1672903784">
    <w:abstractNumId w:val="82"/>
  </w:num>
  <w:num w:numId="67" w16cid:durableId="280038343">
    <w:abstractNumId w:val="10"/>
  </w:num>
  <w:num w:numId="68" w16cid:durableId="1909731680">
    <w:abstractNumId w:val="15"/>
  </w:num>
  <w:num w:numId="69" w16cid:durableId="16733974">
    <w:abstractNumId w:val="132"/>
  </w:num>
  <w:num w:numId="70" w16cid:durableId="587739765">
    <w:abstractNumId w:val="37"/>
  </w:num>
  <w:num w:numId="71" w16cid:durableId="521357357">
    <w:abstractNumId w:val="137"/>
  </w:num>
  <w:num w:numId="72" w16cid:durableId="130825557">
    <w:abstractNumId w:val="70"/>
  </w:num>
  <w:num w:numId="73" w16cid:durableId="1270356559">
    <w:abstractNumId w:val="71"/>
  </w:num>
  <w:num w:numId="74" w16cid:durableId="385640747">
    <w:abstractNumId w:val="113"/>
  </w:num>
  <w:num w:numId="75" w16cid:durableId="1703553405">
    <w:abstractNumId w:val="105"/>
  </w:num>
  <w:num w:numId="76" w16cid:durableId="1494645455">
    <w:abstractNumId w:val="134"/>
  </w:num>
  <w:num w:numId="77" w16cid:durableId="1326275603">
    <w:abstractNumId w:val="29"/>
  </w:num>
  <w:num w:numId="78" w16cid:durableId="1637835487">
    <w:abstractNumId w:val="19"/>
  </w:num>
  <w:num w:numId="79" w16cid:durableId="495343012">
    <w:abstractNumId w:val="103"/>
  </w:num>
  <w:num w:numId="80" w16cid:durableId="90899968">
    <w:abstractNumId w:val="86"/>
  </w:num>
  <w:num w:numId="81" w16cid:durableId="181365004">
    <w:abstractNumId w:val="97"/>
  </w:num>
  <w:num w:numId="82" w16cid:durableId="1540240814">
    <w:abstractNumId w:val="65"/>
  </w:num>
  <w:num w:numId="83" w16cid:durableId="1815441974">
    <w:abstractNumId w:val="12"/>
  </w:num>
  <w:num w:numId="84" w16cid:durableId="1824195560">
    <w:abstractNumId w:val="140"/>
  </w:num>
  <w:num w:numId="85" w16cid:durableId="1616130179">
    <w:abstractNumId w:val="149"/>
  </w:num>
  <w:num w:numId="86" w16cid:durableId="1656176982">
    <w:abstractNumId w:val="101"/>
  </w:num>
  <w:num w:numId="87" w16cid:durableId="1513642712">
    <w:abstractNumId w:val="68"/>
  </w:num>
  <w:num w:numId="88" w16cid:durableId="1268611786">
    <w:abstractNumId w:val="109"/>
  </w:num>
  <w:num w:numId="89" w16cid:durableId="440614292">
    <w:abstractNumId w:val="118"/>
  </w:num>
  <w:num w:numId="90" w16cid:durableId="1361198851">
    <w:abstractNumId w:val="28"/>
  </w:num>
  <w:num w:numId="91" w16cid:durableId="2009628549">
    <w:abstractNumId w:val="53"/>
  </w:num>
  <w:num w:numId="92" w16cid:durableId="98574508">
    <w:abstractNumId w:val="139"/>
  </w:num>
  <w:num w:numId="93" w16cid:durableId="1521045048">
    <w:abstractNumId w:val="57"/>
  </w:num>
  <w:num w:numId="94" w16cid:durableId="1673485228">
    <w:abstractNumId w:val="152"/>
  </w:num>
  <w:num w:numId="95" w16cid:durableId="294915329">
    <w:abstractNumId w:val="50"/>
  </w:num>
  <w:num w:numId="96" w16cid:durableId="1097561744">
    <w:abstractNumId w:val="16"/>
  </w:num>
  <w:num w:numId="97" w16cid:durableId="397020582">
    <w:abstractNumId w:val="83"/>
  </w:num>
  <w:num w:numId="98" w16cid:durableId="1254900771">
    <w:abstractNumId w:val="85"/>
  </w:num>
  <w:num w:numId="99" w16cid:durableId="1959144689">
    <w:abstractNumId w:val="44"/>
  </w:num>
  <w:num w:numId="100" w16cid:durableId="1114708142">
    <w:abstractNumId w:val="131"/>
  </w:num>
  <w:num w:numId="101" w16cid:durableId="2032141991">
    <w:abstractNumId w:val="158"/>
  </w:num>
  <w:num w:numId="102" w16cid:durableId="434253512">
    <w:abstractNumId w:val="110"/>
  </w:num>
  <w:num w:numId="103" w16cid:durableId="238099244">
    <w:abstractNumId w:val="117"/>
  </w:num>
  <w:num w:numId="104" w16cid:durableId="1218516006">
    <w:abstractNumId w:val="107"/>
  </w:num>
  <w:num w:numId="105" w16cid:durableId="90855480">
    <w:abstractNumId w:val="47"/>
  </w:num>
  <w:num w:numId="106" w16cid:durableId="2106801086">
    <w:abstractNumId w:val="63"/>
  </w:num>
  <w:num w:numId="107" w16cid:durableId="78526801">
    <w:abstractNumId w:val="76"/>
  </w:num>
  <w:num w:numId="108" w16cid:durableId="852039410">
    <w:abstractNumId w:val="55"/>
  </w:num>
  <w:num w:numId="109" w16cid:durableId="1809590759">
    <w:abstractNumId w:val="13"/>
  </w:num>
  <w:num w:numId="110" w16cid:durableId="1996449485">
    <w:abstractNumId w:val="96"/>
  </w:num>
  <w:num w:numId="111" w16cid:durableId="68312205">
    <w:abstractNumId w:val="32"/>
  </w:num>
  <w:num w:numId="112" w16cid:durableId="2073651382">
    <w:abstractNumId w:val="128"/>
  </w:num>
  <w:num w:numId="113" w16cid:durableId="1508056436">
    <w:abstractNumId w:val="112"/>
  </w:num>
  <w:num w:numId="114" w16cid:durableId="436484925">
    <w:abstractNumId w:val="90"/>
  </w:num>
  <w:num w:numId="115" w16cid:durableId="279142400">
    <w:abstractNumId w:val="93"/>
  </w:num>
  <w:num w:numId="116" w16cid:durableId="1154953376">
    <w:abstractNumId w:val="79"/>
  </w:num>
  <w:num w:numId="117" w16cid:durableId="473375399">
    <w:abstractNumId w:val="48"/>
  </w:num>
  <w:num w:numId="118" w16cid:durableId="2145155793">
    <w:abstractNumId w:val="39"/>
  </w:num>
  <w:num w:numId="119" w16cid:durableId="1465199708">
    <w:abstractNumId w:val="146"/>
  </w:num>
  <w:num w:numId="120" w16cid:durableId="1678993922">
    <w:abstractNumId w:val="2"/>
  </w:num>
  <w:num w:numId="121" w16cid:durableId="2129355158">
    <w:abstractNumId w:val="22"/>
  </w:num>
  <w:num w:numId="122" w16cid:durableId="1398748501">
    <w:abstractNumId w:val="66"/>
  </w:num>
  <w:num w:numId="123" w16cid:durableId="1789158686">
    <w:abstractNumId w:val="84"/>
  </w:num>
  <w:num w:numId="124" w16cid:durableId="1552576367">
    <w:abstractNumId w:val="3"/>
  </w:num>
  <w:num w:numId="125" w16cid:durableId="870996457">
    <w:abstractNumId w:val="67"/>
  </w:num>
  <w:num w:numId="126" w16cid:durableId="8484442">
    <w:abstractNumId w:val="8"/>
  </w:num>
  <w:num w:numId="127" w16cid:durableId="585917513">
    <w:abstractNumId w:val="75"/>
  </w:num>
  <w:num w:numId="128" w16cid:durableId="512568967">
    <w:abstractNumId w:val="31"/>
  </w:num>
  <w:num w:numId="129" w16cid:durableId="1516730863">
    <w:abstractNumId w:val="49"/>
  </w:num>
  <w:num w:numId="130" w16cid:durableId="920068588">
    <w:abstractNumId w:val="56"/>
  </w:num>
  <w:num w:numId="131" w16cid:durableId="1050039013">
    <w:abstractNumId w:val="0"/>
  </w:num>
  <w:num w:numId="132" w16cid:durableId="1854028095">
    <w:abstractNumId w:val="114"/>
  </w:num>
  <w:num w:numId="133" w16cid:durableId="1019548280">
    <w:abstractNumId w:val="119"/>
  </w:num>
  <w:num w:numId="134" w16cid:durableId="51083784">
    <w:abstractNumId w:val="59"/>
  </w:num>
  <w:num w:numId="135" w16cid:durableId="990596507">
    <w:abstractNumId w:val="121"/>
  </w:num>
  <w:num w:numId="136" w16cid:durableId="443231920">
    <w:abstractNumId w:val="130"/>
  </w:num>
  <w:num w:numId="137" w16cid:durableId="191651105">
    <w:abstractNumId w:val="98"/>
  </w:num>
  <w:num w:numId="138" w16cid:durableId="210772042">
    <w:abstractNumId w:val="142"/>
  </w:num>
  <w:num w:numId="139" w16cid:durableId="401177456">
    <w:abstractNumId w:val="151"/>
  </w:num>
  <w:num w:numId="140" w16cid:durableId="1319504917">
    <w:abstractNumId w:val="100"/>
  </w:num>
  <w:num w:numId="141" w16cid:durableId="897206713">
    <w:abstractNumId w:val="51"/>
  </w:num>
  <w:num w:numId="142" w16cid:durableId="1594435822">
    <w:abstractNumId w:val="148"/>
  </w:num>
  <w:num w:numId="143" w16cid:durableId="643698764">
    <w:abstractNumId w:val="150"/>
  </w:num>
  <w:num w:numId="144" w16cid:durableId="159472915">
    <w:abstractNumId w:val="111"/>
  </w:num>
  <w:num w:numId="145" w16cid:durableId="1055814069">
    <w:abstractNumId w:val="136"/>
  </w:num>
  <w:num w:numId="146" w16cid:durableId="1717200862">
    <w:abstractNumId w:val="17"/>
  </w:num>
  <w:num w:numId="147" w16cid:durableId="1450320765">
    <w:abstractNumId w:val="14"/>
  </w:num>
  <w:num w:numId="148" w16cid:durableId="423309956">
    <w:abstractNumId w:val="52"/>
  </w:num>
  <w:num w:numId="149" w16cid:durableId="1734743065">
    <w:abstractNumId w:val="35"/>
  </w:num>
  <w:num w:numId="150" w16cid:durableId="208807517">
    <w:abstractNumId w:val="42"/>
  </w:num>
  <w:num w:numId="151" w16cid:durableId="2080249661">
    <w:abstractNumId w:val="7"/>
  </w:num>
  <w:num w:numId="152" w16cid:durableId="974216548">
    <w:abstractNumId w:val="40"/>
  </w:num>
  <w:num w:numId="153" w16cid:durableId="1927574801">
    <w:abstractNumId w:val="5"/>
  </w:num>
  <w:num w:numId="154" w16cid:durableId="1276402291">
    <w:abstractNumId w:val="129"/>
  </w:num>
  <w:num w:numId="155" w16cid:durableId="567500722">
    <w:abstractNumId w:val="46"/>
  </w:num>
  <w:num w:numId="156" w16cid:durableId="1327633179">
    <w:abstractNumId w:val="154"/>
  </w:num>
  <w:num w:numId="157" w16cid:durableId="764495695">
    <w:abstractNumId w:val="30"/>
  </w:num>
  <w:num w:numId="158" w16cid:durableId="4523983">
    <w:abstractNumId w:val="116"/>
  </w:num>
  <w:num w:numId="159" w16cid:durableId="1217469417">
    <w:abstractNumId w:val="92"/>
  </w:num>
  <w:num w:numId="160" w16cid:durableId="351028415">
    <w:abstractNumId w:val="9"/>
  </w:num>
  <w:numIdMacAtCleanup w:val="1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383"/>
    <w:rsid w:val="001F2E56"/>
    <w:rsid w:val="00283383"/>
    <w:rsid w:val="0032251D"/>
    <w:rsid w:val="003936B2"/>
    <w:rsid w:val="00731B56"/>
    <w:rsid w:val="008D2B38"/>
    <w:rsid w:val="00B40C26"/>
    <w:rsid w:val="00B84586"/>
    <w:rsid w:val="00CF02C4"/>
    <w:rsid w:val="00E4372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79264"/>
  <w15:chartTrackingRefBased/>
  <w15:docId w15:val="{DCAD8025-3DBA-384A-AC40-90E46A020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33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33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33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33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33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33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3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3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3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3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33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33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33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33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33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3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3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383"/>
    <w:rPr>
      <w:rFonts w:eastAsiaTheme="majorEastAsia" w:cstheme="majorBidi"/>
      <w:color w:val="272727" w:themeColor="text1" w:themeTint="D8"/>
    </w:rPr>
  </w:style>
  <w:style w:type="paragraph" w:styleId="Title">
    <w:name w:val="Title"/>
    <w:basedOn w:val="Normal"/>
    <w:next w:val="Normal"/>
    <w:link w:val="TitleChar"/>
    <w:uiPriority w:val="10"/>
    <w:qFormat/>
    <w:rsid w:val="002833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3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3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3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383"/>
    <w:pPr>
      <w:spacing w:before="160"/>
      <w:jc w:val="center"/>
    </w:pPr>
    <w:rPr>
      <w:i/>
      <w:iCs/>
      <w:color w:val="404040" w:themeColor="text1" w:themeTint="BF"/>
    </w:rPr>
  </w:style>
  <w:style w:type="character" w:customStyle="1" w:styleId="QuoteChar">
    <w:name w:val="Quote Char"/>
    <w:basedOn w:val="DefaultParagraphFont"/>
    <w:link w:val="Quote"/>
    <w:uiPriority w:val="29"/>
    <w:rsid w:val="00283383"/>
    <w:rPr>
      <w:i/>
      <w:iCs/>
      <w:color w:val="404040" w:themeColor="text1" w:themeTint="BF"/>
    </w:rPr>
  </w:style>
  <w:style w:type="paragraph" w:styleId="ListParagraph">
    <w:name w:val="List Paragraph"/>
    <w:basedOn w:val="Normal"/>
    <w:uiPriority w:val="34"/>
    <w:qFormat/>
    <w:rsid w:val="00283383"/>
    <w:pPr>
      <w:ind w:left="720"/>
      <w:contextualSpacing/>
    </w:pPr>
  </w:style>
  <w:style w:type="character" w:styleId="IntenseEmphasis">
    <w:name w:val="Intense Emphasis"/>
    <w:basedOn w:val="DefaultParagraphFont"/>
    <w:uiPriority w:val="21"/>
    <w:qFormat/>
    <w:rsid w:val="00283383"/>
    <w:rPr>
      <w:i/>
      <w:iCs/>
      <w:color w:val="0F4761" w:themeColor="accent1" w:themeShade="BF"/>
    </w:rPr>
  </w:style>
  <w:style w:type="paragraph" w:styleId="IntenseQuote">
    <w:name w:val="Intense Quote"/>
    <w:basedOn w:val="Normal"/>
    <w:next w:val="Normal"/>
    <w:link w:val="IntenseQuoteChar"/>
    <w:uiPriority w:val="30"/>
    <w:qFormat/>
    <w:rsid w:val="002833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3383"/>
    <w:rPr>
      <w:i/>
      <w:iCs/>
      <w:color w:val="0F4761" w:themeColor="accent1" w:themeShade="BF"/>
    </w:rPr>
  </w:style>
  <w:style w:type="character" w:styleId="IntenseReference">
    <w:name w:val="Intense Reference"/>
    <w:basedOn w:val="DefaultParagraphFont"/>
    <w:uiPriority w:val="32"/>
    <w:qFormat/>
    <w:rsid w:val="00283383"/>
    <w:rPr>
      <w:b/>
      <w:bCs/>
      <w:smallCaps/>
      <w:color w:val="0F4761" w:themeColor="accent1" w:themeShade="BF"/>
      <w:spacing w:val="5"/>
    </w:rPr>
  </w:style>
  <w:style w:type="paragraph" w:styleId="NormalWeb">
    <w:name w:val="Normal (Web)"/>
    <w:basedOn w:val="Normal"/>
    <w:uiPriority w:val="99"/>
    <w:semiHidden/>
    <w:unhideWhenUsed/>
    <w:rsid w:val="001F2E5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F2E56"/>
    <w:rPr>
      <w:b/>
      <w:bCs/>
    </w:rPr>
  </w:style>
  <w:style w:type="character" w:styleId="Emphasis">
    <w:name w:val="Emphasis"/>
    <w:basedOn w:val="DefaultParagraphFont"/>
    <w:uiPriority w:val="20"/>
    <w:qFormat/>
    <w:rsid w:val="001F2E5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126</Pages>
  <Words>46637</Words>
  <Characters>303610</Characters>
  <Application>Microsoft Office Word</Application>
  <DocSecurity>0</DocSecurity>
  <Lines>5421</Lines>
  <Paragraphs>3400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Stoddart</dc:creator>
  <cp:keywords/>
  <dc:description/>
  <cp:lastModifiedBy>Justin Stoddart</cp:lastModifiedBy>
  <cp:revision>3</cp:revision>
  <dcterms:created xsi:type="dcterms:W3CDTF">2026-05-14T09:40:00Z</dcterms:created>
  <dcterms:modified xsi:type="dcterms:W3CDTF">2026-05-16T14:16:00Z</dcterms:modified>
</cp:coreProperties>
</file>