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4EAE7" w14:textId="0F8D8A1F" w:rsidR="00EB15BB" w:rsidRPr="00EB15BB" w:rsidRDefault="00EB15BB" w:rsidP="00EB15BB">
      <w:pPr>
        <w:jc w:val="center"/>
        <w:rPr>
          <w:rFonts w:ascii="Aptos" w:hAnsi="Aptos"/>
          <w:b/>
          <w:bCs/>
          <w:sz w:val="22"/>
          <w:szCs w:val="22"/>
          <w:lang w:val="en-US"/>
        </w:rPr>
      </w:pPr>
      <w:r w:rsidRPr="00EB15BB">
        <w:rPr>
          <w:rFonts w:ascii="Aptos" w:hAnsi="Aptos"/>
          <w:b/>
          <w:bCs/>
          <w:sz w:val="22"/>
          <w:szCs w:val="22"/>
          <w:lang w:val="en-US"/>
        </w:rPr>
        <w:t>Level 1 Estimation</w:t>
      </w:r>
    </w:p>
    <w:p w14:paraId="71D9AE13" w14:textId="0710C890" w:rsidR="00EB15BB" w:rsidRPr="00EB15BB" w:rsidRDefault="00EB15BB" w:rsidP="00EB15BB">
      <w:pPr>
        <w:jc w:val="center"/>
        <w:rPr>
          <w:rFonts w:ascii="Aptos" w:hAnsi="Aptos"/>
          <w:b/>
          <w:bCs/>
          <w:sz w:val="22"/>
          <w:szCs w:val="22"/>
        </w:rPr>
      </w:pPr>
      <w:r w:rsidRPr="00EB15BB">
        <w:rPr>
          <w:rFonts w:ascii="Aptos" w:hAnsi="Aptos"/>
          <w:b/>
          <w:bCs/>
          <w:sz w:val="22"/>
          <w:szCs w:val="22"/>
        </w:rPr>
        <w:t>L1 ↔ L3a — Reaction Function ↔ Policy Rate</w:t>
      </w:r>
    </w:p>
    <w:p w14:paraId="3C54AA44" w14:textId="77777777" w:rsidR="00EB15BB" w:rsidRPr="00EB15BB" w:rsidRDefault="00EB15BB" w:rsidP="00EB15B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1. Intensity test</w:t>
      </w:r>
    </w:p>
    <w:p w14:paraId="1714D5B0"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How tightly is the policy rate coupled to the rule? If R(·) has weak explanatory power, the residual is noisy and the dissonance metric is diagnostically poor. Intensity is the structural prerequisite.</w:t>
      </w:r>
    </w:p>
    <w:p w14:paraId="15567265" w14:textId="77777777" w:rsidR="00EB15BB" w:rsidRPr="00EB15BB" w:rsidRDefault="00EB15BB" w:rsidP="00EB15BB">
      <w:pPr>
        <w:numPr>
          <w:ilvl w:val="0"/>
          <w:numId w:val="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R²</w:t>
      </w:r>
      <w:r w:rsidRPr="00EB15BB">
        <w:rPr>
          <w:rFonts w:ascii="Aptos" w:eastAsia="Times New Roman" w:hAnsi="Aptos" w:cs="Times New Roman"/>
          <w:kern w:val="0"/>
          <w:sz w:val="22"/>
          <w:szCs w:val="22"/>
          <w:lang w:eastAsia="en-GB"/>
          <w14:ligatures w14:val="none"/>
        </w:rPr>
        <w:t xml:space="preserve"> of the fitted reaction function on i_t.</w:t>
      </w:r>
    </w:p>
    <w:p w14:paraId="306F3BAC" w14:textId="77777777" w:rsidR="00EB15BB" w:rsidRPr="00EB15BB" w:rsidRDefault="00EB15BB" w:rsidP="00EB15BB">
      <w:pPr>
        <w:numPr>
          <w:ilvl w:val="0"/>
          <w:numId w:val="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σ(ε) / σ(i)</w:t>
      </w:r>
      <w:r w:rsidRPr="00EB15BB">
        <w:rPr>
          <w:rFonts w:ascii="Aptos" w:eastAsia="Times New Roman" w:hAnsi="Aptos" w:cs="Times New Roman"/>
          <w:kern w:val="0"/>
          <w:sz w:val="22"/>
          <w:szCs w:val="22"/>
          <w:lang w:eastAsia="en-GB"/>
          <w14:ligatures w14:val="none"/>
        </w:rPr>
        <w:t xml:space="preserve"> — residual SD relative to rate SD. Low ratio = high coupling.</w:t>
      </w:r>
    </w:p>
    <w:p w14:paraId="36510B0E" w14:textId="77777777" w:rsidR="00EB15BB" w:rsidRPr="00EB15BB" w:rsidRDefault="00EB15BB" w:rsidP="00EB15BB">
      <w:pPr>
        <w:numPr>
          <w:ilvl w:val="0"/>
          <w:numId w:val="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Out-of-sample RMSE</w:t>
      </w:r>
      <w:r w:rsidRPr="00EB15BB">
        <w:rPr>
          <w:rFonts w:ascii="Aptos" w:eastAsia="Times New Roman" w:hAnsi="Aptos" w:cs="Times New Roman"/>
          <w:kern w:val="0"/>
          <w:sz w:val="22"/>
          <w:szCs w:val="22"/>
          <w:lang w:eastAsia="en-GB"/>
          <w14:ligatures w14:val="none"/>
        </w:rPr>
        <w:t xml:space="preserve"> on a held-out window (2015–2019 if calibrated on 2005–2014).</w:t>
      </w:r>
    </w:p>
    <w:p w14:paraId="5E21DC32" w14:textId="77777777" w:rsidR="00EB15BB" w:rsidRPr="00EB15BB" w:rsidRDefault="00EB15BB" w:rsidP="00EB15BB">
      <w:pPr>
        <w:numPr>
          <w:ilvl w:val="0"/>
          <w:numId w:val="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Granger causality</w:t>
      </w:r>
      <w:r w:rsidRPr="00EB15BB">
        <w:rPr>
          <w:rFonts w:ascii="Aptos" w:eastAsia="Times New Roman" w:hAnsi="Aptos" w:cs="Times New Roman"/>
          <w:kern w:val="0"/>
          <w:sz w:val="22"/>
          <w:szCs w:val="22"/>
          <w:lang w:eastAsia="en-GB"/>
          <w14:ligatures w14:val="none"/>
        </w:rPr>
        <w:t xml:space="preserve"> from {π gap, ỹ, Δq, i^foreign} → i_t.</w:t>
      </w:r>
    </w:p>
    <w:p w14:paraId="54094846"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Sufficiency condition</w:t>
      </w:r>
      <w:r w:rsidRPr="00EB15BB">
        <w:rPr>
          <w:rFonts w:ascii="Aptos" w:eastAsia="Times New Roman" w:hAnsi="Aptos" w:cs="Times New Roman"/>
          <w:kern w:val="0"/>
          <w:sz w:val="22"/>
          <w:szCs w:val="22"/>
          <w:lang w:eastAsia="en-GB"/>
          <w14:ligatures w14:val="none"/>
        </w:rPr>
        <w:t xml:space="preserve"> (in pre-registration): R² &gt; 0.7 and σ(ε)/σ(i) &lt; 0.4 in the normal-regime calibration window. Below this, flag the country-relationship as low-intensity and downweight in the composite.</w:t>
      </w:r>
    </w:p>
    <w:p w14:paraId="032684AB" w14:textId="77777777" w:rsidR="00EB15BB" w:rsidRPr="00EB15BB" w:rsidRDefault="00EB15BB" w:rsidP="00EB15B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2. Consistency function R^{L1↔L3a}</w:t>
      </w:r>
    </w:p>
    <w:p w14:paraId="77BC426C"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The rule produces an implied rate i*_t. The consistency function maps the joint observation to zero in equilibrium:</w:t>
      </w:r>
    </w:p>
    <w:p w14:paraId="0C4D332F"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R^{L1↔L3a}(i_t, state_t; θ̂) = i_t − i*_t</w:t>
      </w:r>
    </w:p>
    <w:p w14:paraId="08B1458E"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with</w:t>
      </w:r>
    </w:p>
    <w:p w14:paraId="13C603E6"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i</w:t>
      </w:r>
      <w:r w:rsidRPr="00EB15BB">
        <w:rPr>
          <w:rFonts w:ascii="Aptos" w:eastAsia="Times New Roman" w:hAnsi="Aptos" w:cs="Times New Roman"/>
          <w:i/>
          <w:iCs/>
          <w:kern w:val="0"/>
          <w:sz w:val="22"/>
          <w:szCs w:val="22"/>
          <w:lang w:eastAsia="en-GB"/>
          <w14:ligatures w14:val="none"/>
        </w:rPr>
        <w:t>t = ρ·i{t−1} + (1−ρ)·[r</w:t>
      </w:r>
      <w:r w:rsidRPr="00EB15BB">
        <w:rPr>
          <w:rFonts w:ascii="Aptos" w:eastAsia="Times New Roman" w:hAnsi="Aptos" w:cs="Times New Roman"/>
          <w:kern w:val="0"/>
          <w:sz w:val="22"/>
          <w:szCs w:val="22"/>
          <w:lang w:eastAsia="en-GB"/>
          <w14:ligatures w14:val="none"/>
        </w:rPr>
        <w:t xml:space="preserve"> + α·(E_t π_{t+h} − π*) + β·E_t ỹ_{t+k} + γ·Δq_t + δ·i_t^foreign]</w:t>
      </w:r>
    </w:p>
    <w:p w14:paraId="2E904195"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Pre-registered specifications</w:t>
      </w:r>
    </w:p>
    <w:p w14:paraId="6F30BF5A" w14:textId="77777777" w:rsidR="00EB15BB" w:rsidRPr="00EB15BB" w:rsidRDefault="00EB15BB" w:rsidP="00EB15BB">
      <w:pPr>
        <w:numPr>
          <w:ilvl w:val="0"/>
          <w:numId w:val="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DM panel: CGG forward-smoothed, γ = δ = 0.</w:t>
      </w:r>
    </w:p>
    <w:p w14:paraId="3C29D1D0" w14:textId="77777777" w:rsidR="00EB15BB" w:rsidRPr="00EB15BB" w:rsidRDefault="00EB15BB" w:rsidP="00EB15BB">
      <w:pPr>
        <w:numPr>
          <w:ilvl w:val="0"/>
          <w:numId w:val="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EM panel: full Aron-Muellbauer / Mohanty-Klau form, γ, δ ≠ 0.</w:t>
      </w:r>
    </w:p>
    <w:p w14:paraId="2B62E49E" w14:textId="77777777" w:rsidR="00EB15BB" w:rsidRPr="00EB15BB" w:rsidRDefault="00EB15BB" w:rsidP="00EB15BB">
      <w:pPr>
        <w:numPr>
          <w:ilvl w:val="0"/>
          <w:numId w:val="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Horizons: h = 4 quarters (inflation), k = 0 (output gap).</w:t>
      </w:r>
    </w:p>
    <w:p w14:paraId="0BE942E4" w14:textId="77777777" w:rsidR="00EB15BB" w:rsidRPr="00EB15BB" w:rsidRDefault="00EB15BB" w:rsidP="00EB15BB">
      <w:pPr>
        <w:numPr>
          <w:ilvl w:val="0"/>
          <w:numId w:val="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Forecasts: real-time consensus (Bloomberg, SPF, Focus for Brazil) where available; otherwise model-based proxies. Document choice country-by-country.</w:t>
      </w:r>
    </w:p>
    <w:p w14:paraId="0EB7CEDE"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Estimation</w:t>
      </w:r>
    </w:p>
    <w:p w14:paraId="3C87CA4E" w14:textId="77777777" w:rsidR="00EB15BB" w:rsidRPr="00EB15BB" w:rsidRDefault="00EB15BB" w:rsidP="00EB15BB">
      <w:pPr>
        <w:numPr>
          <w:ilvl w:val="0"/>
          <w:numId w:val="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GMM</w:t>
      </w:r>
      <w:r w:rsidRPr="00EB15BB">
        <w:rPr>
          <w:rFonts w:ascii="Aptos" w:eastAsia="Times New Roman" w:hAnsi="Aptos" w:cs="Times New Roman"/>
          <w:kern w:val="0"/>
          <w:sz w:val="22"/>
          <w:szCs w:val="22"/>
          <w:lang w:eastAsia="en-GB"/>
          <w14:ligatures w14:val="none"/>
        </w:rPr>
        <w:t xml:space="preserve"> with instruments {lagged π, lagged ỹ, commodity prices, lagged i^foreign} to address simultaneity.</w:t>
      </w:r>
    </w:p>
    <w:p w14:paraId="4068D9E5" w14:textId="77777777" w:rsidR="00EB15BB" w:rsidRPr="00EB15BB" w:rsidRDefault="00EB15BB" w:rsidP="00EB15BB">
      <w:pPr>
        <w:numPr>
          <w:ilvl w:val="0"/>
          <w:numId w:val="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OLS</w:t>
      </w:r>
      <w:r w:rsidRPr="00EB15BB">
        <w:rPr>
          <w:rFonts w:ascii="Aptos" w:eastAsia="Times New Roman" w:hAnsi="Aptos" w:cs="Times New Roman"/>
          <w:kern w:val="0"/>
          <w:sz w:val="22"/>
          <w:szCs w:val="22"/>
          <w:lang w:eastAsia="en-GB"/>
          <w14:ligatures w14:val="none"/>
        </w:rPr>
        <w:t xml:space="preserve"> as comparator under a strict-timing identification (state dated t−1 only).</w:t>
      </w:r>
    </w:p>
    <w:p w14:paraId="117BEB94" w14:textId="77777777" w:rsidR="00EB15BB" w:rsidRPr="00EB15BB" w:rsidRDefault="00EB15BB" w:rsidP="00EB15BB">
      <w:pPr>
        <w:numPr>
          <w:ilvl w:val="0"/>
          <w:numId w:val="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Sample split</w:t>
      </w:r>
      <w:r w:rsidRPr="00EB15BB">
        <w:rPr>
          <w:rFonts w:ascii="Aptos" w:eastAsia="Times New Roman" w:hAnsi="Aptos" w:cs="Times New Roman"/>
          <w:kern w:val="0"/>
          <w:sz w:val="22"/>
          <w:szCs w:val="22"/>
          <w:lang w:eastAsia="en-GB"/>
          <w14:ligatures w14:val="none"/>
        </w:rPr>
        <w:t>: θ̂ estimated on 2005–2014 (with 2008–09 dummied); ε_t computed on 2015–2024 out-of-sample to avoid the trivial fitted-residual-equals-zero problem.</w:t>
      </w:r>
    </w:p>
    <w:p w14:paraId="5A0947E2"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By construction E[R^{L1↔L3a}] = 0 in the calibration window.</w:t>
      </w:r>
    </w:p>
    <w:p w14:paraId="31178F01" w14:textId="77777777" w:rsidR="00EB15BB" w:rsidRPr="00EB15BB" w:rsidRDefault="00EB15BB" w:rsidP="00EB15B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3. Dissonance function</w:t>
      </w:r>
    </w:p>
    <w:p w14:paraId="6FD5F466"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D^{L1↔L3a}_t = |R^{L1↔L3a}_t| = |i_t − i*_t|</w:t>
      </w:r>
    </w:p>
    <w:p w14:paraId="7E0DE17D"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lastRenderedPageBreak/>
        <w:t>Threshold</w:t>
      </w:r>
      <w:r w:rsidRPr="00EB15BB">
        <w:rPr>
          <w:rFonts w:ascii="Aptos" w:eastAsia="Times New Roman" w:hAnsi="Aptos" w:cs="Times New Roman"/>
          <w:kern w:val="0"/>
          <w:sz w:val="22"/>
          <w:szCs w:val="22"/>
          <w:lang w:eastAsia="en-GB"/>
          <w14:ligatures w14:val="none"/>
        </w:rPr>
        <w:t>: τ = 2 · σ(ε) on the normal-regime calibration window. Robustness across {1.5σ, 2σ, 2.5σ; 90th, 95th, 99th percentiles}.</w:t>
      </w:r>
    </w:p>
    <w:p w14:paraId="759082F3"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Auxiliary dimensions</w:t>
      </w:r>
      <w:r w:rsidRPr="00EB15BB">
        <w:rPr>
          <w:rFonts w:ascii="Aptos" w:eastAsia="Times New Roman" w:hAnsi="Aptos" w:cs="Times New Roman"/>
          <w:kern w:val="0"/>
          <w:sz w:val="22"/>
          <w:szCs w:val="22"/>
          <w:lang w:eastAsia="en-GB"/>
          <w14:ligatures w14:val="none"/>
        </w:rPr>
        <w:t xml:space="preserve"> carried separately (not folded into D):</w:t>
      </w:r>
    </w:p>
    <w:p w14:paraId="43FC9EEF" w14:textId="77777777" w:rsidR="00EB15BB" w:rsidRPr="00EB15BB" w:rsidRDefault="00EB15BB" w:rsidP="00EB15BB">
      <w:pPr>
        <w:numPr>
          <w:ilvl w:val="0"/>
          <w:numId w:val="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Sign(ε_t)</w:t>
      </w:r>
      <w:r w:rsidRPr="00EB15BB">
        <w:rPr>
          <w:rFonts w:ascii="Aptos" w:eastAsia="Times New Roman" w:hAnsi="Aptos" w:cs="Times New Roman"/>
          <w:kern w:val="0"/>
          <w:sz w:val="22"/>
          <w:szCs w:val="22"/>
          <w:lang w:eastAsia="en-GB"/>
          <w14:ligatures w14:val="none"/>
        </w:rPr>
        <w:t xml:space="preserve"> — dovish (ε &lt; 0) vs hawkish (ε &gt; 0) deviation. Asset-class incidence differs.</w:t>
      </w:r>
    </w:p>
    <w:p w14:paraId="4D6A1E00" w14:textId="77777777" w:rsidR="00EB15BB" w:rsidRPr="00EB15BB" w:rsidRDefault="00EB15BB" w:rsidP="00EB15BB">
      <w:pPr>
        <w:numPr>
          <w:ilvl w:val="0"/>
          <w:numId w:val="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Persistence</w:t>
      </w:r>
      <w:r w:rsidRPr="00EB15BB">
        <w:rPr>
          <w:rFonts w:ascii="Aptos" w:eastAsia="Times New Roman" w:hAnsi="Aptos" w:cs="Times New Roman"/>
          <w:kern w:val="0"/>
          <w:sz w:val="22"/>
          <w:szCs w:val="22"/>
          <w:lang w:eastAsia="en-GB"/>
          <w14:ligatures w14:val="none"/>
        </w:rPr>
        <w:t xml:space="preserve"> — AR(1) of ε over a 12-meeting window. Coefficient &gt; 0.5 indicates structural off-rule action rather than meeting-noise.</w:t>
      </w:r>
    </w:p>
    <w:p w14:paraId="7B0DC468" w14:textId="77777777" w:rsidR="00EB15BB" w:rsidRPr="00EB15BB" w:rsidRDefault="00EB15BB" w:rsidP="00EB15BB">
      <w:pPr>
        <w:numPr>
          <w:ilvl w:val="0"/>
          <w:numId w:val="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Cumulative</w:t>
      </w:r>
      <w:r w:rsidRPr="00EB15BB">
        <w:rPr>
          <w:rFonts w:ascii="Aptos" w:eastAsia="Times New Roman" w:hAnsi="Aptos" w:cs="Times New Roman"/>
          <w:kern w:val="0"/>
          <w:sz w:val="22"/>
          <w:szCs w:val="22"/>
          <w:lang w:eastAsia="en-GB"/>
          <w14:ligatures w14:val="none"/>
        </w:rPr>
        <w:t xml:space="preserve"> — Σε over a 6-meeting rolling window. Captures sustained drift.</w:t>
      </w:r>
    </w:p>
    <w:p w14:paraId="5A34C4E3" w14:textId="77777777" w:rsidR="00EB15BB" w:rsidRPr="00EB15BB" w:rsidRDefault="00EB15BB" w:rsidP="00EB15B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Two design notes</w:t>
      </w:r>
    </w:p>
    <w:p w14:paraId="35722317"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TVP version vs static-θ̂ version</w:t>
      </w:r>
      <w:r w:rsidRPr="00EB15BB">
        <w:rPr>
          <w:rFonts w:ascii="Aptos" w:eastAsia="Times New Roman" w:hAnsi="Aptos" w:cs="Times New Roman"/>
          <w:kern w:val="0"/>
          <w:sz w:val="22"/>
          <w:szCs w:val="22"/>
          <w:lang w:eastAsia="en-GB"/>
          <w14:ligatures w14:val="none"/>
        </w:rPr>
        <w:t>. The static residual conflates rule violation with rule drift. A TVP specification (Kalman filter on the reaction function) cleanly separates them:</w:t>
      </w:r>
    </w:p>
    <w:p w14:paraId="76B8EF09" w14:textId="77777777" w:rsidR="00EB15BB" w:rsidRPr="00EB15BB" w:rsidRDefault="00EB15BB" w:rsidP="00EB15BB">
      <w:pPr>
        <w:numPr>
          <w:ilvl w:val="0"/>
          <w:numId w:val="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 xml:space="preserve">Var(θ̂_t) over time = </w:t>
      </w:r>
      <w:r w:rsidRPr="00EB15BB">
        <w:rPr>
          <w:rFonts w:ascii="Aptos" w:eastAsia="Times New Roman" w:hAnsi="Aptos" w:cs="Times New Roman"/>
          <w:b/>
          <w:bCs/>
          <w:kern w:val="0"/>
          <w:sz w:val="22"/>
          <w:szCs w:val="22"/>
          <w:lang w:eastAsia="en-GB"/>
          <w14:ligatures w14:val="none"/>
        </w:rPr>
        <w:t>intra-L1 dissonance</w:t>
      </w:r>
      <w:r w:rsidRPr="00EB15BB">
        <w:rPr>
          <w:rFonts w:ascii="Aptos" w:eastAsia="Times New Roman" w:hAnsi="Aptos" w:cs="Times New Roman"/>
          <w:kern w:val="0"/>
          <w:sz w:val="22"/>
          <w:szCs w:val="22"/>
          <w:lang w:eastAsia="en-GB"/>
          <w14:ligatures w14:val="none"/>
        </w:rPr>
        <w:t xml:space="preserve"> (rule itself changing).</w:t>
      </w:r>
    </w:p>
    <w:p w14:paraId="2FB729A0" w14:textId="77777777" w:rsidR="00EB15BB" w:rsidRPr="00EB15BB" w:rsidRDefault="00EB15BB" w:rsidP="00EB15BB">
      <w:pPr>
        <w:numPr>
          <w:ilvl w:val="0"/>
          <w:numId w:val="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 xml:space="preserve">|i_t − i*_t(θ̂_t)| = </w:t>
      </w:r>
      <w:r w:rsidRPr="00EB15BB">
        <w:rPr>
          <w:rFonts w:ascii="Aptos" w:eastAsia="Times New Roman" w:hAnsi="Aptos" w:cs="Times New Roman"/>
          <w:b/>
          <w:bCs/>
          <w:kern w:val="0"/>
          <w:sz w:val="22"/>
          <w:szCs w:val="22"/>
          <w:lang w:eastAsia="en-GB"/>
          <w14:ligatures w14:val="none"/>
        </w:rPr>
        <w:t>L1 ↔ L3a dissonance</w:t>
      </w:r>
      <w:r w:rsidRPr="00EB15BB">
        <w:rPr>
          <w:rFonts w:ascii="Aptos" w:eastAsia="Times New Roman" w:hAnsi="Aptos" w:cs="Times New Roman"/>
          <w:kern w:val="0"/>
          <w:sz w:val="22"/>
          <w:szCs w:val="22"/>
          <w:lang w:eastAsia="en-GB"/>
          <w14:ligatures w14:val="none"/>
        </w:rPr>
        <w:t xml:space="preserve"> proper (deviation from the time-varying rule).</w:t>
      </w:r>
    </w:p>
    <w:p w14:paraId="20C4B49F"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Run both. Headline metric uses static θ̂; decomposition uses TVP. The TVP version is also the natural feeder into the intra-L1 estimation, so estimating jointly is efficient.</w:t>
      </w:r>
    </w:p>
    <w:p w14:paraId="3551F4E7"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Why this relationship anchors the framework</w:t>
      </w:r>
      <w:r w:rsidRPr="00EB15BB">
        <w:rPr>
          <w:rFonts w:ascii="Aptos" w:eastAsia="Times New Roman" w:hAnsi="Aptos" w:cs="Times New Roman"/>
          <w:kern w:val="0"/>
          <w:sz w:val="22"/>
          <w:szCs w:val="22"/>
          <w:lang w:eastAsia="en-GB"/>
          <w14:ligatures w14:val="none"/>
        </w:rPr>
        <w:t>. L1 ↔ L3a is the cleanest empirical edge in the system — a single executed rate against a single estimated rule, with the longest literature, the most data, and the smallest measurement ambiguity. It will be the highest-quality node in the composite and should carry the largest pre-registered weight in the theory-weighted aggregation scheme. The remaining L1 ↔ L3 edges (b through f) are progressively harder and noisier; getting L1 ↔ L3a right disciplines everything downstream.</w:t>
      </w:r>
    </w:p>
    <w:p w14:paraId="242D2427" w14:textId="77777777" w:rsidR="00EB15BB" w:rsidRPr="00EB15BB" w:rsidRDefault="004B6E07" w:rsidP="00EB15BB">
      <w:pPr>
        <w:spacing w:after="0" w:line="240" w:lineRule="auto"/>
        <w:rPr>
          <w:rFonts w:ascii="Aptos" w:eastAsia="Times New Roman" w:hAnsi="Aptos" w:cs="Times New Roman"/>
          <w:kern w:val="0"/>
          <w:sz w:val="22"/>
          <w:szCs w:val="22"/>
          <w:lang w:eastAsia="en-GB"/>
          <w14:ligatures w14:val="none"/>
        </w:rPr>
      </w:pPr>
      <w:r w:rsidRPr="004B6E07">
        <w:rPr>
          <w:rFonts w:ascii="Aptos" w:eastAsia="Times New Roman" w:hAnsi="Aptos" w:cs="Times New Roman"/>
          <w:noProof/>
          <w:kern w:val="0"/>
          <w:sz w:val="22"/>
          <w:szCs w:val="22"/>
          <w:lang w:eastAsia="en-GB"/>
        </w:rPr>
        <w:pict w14:anchorId="661802DE">
          <v:rect id="_x0000_i1030" alt="" style="width:451.3pt;height:.05pt;mso-width-percent:0;mso-height-percent:0;mso-width-percent:0;mso-height-percent:0" o:hralign="center" o:hrstd="t" o:hr="t" fillcolor="#a0a0a0" stroked="f"/>
        </w:pict>
      </w:r>
    </w:p>
    <w:p w14:paraId="59DC2034" w14:textId="77777777" w:rsidR="00EB15BB" w:rsidRPr="00EB15BB" w:rsidRDefault="00EB15BB" w:rsidP="00EB15BB">
      <w:pPr>
        <w:rPr>
          <w:rFonts w:ascii="Aptos" w:eastAsia="Times New Roman" w:hAnsi="Aptos" w:cs="Times New Roman"/>
          <w:kern w:val="0"/>
          <w:sz w:val="22"/>
          <w:szCs w:val="22"/>
          <w:lang w:eastAsia="en-GB"/>
          <w14:ligatures w14:val="none"/>
        </w:rPr>
      </w:pPr>
    </w:p>
    <w:p w14:paraId="3E62AABC" w14:textId="77777777" w:rsidR="00EB15BB" w:rsidRPr="00EB15BB" w:rsidRDefault="00EB15BB" w:rsidP="00EB15BB">
      <w:pPr>
        <w:rPr>
          <w:rFonts w:ascii="Aptos" w:eastAsia="Times New Roman" w:hAnsi="Aptos" w:cs="Times New Roman"/>
          <w:kern w:val="0"/>
          <w:sz w:val="22"/>
          <w:szCs w:val="22"/>
          <w:lang w:eastAsia="en-GB"/>
          <w14:ligatures w14:val="none"/>
        </w:rPr>
      </w:pPr>
    </w:p>
    <w:p w14:paraId="38949B5D" w14:textId="77777777" w:rsidR="00EB15BB" w:rsidRPr="00EB15BB" w:rsidRDefault="00EB15BB" w:rsidP="00EB15BB">
      <w:pPr>
        <w:rPr>
          <w:rFonts w:ascii="Aptos" w:eastAsia="Times New Roman" w:hAnsi="Aptos" w:cs="Times New Roman"/>
          <w:kern w:val="0"/>
          <w:sz w:val="22"/>
          <w:szCs w:val="22"/>
          <w:lang w:eastAsia="en-GB"/>
          <w14:ligatures w14:val="none"/>
        </w:rPr>
      </w:pPr>
    </w:p>
    <w:p w14:paraId="32B6479F" w14:textId="77777777" w:rsidR="00EB15BB" w:rsidRPr="00EB15BB" w:rsidRDefault="00EB15BB" w:rsidP="00EB15BB">
      <w:pPr>
        <w:rPr>
          <w:rFonts w:ascii="Aptos" w:eastAsia="Times New Roman" w:hAnsi="Aptos" w:cs="Times New Roman"/>
          <w:kern w:val="0"/>
          <w:sz w:val="22"/>
          <w:szCs w:val="22"/>
          <w:lang w:eastAsia="en-GB"/>
          <w14:ligatures w14:val="none"/>
        </w:rPr>
      </w:pPr>
    </w:p>
    <w:p w14:paraId="4434EE8F" w14:textId="77777777" w:rsidR="00EB15BB" w:rsidRPr="00EB15BB" w:rsidRDefault="00EB15BB" w:rsidP="00EB15BB">
      <w:pPr>
        <w:rPr>
          <w:rFonts w:ascii="Aptos" w:eastAsia="Times New Roman" w:hAnsi="Aptos" w:cs="Times New Roman"/>
          <w:kern w:val="0"/>
          <w:sz w:val="22"/>
          <w:szCs w:val="22"/>
          <w:lang w:eastAsia="en-GB"/>
          <w14:ligatures w14:val="none"/>
        </w:rPr>
      </w:pPr>
    </w:p>
    <w:p w14:paraId="40C6DC0C" w14:textId="77777777" w:rsidR="00EB15BB" w:rsidRPr="00EB15BB" w:rsidRDefault="00EB15BB" w:rsidP="00EB15BB">
      <w:pPr>
        <w:rPr>
          <w:rFonts w:ascii="Aptos" w:eastAsia="Times New Roman" w:hAnsi="Aptos" w:cs="Times New Roman"/>
          <w:kern w:val="0"/>
          <w:sz w:val="22"/>
          <w:szCs w:val="22"/>
          <w:lang w:eastAsia="en-GB"/>
          <w14:ligatures w14:val="none"/>
        </w:rPr>
      </w:pPr>
    </w:p>
    <w:p w14:paraId="6AA276D4" w14:textId="77777777" w:rsidR="00EB15BB" w:rsidRPr="00EB15BB" w:rsidRDefault="00EB15BB" w:rsidP="00EB15BB">
      <w:pPr>
        <w:rPr>
          <w:rFonts w:ascii="Aptos" w:eastAsia="Times New Roman" w:hAnsi="Aptos" w:cs="Times New Roman"/>
          <w:kern w:val="0"/>
          <w:sz w:val="22"/>
          <w:szCs w:val="22"/>
          <w:lang w:eastAsia="en-GB"/>
          <w14:ligatures w14:val="none"/>
        </w:rPr>
      </w:pPr>
    </w:p>
    <w:p w14:paraId="530A1B1C" w14:textId="77777777" w:rsidR="00EB15BB" w:rsidRPr="00EB15BB" w:rsidRDefault="00EB15BB" w:rsidP="00EB15BB">
      <w:pPr>
        <w:rPr>
          <w:rFonts w:ascii="Aptos" w:eastAsia="Times New Roman" w:hAnsi="Aptos" w:cs="Times New Roman"/>
          <w:kern w:val="0"/>
          <w:sz w:val="22"/>
          <w:szCs w:val="22"/>
          <w:lang w:eastAsia="en-GB"/>
          <w14:ligatures w14:val="none"/>
        </w:rPr>
      </w:pPr>
    </w:p>
    <w:p w14:paraId="4E15D297" w14:textId="77777777" w:rsidR="00EB15BB" w:rsidRPr="00EB15BB" w:rsidRDefault="00EB15BB" w:rsidP="00EB15BB">
      <w:pPr>
        <w:spacing w:before="100" w:beforeAutospacing="1" w:after="100" w:afterAutospacing="1" w:line="240" w:lineRule="auto"/>
        <w:outlineLvl w:val="0"/>
        <w:rPr>
          <w:rFonts w:ascii="Aptos" w:eastAsia="Times New Roman" w:hAnsi="Aptos" w:cs="Times New Roman"/>
          <w:b/>
          <w:bCs/>
          <w:kern w:val="36"/>
          <w:sz w:val="22"/>
          <w:szCs w:val="22"/>
          <w:lang w:eastAsia="en-GB"/>
          <w14:ligatures w14:val="none"/>
        </w:rPr>
      </w:pPr>
      <w:r w:rsidRPr="00EB15BB">
        <w:rPr>
          <w:rFonts w:ascii="Aptos" w:eastAsia="Times New Roman" w:hAnsi="Aptos" w:cs="Times New Roman"/>
          <w:b/>
          <w:bCs/>
          <w:kern w:val="36"/>
          <w:sz w:val="22"/>
          <w:szCs w:val="22"/>
          <w:lang w:eastAsia="en-GB"/>
          <w14:ligatures w14:val="none"/>
        </w:rPr>
        <w:t>L1 ↔ L3b — Reaction Function ↔ Balance Sheet</w:t>
      </w:r>
    </w:p>
    <w:p w14:paraId="363CCC30" w14:textId="77777777" w:rsidR="00EB15BB" w:rsidRPr="00EB15BB" w:rsidRDefault="00EB15BB" w:rsidP="00EB15B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1. Intensity test</w:t>
      </w:r>
    </w:p>
    <w:p w14:paraId="55722567"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 xml:space="preserve">The balance sheet only does monetary work when the rule cannot be executed through the rate alone — i.e., at or near the ELB, or when the rule prescribes a stance the rate has already exhausted. Intensity is therefore </w:t>
      </w:r>
      <w:r w:rsidRPr="00EB15BB">
        <w:rPr>
          <w:rFonts w:ascii="Aptos" w:eastAsia="Times New Roman" w:hAnsi="Aptos" w:cs="Times New Roman"/>
          <w:i/>
          <w:iCs/>
          <w:kern w:val="0"/>
          <w:sz w:val="22"/>
          <w:szCs w:val="22"/>
          <w:lang w:eastAsia="en-GB"/>
          <w14:ligatures w14:val="none"/>
        </w:rPr>
        <w:t>conditional</w:t>
      </w:r>
      <w:r w:rsidRPr="00EB15BB">
        <w:rPr>
          <w:rFonts w:ascii="Aptos" w:eastAsia="Times New Roman" w:hAnsi="Aptos" w:cs="Times New Roman"/>
          <w:kern w:val="0"/>
          <w:sz w:val="22"/>
          <w:szCs w:val="22"/>
          <w:lang w:eastAsia="en-GB"/>
          <w14:ligatures w14:val="none"/>
        </w:rPr>
        <w:t xml:space="preserve"> on regime: high under ELB-binding, near-zero in normal-rate regimes, and structurally null for countries that have not used the instrument.</w:t>
      </w:r>
    </w:p>
    <w:p w14:paraId="1711C3B3" w14:textId="77777777" w:rsidR="00EB15BB" w:rsidRPr="00EB15BB" w:rsidRDefault="00EB15BB" w:rsidP="00EB15BB">
      <w:pPr>
        <w:numPr>
          <w:ilvl w:val="0"/>
          <w:numId w:val="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lastRenderedPageBreak/>
        <w:t>Event-study elasticity of term premium to QE/QT announcements</w:t>
      </w:r>
      <w:r w:rsidRPr="00EB15BB">
        <w:rPr>
          <w:rFonts w:ascii="Aptos" w:eastAsia="Times New Roman" w:hAnsi="Aptos" w:cs="Times New Roman"/>
          <w:kern w:val="0"/>
          <w:sz w:val="22"/>
          <w:szCs w:val="22"/>
          <w:lang w:eastAsia="en-GB"/>
          <w14:ligatures w14:val="none"/>
        </w:rPr>
        <w:t xml:space="preserve"> — basis points of 10y term premium per $100bn duration-equivalent purchase (Krishnamurthy-Vissing-Jorgensen, Gagnon et al. methodology).</w:t>
      </w:r>
    </w:p>
    <w:p w14:paraId="1F8D775B" w14:textId="77777777" w:rsidR="00EB15BB" w:rsidRPr="00EB15BB" w:rsidRDefault="00EB15BB" w:rsidP="00EB15BB">
      <w:pPr>
        <w:numPr>
          <w:ilvl w:val="0"/>
          <w:numId w:val="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Wu-Xia / Krippner shadow rate gap to policy rate</w:t>
      </w:r>
      <w:r w:rsidRPr="00EB15BB">
        <w:rPr>
          <w:rFonts w:ascii="Aptos" w:eastAsia="Times New Roman" w:hAnsi="Aptos" w:cs="Times New Roman"/>
          <w:kern w:val="0"/>
          <w:sz w:val="22"/>
          <w:szCs w:val="22"/>
          <w:lang w:eastAsia="en-GB"/>
          <w14:ligatures w14:val="none"/>
        </w:rPr>
        <w:t xml:space="preserve"> — when balance sheet is active and the rate is at the ELB, the shadow rate should diverge meaningfully from the policy rate. A persistent shadow-gap ≥ 100bp indicates the instrument is doing real work.</w:t>
      </w:r>
    </w:p>
    <w:p w14:paraId="1128A2EC" w14:textId="77777777" w:rsidR="00EB15BB" w:rsidRPr="00EB15BB" w:rsidRDefault="00EB15BB" w:rsidP="00EB15BB">
      <w:pPr>
        <w:numPr>
          <w:ilvl w:val="0"/>
          <w:numId w:val="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Sensitivity of long-end yields to balance sheet flow</w:t>
      </w:r>
      <w:r w:rsidRPr="00EB15BB">
        <w:rPr>
          <w:rFonts w:ascii="Aptos" w:eastAsia="Times New Roman" w:hAnsi="Aptos" w:cs="Times New Roman"/>
          <w:kern w:val="0"/>
          <w:sz w:val="22"/>
          <w:szCs w:val="22"/>
          <w:lang w:eastAsia="en-GB"/>
          <w14:ligatures w14:val="none"/>
        </w:rPr>
        <w:t xml:space="preserve"> — regression of monthly Δ(10y yield) on Δ(duration absorbed) over the active sample.</w:t>
      </w:r>
    </w:p>
    <w:p w14:paraId="5EFEE870" w14:textId="77777777" w:rsidR="00EB15BB" w:rsidRPr="00EB15BB" w:rsidRDefault="00EB15BB" w:rsidP="00EB15BB">
      <w:pPr>
        <w:numPr>
          <w:ilvl w:val="0"/>
          <w:numId w:val="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Granger causality</w:t>
      </w:r>
      <w:r w:rsidRPr="00EB15BB">
        <w:rPr>
          <w:rFonts w:ascii="Aptos" w:eastAsia="Times New Roman" w:hAnsi="Aptos" w:cs="Times New Roman"/>
          <w:kern w:val="0"/>
          <w:sz w:val="22"/>
          <w:szCs w:val="22"/>
          <w:lang w:eastAsia="en-GB"/>
          <w14:ligatures w14:val="none"/>
        </w:rPr>
        <w:t xml:space="preserve"> from announced asset-purchase pace to term premium decomposition (Adrian-Crump-Moench).</w:t>
      </w:r>
    </w:p>
    <w:p w14:paraId="7427ED12"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Sufficiency condition</w:t>
      </w:r>
      <w:r w:rsidRPr="00EB15BB">
        <w:rPr>
          <w:rFonts w:ascii="Aptos" w:eastAsia="Times New Roman" w:hAnsi="Aptos" w:cs="Times New Roman"/>
          <w:kern w:val="0"/>
          <w:sz w:val="22"/>
          <w:szCs w:val="22"/>
          <w:lang w:eastAsia="en-GB"/>
          <w14:ligatures w14:val="none"/>
        </w:rPr>
        <w:t xml:space="preserve"> (pre-registered): the relationship is estimable only when the country has had at least one episode of active monetary-stance balance sheet operations (excludes market-functioning interventions). For countries failing this test — SA, India, Mexico (largely), Indonesia, Turkey — flag L1 ↔ L3b as structurally inactive and assign zero weight in the composite. This is a </w:t>
      </w:r>
      <w:r w:rsidRPr="00EB15BB">
        <w:rPr>
          <w:rFonts w:ascii="Aptos" w:eastAsia="Times New Roman" w:hAnsi="Aptos" w:cs="Times New Roman"/>
          <w:i/>
          <w:iCs/>
          <w:kern w:val="0"/>
          <w:sz w:val="22"/>
          <w:szCs w:val="22"/>
          <w:lang w:eastAsia="en-GB"/>
          <w14:ligatures w14:val="none"/>
        </w:rPr>
        <w:t>result</w:t>
      </w:r>
      <w:r w:rsidRPr="00EB15BB">
        <w:rPr>
          <w:rFonts w:ascii="Aptos" w:eastAsia="Times New Roman" w:hAnsi="Aptos" w:cs="Times New Roman"/>
          <w:kern w:val="0"/>
          <w:sz w:val="22"/>
          <w:szCs w:val="22"/>
          <w:lang w:eastAsia="en-GB"/>
          <w14:ligatures w14:val="none"/>
        </w:rPr>
        <w:t xml:space="preserve"> for the EM panel, not a measurement gap.</w:t>
      </w:r>
    </w:p>
    <w:p w14:paraId="3ABECA52" w14:textId="77777777" w:rsidR="00EB15BB" w:rsidRPr="00EB15BB" w:rsidRDefault="00EB15BB" w:rsidP="00EB15B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2. Consistency function R^{L1↔L3b}</w:t>
      </w:r>
    </w:p>
    <w:p w14:paraId="44646C27"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The rule prescribes a total monetary stance. The actual stance is the combination of the rate and the balance sheet, summarised as a shadow rate i^s_t. Equilibrium holds when the combined stance equals the rule:</w:t>
      </w:r>
    </w:p>
    <w:p w14:paraId="5B95EF21"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R^{L1↔L3b}(i_t, BS_t, state_t; θ̂) = i^s_t − i*_t</w:t>
      </w:r>
    </w:p>
    <w:p w14:paraId="2203B276"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where i*_t is the rule-implied stance from L1, and i^s_t is the shadow rate:</w:t>
      </w:r>
    </w:p>
    <w:p w14:paraId="02E21ACF"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 xml:space="preserve">i^s_t = i_t · </w:t>
      </w:r>
      <w:r w:rsidRPr="00EB15BB">
        <w:rPr>
          <w:rFonts w:ascii="Cambria Math" w:eastAsia="Times New Roman" w:hAnsi="Cambria Math" w:cs="Cambria Math"/>
          <w:kern w:val="0"/>
          <w:sz w:val="22"/>
          <w:szCs w:val="22"/>
          <w:lang w:eastAsia="en-GB"/>
          <w14:ligatures w14:val="none"/>
        </w:rPr>
        <w:t>𝟙</w:t>
      </w:r>
      <w:r w:rsidRPr="00EB15BB">
        <w:rPr>
          <w:rFonts w:ascii="Aptos" w:eastAsia="Times New Roman" w:hAnsi="Aptos" w:cs="Times New Roman"/>
          <w:kern w:val="0"/>
          <w:sz w:val="22"/>
          <w:szCs w:val="22"/>
          <w:lang w:eastAsia="en-GB"/>
          <w14:ligatures w14:val="none"/>
        </w:rPr>
        <w:t xml:space="preserve">{i_t &gt; ELB} + WuXia_t · </w:t>
      </w:r>
      <w:r w:rsidRPr="00EB15BB">
        <w:rPr>
          <w:rFonts w:ascii="Cambria Math" w:eastAsia="Times New Roman" w:hAnsi="Cambria Math" w:cs="Cambria Math"/>
          <w:kern w:val="0"/>
          <w:sz w:val="22"/>
          <w:szCs w:val="22"/>
          <w:lang w:eastAsia="en-GB"/>
          <w14:ligatures w14:val="none"/>
        </w:rPr>
        <w:t>𝟙</w:t>
      </w:r>
      <w:r w:rsidRPr="00EB15BB">
        <w:rPr>
          <w:rFonts w:ascii="Aptos" w:eastAsia="Times New Roman" w:hAnsi="Aptos" w:cs="Times New Roman"/>
          <w:kern w:val="0"/>
          <w:sz w:val="22"/>
          <w:szCs w:val="22"/>
          <w:lang w:eastAsia="en-GB"/>
          <w14:ligatures w14:val="none"/>
        </w:rPr>
        <w:t>{i_t ≤ ELB}</w:t>
      </w:r>
    </w:p>
    <w:p w14:paraId="372B24AE"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with a custom rate-equivalent extension for episodes where balance sheet is active above the ELB:</w:t>
      </w:r>
    </w:p>
    <w:p w14:paraId="0D2B0ADF"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i^s_t = i_t − ψ · duration_absorbed_t</w:t>
      </w:r>
    </w:p>
    <w:p w14:paraId="474CC775"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ψ is the rate-equivalent conversion factor — typically estimated at ~25bp per $1tn of 10y-duration equivalent in post-2008 DM event studies; pre-registered country-by-country.</w:t>
      </w:r>
    </w:p>
    <w:p w14:paraId="678CA10D"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Pre-registered specifications</w:t>
      </w:r>
    </w:p>
    <w:p w14:paraId="190B6FDA" w14:textId="77777777" w:rsidR="00EB15BB" w:rsidRPr="00EB15BB" w:rsidRDefault="00EB15BB" w:rsidP="00EB15BB">
      <w:pPr>
        <w:numPr>
          <w:ilvl w:val="0"/>
          <w:numId w:val="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DM panel: Wu-Xia shadow rate as the headline i^s_t; Krippner as the robustness comparator.</w:t>
      </w:r>
    </w:p>
    <w:p w14:paraId="66CEC8E6" w14:textId="77777777" w:rsidR="00EB15BB" w:rsidRPr="00EB15BB" w:rsidRDefault="00EB15BB" w:rsidP="00EB15BB">
      <w:pPr>
        <w:numPr>
          <w:ilvl w:val="0"/>
          <w:numId w:val="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EM panel: relationship inactive by default. For any active-balance-sheet episode (e.g., Banxico 2020 securities programme, BCB 2020 secondary-market interventions), construct a custom rate-equivalent from duration absorbed.</w:t>
      </w:r>
    </w:p>
    <w:p w14:paraId="25FDFD11" w14:textId="77777777" w:rsidR="00EB15BB" w:rsidRPr="00EB15BB" w:rsidRDefault="00EB15BB" w:rsidP="00EB15BB">
      <w:pPr>
        <w:numPr>
          <w:ilvl w:val="0"/>
          <w:numId w:val="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Conditional activation: dissonance series populated only when i_t ≤ ELB + 25bp OR balance sheet flow is non-zero in a 3-month window. Outside these regimes, the relationship is not informative and the metric is set to missing (not zero).</w:t>
      </w:r>
    </w:p>
    <w:p w14:paraId="1BE24307" w14:textId="77777777" w:rsidR="00EB15BB" w:rsidRPr="00EB15BB" w:rsidRDefault="00EB15BB" w:rsidP="00EB15BB">
      <w:pPr>
        <w:numPr>
          <w:ilvl w:val="0"/>
          <w:numId w:val="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Stock vs flow: stock measure (total duration absorbed) drives the level dissonance; flow measure (monthly purchase pace minus announced pace) drives episode-level dissonance. Run both.</w:t>
      </w:r>
    </w:p>
    <w:p w14:paraId="523232D1" w14:textId="77777777" w:rsidR="00EB15BB" w:rsidRPr="00EB15BB" w:rsidRDefault="00EB15BB" w:rsidP="00EB15BB">
      <w:pPr>
        <w:numPr>
          <w:ilvl w:val="0"/>
          <w:numId w:val="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lastRenderedPageBreak/>
        <w:t>Labelling: only stance-labelled operations enter the calculation. Market-functioning operations excluded but tracked separately as an intra-L3b signal.</w:t>
      </w:r>
    </w:p>
    <w:p w14:paraId="6AD45C82"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Estimation</w:t>
      </w:r>
    </w:p>
    <w:p w14:paraId="6FEDC63C" w14:textId="77777777" w:rsidR="00EB15BB" w:rsidRPr="00EB15BB" w:rsidRDefault="00EB15BB" w:rsidP="00EB15BB">
      <w:pPr>
        <w:numPr>
          <w:ilvl w:val="0"/>
          <w:numId w:val="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Wu-Xia / Krippner shadow rates taken as externally produced; documented in the data appendix.</w:t>
      </w:r>
    </w:p>
    <w:p w14:paraId="0FDAD1ED" w14:textId="77777777" w:rsidR="00EB15BB" w:rsidRPr="00EB15BB" w:rsidRDefault="00EB15BB" w:rsidP="00EB15BB">
      <w:pPr>
        <w:numPr>
          <w:ilvl w:val="0"/>
          <w:numId w:val="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ψ estimated via event-study regression on QE/QT announcement days over a held-out training window (e.g., QE1–QE3 for the Fed, APP / PEPP launches for the ECB).</w:t>
      </w:r>
    </w:p>
    <w:p w14:paraId="58B43AC0" w14:textId="77777777" w:rsidR="00EB15BB" w:rsidRPr="00EB15BB" w:rsidRDefault="00EB15BB" w:rsidP="00EB15BB">
      <w:pPr>
        <w:numPr>
          <w:ilvl w:val="0"/>
          <w:numId w:val="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Sample: 2008–2024 for the DM panel; episode-specific windows for any active EM cases.</w:t>
      </w:r>
    </w:p>
    <w:p w14:paraId="153EC6CC"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By construction E[R^{L1↔L3b}] = 0 in the active calibration window.</w:t>
      </w:r>
    </w:p>
    <w:p w14:paraId="245D3AEE" w14:textId="77777777" w:rsidR="00EB15BB" w:rsidRPr="00EB15BB" w:rsidRDefault="00EB15BB" w:rsidP="00EB15B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3. Dissonance function</w:t>
      </w:r>
    </w:p>
    <w:p w14:paraId="27AA867E"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D^{L1↔L3b}_t = |i^s_t − i*_t|, conditional on the relationship being active.</w:t>
      </w:r>
    </w:p>
    <w:p w14:paraId="53F654EE"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Threshold</w:t>
      </w:r>
      <w:r w:rsidRPr="00EB15BB">
        <w:rPr>
          <w:rFonts w:ascii="Aptos" w:eastAsia="Times New Roman" w:hAnsi="Aptos" w:cs="Times New Roman"/>
          <w:kern w:val="0"/>
          <w:sz w:val="22"/>
          <w:szCs w:val="22"/>
          <w:lang w:eastAsia="en-GB"/>
          <w14:ligatures w14:val="none"/>
        </w:rPr>
        <w:t>: τ = 2 · σ(ε^s) on the active-regime calibration window. Robustness across {1.5σ, 2σ, 2.5σ}, plus a fixed-magnitude alternative (τ = 50bp absolute).</w:t>
      </w:r>
    </w:p>
    <w:p w14:paraId="2C252167"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Auxiliary dimensions</w:t>
      </w:r>
      <w:r w:rsidRPr="00EB15BB">
        <w:rPr>
          <w:rFonts w:ascii="Aptos" w:eastAsia="Times New Roman" w:hAnsi="Aptos" w:cs="Times New Roman"/>
          <w:kern w:val="0"/>
          <w:sz w:val="22"/>
          <w:szCs w:val="22"/>
          <w:lang w:eastAsia="en-GB"/>
          <w14:ligatures w14:val="none"/>
        </w:rPr>
        <w:t xml:space="preserve"> carried separately:</w:t>
      </w:r>
    </w:p>
    <w:p w14:paraId="277F3852" w14:textId="77777777" w:rsidR="00EB15BB" w:rsidRPr="00EB15BB" w:rsidRDefault="00EB15BB" w:rsidP="00EB15BB">
      <w:pPr>
        <w:numPr>
          <w:ilvl w:val="0"/>
          <w:numId w:val="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Sign(ε^s)</w:t>
      </w:r>
      <w:r w:rsidRPr="00EB15BB">
        <w:rPr>
          <w:rFonts w:ascii="Aptos" w:eastAsia="Times New Roman" w:hAnsi="Aptos" w:cs="Times New Roman"/>
          <w:kern w:val="0"/>
          <w:sz w:val="22"/>
          <w:szCs w:val="22"/>
          <w:lang w:eastAsia="en-GB"/>
          <w14:ligatures w14:val="none"/>
        </w:rPr>
        <w:t xml:space="preserve"> — combined stance tighter (ε^s &gt; 0) or looser (ε^s &lt; 0) than the rule prescribes. Tighter-than-rule via QT is the modern dissonance pattern; looser-than-rule via dormant balance sheet is the ELB-era dissonance pattern.</w:t>
      </w:r>
    </w:p>
    <w:p w14:paraId="56A07BB4" w14:textId="77777777" w:rsidR="00EB15BB" w:rsidRPr="00EB15BB" w:rsidRDefault="00EB15BB" w:rsidP="00EB15BB">
      <w:pPr>
        <w:numPr>
          <w:ilvl w:val="0"/>
          <w:numId w:val="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Instrument-mix gap</w:t>
      </w:r>
      <w:r w:rsidRPr="00EB15BB">
        <w:rPr>
          <w:rFonts w:ascii="Aptos" w:eastAsia="Times New Roman" w:hAnsi="Aptos" w:cs="Times New Roman"/>
          <w:kern w:val="0"/>
          <w:sz w:val="22"/>
          <w:szCs w:val="22"/>
          <w:lang w:eastAsia="en-GB"/>
          <w14:ligatures w14:val="none"/>
        </w:rPr>
        <w:t xml:space="preserve"> — at the ELB, the rule prescribing easing while the balance sheet is inactive is a specific dissonance type (the bank refusing to deploy an available instrument). Flagged as a binary indicator alongside D.</w:t>
      </w:r>
    </w:p>
    <w:p w14:paraId="65B68107" w14:textId="77777777" w:rsidR="00EB15BB" w:rsidRPr="00EB15BB" w:rsidRDefault="00EB15BB" w:rsidP="00EB15BB">
      <w:pPr>
        <w:numPr>
          <w:ilvl w:val="0"/>
          <w:numId w:val="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Labelling-effect gap</w:t>
      </w:r>
      <w:r w:rsidRPr="00EB15BB">
        <w:rPr>
          <w:rFonts w:ascii="Aptos" w:eastAsia="Times New Roman" w:hAnsi="Aptos" w:cs="Times New Roman"/>
          <w:kern w:val="0"/>
          <w:sz w:val="22"/>
          <w:szCs w:val="22"/>
          <w:lang w:eastAsia="en-GB"/>
          <w14:ligatures w14:val="none"/>
        </w:rPr>
        <w:t xml:space="preserve"> — if operations labelled as market-functioning produce stance-like magnitude moves in term premium, this is a separate flag indicating implicit stance the bank is not acknowledging.</w:t>
      </w:r>
    </w:p>
    <w:p w14:paraId="2580E52D" w14:textId="77777777" w:rsidR="00EB15BB" w:rsidRPr="00EB15BB" w:rsidRDefault="00EB15BB" w:rsidP="00EB15B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Design notes</w:t>
      </w:r>
    </w:p>
    <w:p w14:paraId="5CE4BDF2" w14:textId="77777777" w:rsidR="00EB15BB" w:rsidRPr="00EB15BB" w:rsidRDefault="00EB15BB" w:rsidP="00EB15BB">
      <w:pPr>
        <w:numPr>
          <w:ilvl w:val="0"/>
          <w:numId w:val="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Shadow rate fragility</w:t>
      </w:r>
      <w:r w:rsidRPr="00EB15BB">
        <w:rPr>
          <w:rFonts w:ascii="Aptos" w:eastAsia="Times New Roman" w:hAnsi="Aptos" w:cs="Times New Roman"/>
          <w:kern w:val="0"/>
          <w:sz w:val="22"/>
          <w:szCs w:val="22"/>
          <w:lang w:eastAsia="en-GB"/>
          <w14:ligatures w14:val="none"/>
        </w:rPr>
        <w:t>. Wu-Xia and Krippner can disagree by 100–200bp at the same date; both are model-dependent extrapolations of a hypothetical negative rate consistent with the observed curve. The disagreement is not noise — it is the model-uncertainty premium on this measurement at the ELB. Report D^{L1↔L3b} under both shadow rates with the disagreement carried as a confidence band. If the two metrics fire together, the signal is robust; if only one fires, the dissonance is model-dependent and downweighted.</w:t>
      </w:r>
    </w:p>
    <w:p w14:paraId="4E57DB82" w14:textId="77777777" w:rsidR="00EB15BB" w:rsidRPr="00EB15BB" w:rsidRDefault="00EB15BB" w:rsidP="00EB15BB">
      <w:pPr>
        <w:numPr>
          <w:ilvl w:val="0"/>
          <w:numId w:val="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Conditional activation is the structural feature</w:t>
      </w:r>
      <w:r w:rsidRPr="00EB15BB">
        <w:rPr>
          <w:rFonts w:ascii="Aptos" w:eastAsia="Times New Roman" w:hAnsi="Aptos" w:cs="Times New Roman"/>
          <w:kern w:val="0"/>
          <w:sz w:val="22"/>
          <w:szCs w:val="22"/>
          <w:lang w:eastAsia="en-GB"/>
          <w14:ligatures w14:val="none"/>
        </w:rPr>
        <w:t xml:space="preserve">. Unlike L1 ↔ L3a, which is always active, L1 ↔ L3b is active only when the balance sheet is being used as a monetary instrument. For most of the EM panel and for DM in normal-rate regimes, the metric is missing rather than zero. The framework should treat </w:t>
      </w:r>
      <w:r w:rsidRPr="00EB15BB">
        <w:rPr>
          <w:rFonts w:ascii="Aptos" w:eastAsia="Times New Roman" w:hAnsi="Aptos" w:cs="Times New Roman"/>
          <w:i/>
          <w:iCs/>
          <w:kern w:val="0"/>
          <w:sz w:val="22"/>
          <w:szCs w:val="22"/>
          <w:lang w:eastAsia="en-GB"/>
          <w14:ligatures w14:val="none"/>
        </w:rPr>
        <w:t>missingness</w:t>
      </w:r>
      <w:r w:rsidRPr="00EB15BB">
        <w:rPr>
          <w:rFonts w:ascii="Aptos" w:eastAsia="Times New Roman" w:hAnsi="Aptos" w:cs="Times New Roman"/>
          <w:kern w:val="0"/>
          <w:sz w:val="22"/>
          <w:szCs w:val="22"/>
          <w:lang w:eastAsia="en-GB"/>
          <w14:ligatures w14:val="none"/>
        </w:rPr>
        <w:t xml:space="preserve"> and </w:t>
      </w:r>
      <w:r w:rsidRPr="00EB15BB">
        <w:rPr>
          <w:rFonts w:ascii="Aptos" w:eastAsia="Times New Roman" w:hAnsi="Aptos" w:cs="Times New Roman"/>
          <w:i/>
          <w:iCs/>
          <w:kern w:val="0"/>
          <w:sz w:val="22"/>
          <w:szCs w:val="22"/>
          <w:lang w:eastAsia="en-GB"/>
          <w14:ligatures w14:val="none"/>
        </w:rPr>
        <w:t>zero</w:t>
      </w:r>
      <w:r w:rsidRPr="00EB15BB">
        <w:rPr>
          <w:rFonts w:ascii="Aptos" w:eastAsia="Times New Roman" w:hAnsi="Aptos" w:cs="Times New Roman"/>
          <w:kern w:val="0"/>
          <w:sz w:val="22"/>
          <w:szCs w:val="22"/>
          <w:lang w:eastAsia="en-GB"/>
          <w14:ligatures w14:val="none"/>
        </w:rPr>
        <w:t xml:space="preserve"> as different states: missingness means the instrument is inactive (no diagnostic value); zero means the active instrument is consistent with the rule. The composite weighting scheme must handle this asymmetry — equal-weighting across all countries would bias the EM composite toward false-zero on L3b. Use the activation-mask before aggregation.</w:t>
      </w:r>
    </w:p>
    <w:p w14:paraId="1B8CE7F7" w14:textId="77777777" w:rsidR="00EB15BB" w:rsidRPr="00EB15BB" w:rsidRDefault="004B6E07" w:rsidP="00EB15BB">
      <w:pPr>
        <w:spacing w:after="0" w:line="240" w:lineRule="auto"/>
        <w:rPr>
          <w:rFonts w:ascii="Aptos" w:eastAsia="Times New Roman" w:hAnsi="Aptos" w:cs="Times New Roman"/>
          <w:kern w:val="0"/>
          <w:sz w:val="22"/>
          <w:szCs w:val="22"/>
          <w:lang w:eastAsia="en-GB"/>
          <w14:ligatures w14:val="none"/>
        </w:rPr>
      </w:pPr>
      <w:r w:rsidRPr="004B6E07">
        <w:rPr>
          <w:rFonts w:ascii="Aptos" w:eastAsia="Times New Roman" w:hAnsi="Aptos" w:cs="Times New Roman"/>
          <w:noProof/>
          <w:kern w:val="0"/>
          <w:sz w:val="22"/>
          <w:szCs w:val="22"/>
          <w:lang w:eastAsia="en-GB"/>
        </w:rPr>
        <w:lastRenderedPageBreak/>
        <w:pict w14:anchorId="5C31E49A">
          <v:rect id="_x0000_i1029" alt="" style="width:451.3pt;height:.05pt;mso-width-percent:0;mso-height-percent:0;mso-width-percent:0;mso-height-percent:0" o:hralign="center" o:hrstd="t" o:hr="t" fillcolor="#a0a0a0" stroked="f"/>
        </w:pict>
      </w:r>
    </w:p>
    <w:p w14:paraId="07ABAB20"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Ready for L1 ↔ L3c when you are.</w:t>
      </w:r>
    </w:p>
    <w:p w14:paraId="12330341" w14:textId="77777777" w:rsidR="00EB15BB" w:rsidRPr="00EB15BB" w:rsidRDefault="00EB15BB" w:rsidP="00EB15BB">
      <w:pPr>
        <w:rPr>
          <w:rFonts w:ascii="Aptos" w:hAnsi="Aptos"/>
          <w:sz w:val="22"/>
          <w:szCs w:val="22"/>
          <w:lang w:val="en-US"/>
        </w:rPr>
      </w:pPr>
    </w:p>
    <w:p w14:paraId="04E37CA5" w14:textId="77777777" w:rsidR="00EB15BB" w:rsidRPr="00EB15BB" w:rsidRDefault="00EB15BB" w:rsidP="00EB15BB">
      <w:pPr>
        <w:rPr>
          <w:rFonts w:ascii="Aptos" w:hAnsi="Aptos"/>
          <w:sz w:val="22"/>
          <w:szCs w:val="22"/>
          <w:lang w:val="en-US"/>
        </w:rPr>
      </w:pPr>
    </w:p>
    <w:p w14:paraId="5231595F" w14:textId="77777777" w:rsidR="00EB15BB" w:rsidRPr="00EB15BB" w:rsidRDefault="00EB15BB" w:rsidP="00EB15BB">
      <w:pPr>
        <w:rPr>
          <w:rFonts w:ascii="Aptos" w:hAnsi="Aptos"/>
          <w:sz w:val="22"/>
          <w:szCs w:val="22"/>
          <w:lang w:val="en-US"/>
        </w:rPr>
      </w:pPr>
    </w:p>
    <w:p w14:paraId="58896347" w14:textId="77777777" w:rsidR="00EB15BB" w:rsidRPr="00EB15BB" w:rsidRDefault="00EB15BB" w:rsidP="00EB15BB">
      <w:pPr>
        <w:rPr>
          <w:rFonts w:ascii="Aptos" w:hAnsi="Aptos"/>
          <w:sz w:val="22"/>
          <w:szCs w:val="22"/>
          <w:lang w:val="en-US"/>
        </w:rPr>
      </w:pPr>
    </w:p>
    <w:p w14:paraId="41B2142D" w14:textId="77777777" w:rsidR="00EB15BB" w:rsidRPr="00EB15BB" w:rsidRDefault="00EB15BB" w:rsidP="00EB15BB">
      <w:pPr>
        <w:rPr>
          <w:rFonts w:ascii="Aptos" w:hAnsi="Aptos"/>
          <w:sz w:val="22"/>
          <w:szCs w:val="22"/>
          <w:lang w:val="en-US"/>
        </w:rPr>
      </w:pPr>
    </w:p>
    <w:p w14:paraId="504FD207" w14:textId="77777777" w:rsidR="00EB15BB" w:rsidRPr="00EB15BB" w:rsidRDefault="00EB15BB" w:rsidP="00EB15BB">
      <w:pPr>
        <w:rPr>
          <w:rFonts w:ascii="Aptos" w:hAnsi="Aptos"/>
          <w:sz w:val="22"/>
          <w:szCs w:val="22"/>
          <w:lang w:val="en-US"/>
        </w:rPr>
      </w:pPr>
    </w:p>
    <w:p w14:paraId="29F671CB" w14:textId="77777777" w:rsidR="00EB15BB" w:rsidRPr="00EB15BB" w:rsidRDefault="00EB15BB" w:rsidP="00EB15BB">
      <w:pPr>
        <w:rPr>
          <w:rFonts w:ascii="Aptos" w:hAnsi="Aptos"/>
          <w:sz w:val="22"/>
          <w:szCs w:val="22"/>
          <w:lang w:val="en-US"/>
        </w:rPr>
      </w:pPr>
    </w:p>
    <w:p w14:paraId="15AC7CB5" w14:textId="77777777" w:rsidR="00EB15BB" w:rsidRPr="00EB15BB" w:rsidRDefault="00EB15BB" w:rsidP="00EB15BB">
      <w:pPr>
        <w:rPr>
          <w:rFonts w:ascii="Aptos" w:hAnsi="Aptos"/>
          <w:sz w:val="22"/>
          <w:szCs w:val="22"/>
          <w:lang w:val="en-US"/>
        </w:rPr>
      </w:pPr>
    </w:p>
    <w:p w14:paraId="41D8AC1B" w14:textId="77777777" w:rsidR="00EB15BB" w:rsidRPr="00EB15BB" w:rsidRDefault="00EB15BB" w:rsidP="00EB15BB">
      <w:pPr>
        <w:rPr>
          <w:rFonts w:ascii="Aptos" w:hAnsi="Aptos"/>
          <w:sz w:val="22"/>
          <w:szCs w:val="22"/>
          <w:lang w:val="en-US"/>
        </w:rPr>
      </w:pPr>
    </w:p>
    <w:p w14:paraId="7050AFC0" w14:textId="77777777" w:rsidR="00EB15BB" w:rsidRPr="00EB15BB" w:rsidRDefault="00EB15BB" w:rsidP="00EB15BB">
      <w:pPr>
        <w:rPr>
          <w:rFonts w:ascii="Aptos" w:hAnsi="Aptos"/>
          <w:sz w:val="22"/>
          <w:szCs w:val="22"/>
          <w:lang w:val="en-US"/>
        </w:rPr>
      </w:pPr>
    </w:p>
    <w:p w14:paraId="7C0BF2B3" w14:textId="77777777" w:rsidR="00EB15BB" w:rsidRPr="00EB15BB" w:rsidRDefault="00EB15BB" w:rsidP="00EB15BB">
      <w:pPr>
        <w:rPr>
          <w:rFonts w:ascii="Aptos" w:hAnsi="Aptos"/>
          <w:sz w:val="22"/>
          <w:szCs w:val="22"/>
          <w:lang w:val="en-US"/>
        </w:rPr>
      </w:pPr>
    </w:p>
    <w:p w14:paraId="23441C23" w14:textId="77777777" w:rsidR="00EB15BB" w:rsidRPr="00EB15BB" w:rsidRDefault="00EB15BB" w:rsidP="00EB15BB">
      <w:pPr>
        <w:rPr>
          <w:rFonts w:ascii="Aptos" w:hAnsi="Aptos"/>
          <w:sz w:val="22"/>
          <w:szCs w:val="22"/>
          <w:lang w:val="en-US"/>
        </w:rPr>
      </w:pPr>
    </w:p>
    <w:p w14:paraId="7CDB13B8" w14:textId="77777777" w:rsidR="00EB15BB" w:rsidRPr="00EB15BB" w:rsidRDefault="00EB15BB" w:rsidP="00EB15BB">
      <w:pPr>
        <w:rPr>
          <w:rFonts w:ascii="Aptos" w:hAnsi="Aptos"/>
          <w:sz w:val="22"/>
          <w:szCs w:val="22"/>
          <w:lang w:val="en-US"/>
        </w:rPr>
      </w:pPr>
    </w:p>
    <w:p w14:paraId="72B7D84F" w14:textId="77777777" w:rsidR="00EB15BB" w:rsidRPr="00EB15BB" w:rsidRDefault="00EB15BB" w:rsidP="00EB15BB">
      <w:pPr>
        <w:rPr>
          <w:rFonts w:ascii="Aptos" w:hAnsi="Aptos"/>
          <w:sz w:val="22"/>
          <w:szCs w:val="22"/>
          <w:lang w:val="en-US"/>
        </w:rPr>
      </w:pPr>
    </w:p>
    <w:p w14:paraId="145FECFC" w14:textId="77777777" w:rsidR="00EB15BB" w:rsidRPr="00EB15BB" w:rsidRDefault="00EB15BB" w:rsidP="00EB15BB">
      <w:pPr>
        <w:rPr>
          <w:rFonts w:ascii="Aptos" w:hAnsi="Aptos"/>
          <w:sz w:val="22"/>
          <w:szCs w:val="22"/>
          <w:lang w:val="en-US"/>
        </w:rPr>
      </w:pPr>
    </w:p>
    <w:p w14:paraId="5D996A5C" w14:textId="77777777" w:rsidR="00EB15BB" w:rsidRPr="00EB15BB" w:rsidRDefault="00EB15BB" w:rsidP="00EB15BB">
      <w:pPr>
        <w:rPr>
          <w:rFonts w:ascii="Aptos" w:hAnsi="Aptos"/>
          <w:sz w:val="22"/>
          <w:szCs w:val="22"/>
          <w:lang w:val="en-US"/>
        </w:rPr>
      </w:pPr>
    </w:p>
    <w:p w14:paraId="41D408AC" w14:textId="77777777" w:rsidR="00EB15BB" w:rsidRPr="00EB15BB" w:rsidRDefault="00EB15BB" w:rsidP="00EB15BB">
      <w:pPr>
        <w:rPr>
          <w:rFonts w:ascii="Aptos" w:hAnsi="Aptos"/>
          <w:sz w:val="22"/>
          <w:szCs w:val="22"/>
          <w:lang w:val="en-US"/>
        </w:rPr>
      </w:pPr>
    </w:p>
    <w:p w14:paraId="49821F01" w14:textId="77777777" w:rsidR="00EB15BB" w:rsidRPr="00EB15BB" w:rsidRDefault="00EB15BB" w:rsidP="00EB15BB">
      <w:pPr>
        <w:spacing w:before="100" w:beforeAutospacing="1" w:after="100" w:afterAutospacing="1" w:line="240" w:lineRule="auto"/>
        <w:outlineLvl w:val="0"/>
        <w:rPr>
          <w:rFonts w:ascii="Aptos" w:eastAsia="Times New Roman" w:hAnsi="Aptos" w:cs="Times New Roman"/>
          <w:b/>
          <w:bCs/>
          <w:kern w:val="36"/>
          <w:sz w:val="22"/>
          <w:szCs w:val="22"/>
          <w:lang w:eastAsia="en-GB"/>
          <w14:ligatures w14:val="none"/>
        </w:rPr>
      </w:pPr>
      <w:r w:rsidRPr="00EB15BB">
        <w:rPr>
          <w:rFonts w:ascii="Aptos" w:eastAsia="Times New Roman" w:hAnsi="Aptos" w:cs="Times New Roman"/>
          <w:b/>
          <w:bCs/>
          <w:kern w:val="36"/>
          <w:sz w:val="22"/>
          <w:szCs w:val="22"/>
          <w:lang w:eastAsia="en-GB"/>
          <w14:ligatures w14:val="none"/>
        </w:rPr>
        <w:t>L1 ↔ L3c — Reaction Function ↔ Forward Guidance</w:t>
      </w:r>
    </w:p>
    <w:p w14:paraId="1FEC3545" w14:textId="77777777" w:rsidR="00EB15BB" w:rsidRPr="00EB15BB" w:rsidRDefault="00EB15BB" w:rsidP="00EB15B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1. Intensity test</w:t>
      </w:r>
    </w:p>
    <w:p w14:paraId="43C44B9E"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 xml:space="preserve">Guidance only does monetary work when stated paths move the belly of the curve and shape near-term expectations. Without that, guidance is just words and the consistency function — comparing communicated path to rule path — has nothing to measure. Intensity here is the </w:t>
      </w:r>
      <w:r w:rsidRPr="00EB15BB">
        <w:rPr>
          <w:rFonts w:ascii="Aptos" w:eastAsia="Times New Roman" w:hAnsi="Aptos" w:cs="Times New Roman"/>
          <w:i/>
          <w:iCs/>
          <w:kern w:val="0"/>
          <w:sz w:val="22"/>
          <w:szCs w:val="22"/>
          <w:lang w:eastAsia="en-GB"/>
          <w14:ligatures w14:val="none"/>
        </w:rPr>
        <w:t>belief weight</w:t>
      </w:r>
      <w:r w:rsidRPr="00EB15BB">
        <w:rPr>
          <w:rFonts w:ascii="Aptos" w:eastAsia="Times New Roman" w:hAnsi="Aptos" w:cs="Times New Roman"/>
          <w:kern w:val="0"/>
          <w:sz w:val="22"/>
          <w:szCs w:val="22"/>
          <w:lang w:eastAsia="en-GB"/>
          <w14:ligatures w14:val="none"/>
        </w:rPr>
        <w:t xml:space="preserve"> the market places on bank communication.</w:t>
      </w:r>
    </w:p>
    <w:p w14:paraId="5C95C50A" w14:textId="77777777" w:rsidR="00EB15BB" w:rsidRPr="00EB15BB" w:rsidRDefault="00EB15BB" w:rsidP="00EB15BB">
      <w:pPr>
        <w:numPr>
          <w:ilvl w:val="0"/>
          <w:numId w:val="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Bauer-Swanson path-factor effect</w:t>
      </w:r>
      <w:r w:rsidRPr="00EB15BB">
        <w:rPr>
          <w:rFonts w:ascii="Aptos" w:eastAsia="Times New Roman" w:hAnsi="Aptos" w:cs="Times New Roman"/>
          <w:kern w:val="0"/>
          <w:sz w:val="22"/>
          <w:szCs w:val="22"/>
          <w:lang w:eastAsia="en-GB"/>
          <w14:ligatures w14:val="none"/>
        </w:rPr>
        <w:t xml:space="preserve"> — bp move in 2y / 5y yields per σ of path-factor shock from high-frequency identification around guidance events. Requires liquid OIS.</w:t>
      </w:r>
    </w:p>
    <w:p w14:paraId="78B4E5E6" w14:textId="77777777" w:rsidR="00EB15BB" w:rsidRPr="00EB15BB" w:rsidRDefault="00EB15BB" w:rsidP="00EB15BB">
      <w:pPr>
        <w:numPr>
          <w:ilvl w:val="0"/>
          <w:numId w:val="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OIS path vs communicated path regression beta</w:t>
      </w:r>
      <w:r w:rsidRPr="00EB15BB">
        <w:rPr>
          <w:rFonts w:ascii="Aptos" w:eastAsia="Times New Roman" w:hAnsi="Aptos" w:cs="Times New Roman"/>
          <w:kern w:val="0"/>
          <w:sz w:val="22"/>
          <w:szCs w:val="22"/>
          <w:lang w:eastAsia="en-GB"/>
          <w14:ligatures w14:val="none"/>
        </w:rPr>
        <w:t xml:space="preserve"> — for banks with explicit numeric paths, the β of the OIS-implied path on the bank's stated path. β near 1 = guidance fully priced; β near 0 = markets discount the bank.</w:t>
      </w:r>
    </w:p>
    <w:p w14:paraId="4EE49D84" w14:textId="77777777" w:rsidR="00EB15BB" w:rsidRPr="00EB15BB" w:rsidRDefault="00EB15BB" w:rsidP="00EB15BB">
      <w:pPr>
        <w:numPr>
          <w:ilvl w:val="0"/>
          <w:numId w:val="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Press-conference / statement reactivity</w:t>
      </w:r>
      <w:r w:rsidRPr="00EB15BB">
        <w:rPr>
          <w:rFonts w:ascii="Aptos" w:eastAsia="Times New Roman" w:hAnsi="Aptos" w:cs="Times New Roman"/>
          <w:kern w:val="0"/>
          <w:sz w:val="22"/>
          <w:szCs w:val="22"/>
          <w:lang w:eastAsia="en-GB"/>
          <w14:ligatures w14:val="none"/>
        </w:rPr>
        <w:t xml:space="preserve"> — daily yield change variance on guidance event days versus non-event days. Captures whether the corpus has signal at all.</w:t>
      </w:r>
    </w:p>
    <w:p w14:paraId="337BBFA0" w14:textId="77777777" w:rsidR="00EB15BB" w:rsidRPr="00EB15BB" w:rsidRDefault="00EB15BB" w:rsidP="00EB15BB">
      <w:pPr>
        <w:numPr>
          <w:ilvl w:val="0"/>
          <w:numId w:val="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lastRenderedPageBreak/>
        <w:t>NLP sentiment vs realised next-meeting move</w:t>
      </w:r>
      <w:r w:rsidRPr="00EB15BB">
        <w:rPr>
          <w:rFonts w:ascii="Aptos" w:eastAsia="Times New Roman" w:hAnsi="Aptos" w:cs="Times New Roman"/>
          <w:kern w:val="0"/>
          <w:sz w:val="22"/>
          <w:szCs w:val="22"/>
          <w:lang w:eastAsia="en-GB"/>
          <w14:ligatures w14:val="none"/>
        </w:rPr>
        <w:t xml:space="preserve"> — does an NLP-extracted hawkishness score predict the sign and size of the next decision? Validates the lexicon and the corpus simultaneously.</w:t>
      </w:r>
    </w:p>
    <w:p w14:paraId="2D731B78"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Sufficiency condition</w:t>
      </w:r>
      <w:r w:rsidRPr="00EB15BB">
        <w:rPr>
          <w:rFonts w:ascii="Aptos" w:eastAsia="Times New Roman" w:hAnsi="Aptos" w:cs="Times New Roman"/>
          <w:kern w:val="0"/>
          <w:sz w:val="22"/>
          <w:szCs w:val="22"/>
          <w:lang w:eastAsia="en-GB"/>
          <w14:ligatures w14:val="none"/>
        </w:rPr>
        <w:t xml:space="preserve"> (pre-registered): the relationship is estimable if any one holds — (i) explicit numeric path published (dot plot, repo path, fan chart); (ii) liquid OIS market for clean Bauer-Swanson decomposition; (iii) NLP corpus of ≥ 30 statements over the sample plus a validated central-bank-specific lexicon. Countries failing all three are flagged as not estimable on L1 ↔ L3c.</w:t>
      </w:r>
    </w:p>
    <w:p w14:paraId="33F182DE" w14:textId="77777777" w:rsidR="00EB15BB" w:rsidRPr="00EB15BB" w:rsidRDefault="00EB15BB" w:rsidP="00EB15B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2. Consistency function R^{L1↔L3c}</w:t>
      </w:r>
    </w:p>
    <w:p w14:paraId="533641EF"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The rule defines an implied policy path by forward iteration. The bank communicates a path through statements, projections, and press conferences. Equilibrium holds when the communicated path equals the rule-implied path given the bank's own state forecast:</w:t>
      </w:r>
    </w:p>
    <w:p w14:paraId="638C4C02"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 xml:space="preserve">R^{L1↔L3c}(path^com_t, path^rule_t; θ̂) = </w:t>
      </w:r>
      <w:r w:rsidRPr="00EB15BB">
        <w:rPr>
          <w:rFonts w:ascii="Arial" w:eastAsia="Times New Roman" w:hAnsi="Arial" w:cs="Arial"/>
          <w:kern w:val="0"/>
          <w:sz w:val="22"/>
          <w:szCs w:val="22"/>
          <w:lang w:eastAsia="en-GB"/>
          <w14:ligatures w14:val="none"/>
        </w:rPr>
        <w:t>‖</w:t>
      </w:r>
      <w:r w:rsidRPr="00EB15BB">
        <w:rPr>
          <w:rFonts w:ascii="Aptos" w:eastAsia="Times New Roman" w:hAnsi="Aptos" w:cs="Times New Roman"/>
          <w:kern w:val="0"/>
          <w:sz w:val="22"/>
          <w:szCs w:val="22"/>
          <w:lang w:eastAsia="en-GB"/>
          <w14:ligatures w14:val="none"/>
        </w:rPr>
        <w:t>path^com_t − path^rule_t</w:t>
      </w:r>
      <w:r w:rsidRPr="00EB15BB">
        <w:rPr>
          <w:rFonts w:ascii="Arial" w:eastAsia="Times New Roman" w:hAnsi="Arial" w:cs="Arial"/>
          <w:kern w:val="0"/>
          <w:sz w:val="22"/>
          <w:szCs w:val="22"/>
          <w:lang w:eastAsia="en-GB"/>
          <w14:ligatures w14:val="none"/>
        </w:rPr>
        <w:t>‖</w:t>
      </w:r>
    </w:p>
    <w:p w14:paraId="184CCEEE"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 xml:space="preserve">with path^rule_{t,h} = R(state forecast at horizon h; θ̂) for h = 1, …, 8 quarters, and </w:t>
      </w:r>
      <w:r w:rsidRPr="00EB15BB">
        <w:rPr>
          <w:rFonts w:ascii="Arial" w:eastAsia="Times New Roman" w:hAnsi="Arial" w:cs="Arial"/>
          <w:kern w:val="0"/>
          <w:sz w:val="22"/>
          <w:szCs w:val="22"/>
          <w:lang w:eastAsia="en-GB"/>
          <w14:ligatures w14:val="none"/>
        </w:rPr>
        <w:t>‖</w:t>
      </w:r>
      <w:r w:rsidRPr="00EB15BB">
        <w:rPr>
          <w:rFonts w:ascii="Aptos" w:eastAsia="Times New Roman" w:hAnsi="Aptos" w:cs="Times New Roman"/>
          <w:kern w:val="0"/>
          <w:sz w:val="22"/>
          <w:szCs w:val="22"/>
          <w:lang w:eastAsia="en-GB"/>
          <w14:ligatures w14:val="none"/>
        </w:rPr>
        <w:t>·</w:t>
      </w:r>
      <w:r w:rsidRPr="00EB15BB">
        <w:rPr>
          <w:rFonts w:ascii="Arial" w:eastAsia="Times New Roman" w:hAnsi="Arial" w:cs="Arial"/>
          <w:kern w:val="0"/>
          <w:sz w:val="22"/>
          <w:szCs w:val="22"/>
          <w:lang w:eastAsia="en-GB"/>
          <w14:ligatures w14:val="none"/>
        </w:rPr>
        <w:t>‖</w:t>
      </w:r>
      <w:r w:rsidRPr="00EB15BB">
        <w:rPr>
          <w:rFonts w:ascii="Aptos" w:eastAsia="Times New Roman" w:hAnsi="Aptos" w:cs="Times New Roman"/>
          <w:kern w:val="0"/>
          <w:sz w:val="22"/>
          <w:szCs w:val="22"/>
          <w:lang w:eastAsia="en-GB"/>
          <w14:ligatures w14:val="none"/>
        </w:rPr>
        <w:t xml:space="preserve"> either the L2 norm over the horizon vector or evaluation at a fixed point (default: 24-month-ahead).</w:t>
      </w:r>
    </w:p>
    <w:p w14:paraId="55AB5102"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Three operational versions</w:t>
      </w:r>
      <w:r w:rsidRPr="00EB15BB">
        <w:rPr>
          <w:rFonts w:ascii="Aptos" w:eastAsia="Times New Roman" w:hAnsi="Aptos" w:cs="Times New Roman"/>
          <w:kern w:val="0"/>
          <w:sz w:val="22"/>
          <w:szCs w:val="22"/>
          <w:lang w:eastAsia="en-GB"/>
          <w14:ligatures w14:val="none"/>
        </w:rPr>
        <w:t xml:space="preserve"> depending on country coverage:</w:t>
      </w:r>
    </w:p>
    <w:p w14:paraId="284F9DAF" w14:textId="77777777" w:rsidR="00EB15BB" w:rsidRPr="00EB15BB" w:rsidRDefault="00EB15BB" w:rsidP="00EB15BB">
      <w:pPr>
        <w:numPr>
          <w:ilvl w:val="0"/>
          <w:numId w:val="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Numeric-path version (DM with projections)</w:t>
      </w:r>
      <w:r w:rsidRPr="00EB15BB">
        <w:rPr>
          <w:rFonts w:ascii="Aptos" w:eastAsia="Times New Roman" w:hAnsi="Aptos" w:cs="Times New Roman"/>
          <w:kern w:val="0"/>
          <w:sz w:val="22"/>
          <w:szCs w:val="22"/>
          <w:lang w:eastAsia="en-GB"/>
          <w14:ligatures w14:val="none"/>
        </w:rPr>
        <w:t>: path^com_t taken directly from Fed SEP / dot plot, Riksbank / Norges Bank / RBNZ repo path, BoE fan-chart conditional path, BCB inflation-report path. Direct vector comparison.</w:t>
      </w:r>
    </w:p>
    <w:p w14:paraId="116101E4" w14:textId="77777777" w:rsidR="00EB15BB" w:rsidRPr="00EB15BB" w:rsidRDefault="00EB15BB" w:rsidP="00EB15BB">
      <w:pPr>
        <w:numPr>
          <w:ilvl w:val="0"/>
          <w:numId w:val="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OIS-implied version (deep-OIS markets)</w:t>
      </w:r>
      <w:r w:rsidRPr="00EB15BB">
        <w:rPr>
          <w:rFonts w:ascii="Aptos" w:eastAsia="Times New Roman" w:hAnsi="Aptos" w:cs="Times New Roman"/>
          <w:kern w:val="0"/>
          <w:sz w:val="22"/>
          <w:szCs w:val="22"/>
          <w:lang w:eastAsia="en-GB"/>
          <w14:ligatures w14:val="none"/>
        </w:rPr>
        <w:t>: path^com_t inferred from the OIS curve to 24 months. Blends market expectations with guidance content — not pure guidance, useful comparator.</w:t>
      </w:r>
    </w:p>
    <w:p w14:paraId="51924DF6" w14:textId="77777777" w:rsidR="00EB15BB" w:rsidRPr="00EB15BB" w:rsidRDefault="00EB15BB" w:rsidP="00EB15BB">
      <w:pPr>
        <w:numPr>
          <w:ilvl w:val="0"/>
          <w:numId w:val="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NLP version (most EMs, SARB)</w:t>
      </w:r>
      <w:r w:rsidRPr="00EB15BB">
        <w:rPr>
          <w:rFonts w:ascii="Aptos" w:eastAsia="Times New Roman" w:hAnsi="Aptos" w:cs="Times New Roman"/>
          <w:kern w:val="0"/>
          <w:sz w:val="22"/>
          <w:szCs w:val="22"/>
          <w:lang w:eastAsia="en-GB"/>
          <w14:ligatures w14:val="none"/>
        </w:rPr>
        <w:t xml:space="preserve">: hawk_score </w:t>
      </w:r>
      <w:r w:rsidRPr="00EB15BB">
        <w:rPr>
          <w:rFonts w:ascii="Cambria Math" w:eastAsia="Times New Roman" w:hAnsi="Cambria Math" w:cs="Cambria Math"/>
          <w:kern w:val="0"/>
          <w:sz w:val="22"/>
          <w:szCs w:val="22"/>
          <w:lang w:eastAsia="en-GB"/>
          <w14:ligatures w14:val="none"/>
        </w:rPr>
        <w:t>∈</w:t>
      </w:r>
      <w:r w:rsidRPr="00EB15BB">
        <w:rPr>
          <w:rFonts w:ascii="Aptos" w:eastAsia="Times New Roman" w:hAnsi="Aptos" w:cs="Times New Roman"/>
          <w:kern w:val="0"/>
          <w:sz w:val="22"/>
          <w:szCs w:val="22"/>
          <w:lang w:eastAsia="en-GB"/>
          <w14:ligatures w14:val="none"/>
        </w:rPr>
        <w:t xml:space="preserve"> [−1, +1] from a validated lexicon (Loughran-McDonald extended) plus an LLM zero-shot classifier ensemble. Mapped to a direction-and-magnitude rule equivalent — sign(i</w:t>
      </w:r>
      <w:r w:rsidRPr="00EB15BB">
        <w:rPr>
          <w:rFonts w:ascii="Aptos" w:eastAsia="Times New Roman" w:hAnsi="Aptos" w:cs="Times New Roman"/>
          <w:i/>
          <w:iCs/>
          <w:kern w:val="0"/>
          <w:sz w:val="22"/>
          <w:szCs w:val="22"/>
          <w:lang w:eastAsia="en-GB"/>
          <w14:ligatures w14:val="none"/>
        </w:rPr>
        <w:t>_{t+1} − i_t) scaled by |i</w:t>
      </w:r>
      <w:r w:rsidRPr="00EB15BB">
        <w:rPr>
          <w:rFonts w:ascii="Aptos" w:eastAsia="Times New Roman" w:hAnsi="Aptos" w:cs="Times New Roman"/>
          <w:kern w:val="0"/>
          <w:sz w:val="22"/>
          <w:szCs w:val="22"/>
          <w:lang w:eastAsia="en-GB"/>
          <w14:ligatures w14:val="none"/>
        </w:rPr>
        <w:t>_{t+1} − i_t| / σ(Δi).</w:t>
      </w:r>
    </w:p>
    <w:p w14:paraId="74C5B0CE"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Delphic-Odyssean decomposition</w:t>
      </w:r>
      <w:r w:rsidRPr="00EB15BB">
        <w:rPr>
          <w:rFonts w:ascii="Aptos" w:eastAsia="Times New Roman" w:hAnsi="Aptos" w:cs="Times New Roman"/>
          <w:kern w:val="0"/>
          <w:sz w:val="22"/>
          <w:szCs w:val="22"/>
          <w:lang w:eastAsia="en-GB"/>
          <w14:ligatures w14:val="none"/>
        </w:rPr>
        <w:t xml:space="preserve"> (where separable — requires bank-published state forecasts):</w:t>
      </w:r>
    </w:p>
    <w:p w14:paraId="5F1CB1E4" w14:textId="77777777" w:rsidR="00EB15BB" w:rsidRPr="00EB15BB" w:rsidRDefault="00EB15BB" w:rsidP="00EB15BB">
      <w:pPr>
        <w:numPr>
          <w:ilvl w:val="0"/>
          <w:numId w:val="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Naïve dissonance: D^naive = path^com − path^rule(consensus forecast).</w:t>
      </w:r>
    </w:p>
    <w:p w14:paraId="6AE1569C" w14:textId="77777777" w:rsidR="00EB15BB" w:rsidRPr="00EB15BB" w:rsidRDefault="00EB15BB" w:rsidP="00EB15BB">
      <w:pPr>
        <w:numPr>
          <w:ilvl w:val="0"/>
          <w:numId w:val="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Delphic component: D^Delphic = path^rule(bank forecast) − path^rule(consensus forecast). Informational disagreement.</w:t>
      </w:r>
    </w:p>
    <w:p w14:paraId="61C49641" w14:textId="77777777" w:rsidR="00EB15BB" w:rsidRPr="00EB15BB" w:rsidRDefault="00EB15BB" w:rsidP="00EB15BB">
      <w:pPr>
        <w:numPr>
          <w:ilvl w:val="0"/>
          <w:numId w:val="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Odyssean component: D^Odyssean = path^com − path^rule(bank forecast). Commitment to deviate from the rule.</w:t>
      </w:r>
    </w:p>
    <w:p w14:paraId="4DC537EB"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Only Odyssean dissonance is a credibility signal in the strong sense.</w:t>
      </w:r>
    </w:p>
    <w:p w14:paraId="21FF1953"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Pre-registered specifications</w:t>
      </w:r>
    </w:p>
    <w:p w14:paraId="527B4EA8" w14:textId="77777777" w:rsidR="00EB15BB" w:rsidRPr="00EB15BB" w:rsidRDefault="00EB15BB" w:rsidP="00EB15BB">
      <w:pPr>
        <w:numPr>
          <w:ilvl w:val="0"/>
          <w:numId w:val="1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DM panel: Fed (numeric SEP since 2012), ECB (NLP + Bauer-Swanson path factor), BoE (fan chart since 2013 + NLP), BoJ (NLP + YCC as price-level guidance), Riksbank / Norges Bank / RBA / BoC (numeric paths where published).</w:t>
      </w:r>
    </w:p>
    <w:p w14:paraId="5F856423" w14:textId="77777777" w:rsidR="00EB15BB" w:rsidRPr="00EB15BB" w:rsidRDefault="00EB15BB" w:rsidP="00EB15BB">
      <w:pPr>
        <w:numPr>
          <w:ilvl w:val="0"/>
          <w:numId w:val="1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lastRenderedPageBreak/>
        <w:t>EM panel: BCB (numeric inflation-report path + OIS-implied), SARB (NLP only — MPC statement + Governor press conference), Banxico / RBI / BI / TCMB / BCCh (NLP only).</w:t>
      </w:r>
    </w:p>
    <w:p w14:paraId="1B5F7C24" w14:textId="77777777" w:rsidR="00EB15BB" w:rsidRPr="00EB15BB" w:rsidRDefault="00EB15BB" w:rsidP="00EB15BB">
      <w:pPr>
        <w:numPr>
          <w:ilvl w:val="0"/>
          <w:numId w:val="1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Horizon: 8 quarters default; 4Q and 12Q as robustness.</w:t>
      </w:r>
    </w:p>
    <w:p w14:paraId="392A3A5C" w14:textId="77777777" w:rsidR="00EB15BB" w:rsidRPr="00EB15BB" w:rsidRDefault="00EB15BB" w:rsidP="00EB15BB">
      <w:pPr>
        <w:numPr>
          <w:ilvl w:val="0"/>
          <w:numId w:val="1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NLP method: ensemble of Loughran-McDonald-extended dictionary plus an LLM-based zero-shot classifier; agreement between the two is itself a confidence weight.</w:t>
      </w:r>
    </w:p>
    <w:p w14:paraId="240DA7A0"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Estimation</w:t>
      </w:r>
    </w:p>
    <w:p w14:paraId="3AE4748D" w14:textId="77777777" w:rsidR="00EB15BB" w:rsidRPr="00EB15BB" w:rsidRDefault="00EB15BB" w:rsidP="00EB15BB">
      <w:pPr>
        <w:numPr>
          <w:ilvl w:val="0"/>
          <w:numId w:val="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path^rule simulated by forward-iterating the L1 estimated rule (from L1 ↔ L3a) conditional on consensus or bank state forecasts.</w:t>
      </w:r>
    </w:p>
    <w:p w14:paraId="69580D60" w14:textId="77777777" w:rsidR="00EB15BB" w:rsidRPr="00EB15BB" w:rsidRDefault="00EB15BB" w:rsidP="00EB15BB">
      <w:pPr>
        <w:numPr>
          <w:ilvl w:val="0"/>
          <w:numId w:val="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NLP lexicon trained on a held-out hand-labelled corpus per country (target ≥ 200 sentences); validated by next-meeting-move regression in the intensity test.</w:t>
      </w:r>
    </w:p>
    <w:p w14:paraId="72061901" w14:textId="77777777" w:rsidR="00EB15BB" w:rsidRPr="00EB15BB" w:rsidRDefault="00EB15BB" w:rsidP="00EB15BB">
      <w:pPr>
        <w:numPr>
          <w:ilvl w:val="0"/>
          <w:numId w:val="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Sample: 2005–2024; pre-2012 Fed handled separately as the dot plot did not exist.</w:t>
      </w:r>
    </w:p>
    <w:p w14:paraId="6EFA223D"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By construction E[R^{L1↔L3c}] = 0 on the calibration window where the NLP score is centred and path comparisons are differenced.</w:t>
      </w:r>
    </w:p>
    <w:p w14:paraId="0D006723" w14:textId="77777777" w:rsidR="00EB15BB" w:rsidRPr="00EB15BB" w:rsidRDefault="00EB15BB" w:rsidP="00EB15B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3. Dissonance function</w:t>
      </w:r>
    </w:p>
    <w:p w14:paraId="63816F9F"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 xml:space="preserve">D^{L1↔L3c}_t = </w:t>
      </w:r>
      <w:r w:rsidRPr="00EB15BB">
        <w:rPr>
          <w:rFonts w:ascii="Arial" w:eastAsia="Times New Roman" w:hAnsi="Arial" w:cs="Arial"/>
          <w:kern w:val="0"/>
          <w:sz w:val="22"/>
          <w:szCs w:val="22"/>
          <w:lang w:eastAsia="en-GB"/>
          <w14:ligatures w14:val="none"/>
        </w:rPr>
        <w:t>‖</w:t>
      </w:r>
      <w:r w:rsidRPr="00EB15BB">
        <w:rPr>
          <w:rFonts w:ascii="Aptos" w:eastAsia="Times New Roman" w:hAnsi="Aptos" w:cs="Times New Roman"/>
          <w:kern w:val="0"/>
          <w:sz w:val="22"/>
          <w:szCs w:val="22"/>
          <w:lang w:eastAsia="en-GB"/>
          <w14:ligatures w14:val="none"/>
        </w:rPr>
        <w:t>path^com_t − path^rule_t</w:t>
      </w:r>
      <w:r w:rsidRPr="00EB15BB">
        <w:rPr>
          <w:rFonts w:ascii="Arial" w:eastAsia="Times New Roman" w:hAnsi="Arial" w:cs="Arial"/>
          <w:kern w:val="0"/>
          <w:sz w:val="22"/>
          <w:szCs w:val="22"/>
          <w:lang w:eastAsia="en-GB"/>
          <w14:ligatures w14:val="none"/>
        </w:rPr>
        <w:t>‖</w:t>
      </w:r>
    </w:p>
    <w:p w14:paraId="77A412A8"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Threshold</w:t>
      </w:r>
      <w:r w:rsidRPr="00EB15BB">
        <w:rPr>
          <w:rFonts w:ascii="Aptos" w:eastAsia="Times New Roman" w:hAnsi="Aptos" w:cs="Times New Roman"/>
          <w:kern w:val="0"/>
          <w:sz w:val="22"/>
          <w:szCs w:val="22"/>
          <w:lang w:eastAsia="en-GB"/>
          <w14:ligatures w14:val="none"/>
        </w:rPr>
        <w:t>: τ = 2 · σ(D) on the normal-regime calibration window. Robustness across {1.5σ, 2σ, 2.5σ}, plus a horizon-decomposed threshold (separate τ for 1–2y and 3–5y).</w:t>
      </w:r>
    </w:p>
    <w:p w14:paraId="6C6CA672"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Auxiliary dimensions</w:t>
      </w:r>
      <w:r w:rsidRPr="00EB15BB">
        <w:rPr>
          <w:rFonts w:ascii="Aptos" w:eastAsia="Times New Roman" w:hAnsi="Aptos" w:cs="Times New Roman"/>
          <w:kern w:val="0"/>
          <w:sz w:val="22"/>
          <w:szCs w:val="22"/>
          <w:lang w:eastAsia="en-GB"/>
          <w14:ligatures w14:val="none"/>
        </w:rPr>
        <w:t xml:space="preserve"> carried separately:</w:t>
      </w:r>
    </w:p>
    <w:p w14:paraId="1F3A6784" w14:textId="77777777" w:rsidR="00EB15BB" w:rsidRPr="00EB15BB" w:rsidRDefault="00EB15BB" w:rsidP="00EB15BB">
      <w:pPr>
        <w:numPr>
          <w:ilvl w:val="0"/>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Sign</w:t>
      </w:r>
      <w:r w:rsidRPr="00EB15BB">
        <w:rPr>
          <w:rFonts w:ascii="Aptos" w:eastAsia="Times New Roman" w:hAnsi="Aptos" w:cs="Times New Roman"/>
          <w:kern w:val="0"/>
          <w:sz w:val="22"/>
          <w:szCs w:val="22"/>
          <w:lang w:eastAsia="en-GB"/>
          <w14:ligatures w14:val="none"/>
        </w:rPr>
        <w:t xml:space="preserve"> — hawkish-vs-rule guidance (commitment to over-tightening) vs dovish-vs-rule (over-easing). Hawkish dissonance flattens the belly; dovish steepens. Different asset incidence.</w:t>
      </w:r>
    </w:p>
    <w:p w14:paraId="1EA1EF6C" w14:textId="77777777" w:rsidR="00EB15BB" w:rsidRPr="00EB15BB" w:rsidRDefault="00EB15BB" w:rsidP="00EB15BB">
      <w:pPr>
        <w:numPr>
          <w:ilvl w:val="0"/>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Horizon profile</w:t>
      </w:r>
      <w:r w:rsidRPr="00EB15BB">
        <w:rPr>
          <w:rFonts w:ascii="Aptos" w:eastAsia="Times New Roman" w:hAnsi="Aptos" w:cs="Times New Roman"/>
          <w:kern w:val="0"/>
          <w:sz w:val="22"/>
          <w:szCs w:val="22"/>
          <w:lang w:eastAsia="en-GB"/>
          <w14:ligatures w14:val="none"/>
        </w:rPr>
        <w:t xml:space="preserve"> — front-loaded (Q1–Q4) vs back-loaded (Q5–Q8) dissonance. Front-loaded captures next-meeting expectations; back-loaded captures terminal-rate / regime expectations. Asset implications differ markedly.</w:t>
      </w:r>
    </w:p>
    <w:p w14:paraId="456ACC1D" w14:textId="77777777" w:rsidR="00EB15BB" w:rsidRPr="00EB15BB" w:rsidRDefault="00EB15BB" w:rsidP="00EB15BB">
      <w:pPr>
        <w:numPr>
          <w:ilvl w:val="0"/>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Delphic-Odyssean split</w:t>
      </w:r>
      <w:r w:rsidRPr="00EB15BB">
        <w:rPr>
          <w:rFonts w:ascii="Aptos" w:eastAsia="Times New Roman" w:hAnsi="Aptos" w:cs="Times New Roman"/>
          <w:kern w:val="0"/>
          <w:sz w:val="22"/>
          <w:szCs w:val="22"/>
          <w:lang w:eastAsia="en-GB"/>
          <w14:ligatures w14:val="none"/>
        </w:rPr>
        <w:t xml:space="preserve"> (when separable) — only Odyssean feeds the credibility module of the composite.</w:t>
      </w:r>
    </w:p>
    <w:p w14:paraId="2D25521F" w14:textId="77777777" w:rsidR="00EB15BB" w:rsidRPr="00EB15BB" w:rsidRDefault="00EB15BB" w:rsidP="00EB15BB">
      <w:pPr>
        <w:numPr>
          <w:ilvl w:val="0"/>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Source disagreement</w:t>
      </w:r>
      <w:r w:rsidRPr="00EB15BB">
        <w:rPr>
          <w:rFonts w:ascii="Aptos" w:eastAsia="Times New Roman" w:hAnsi="Aptos" w:cs="Times New Roman"/>
          <w:kern w:val="0"/>
          <w:sz w:val="22"/>
          <w:szCs w:val="22"/>
          <w:lang w:eastAsia="en-GB"/>
          <w14:ligatures w14:val="none"/>
        </w:rPr>
        <w:t xml:space="preserve"> — when statement, press conference, and projection disagree (the intra-L3c signal), R^{L1↔L3c} is computed against each source separately; max-divergence and mean-divergence both carried.</w:t>
      </w:r>
    </w:p>
    <w:p w14:paraId="0BCC4416" w14:textId="77777777" w:rsidR="00EB15BB" w:rsidRPr="00EB15BB" w:rsidRDefault="00EB15BB" w:rsidP="00EB15B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Design notes</w:t>
      </w:r>
    </w:p>
    <w:p w14:paraId="365CA4C8" w14:textId="77777777" w:rsidR="00EB15BB" w:rsidRPr="00EB15BB" w:rsidRDefault="00EB15BB" w:rsidP="00EB15BB">
      <w:pPr>
        <w:numPr>
          <w:ilvl w:val="0"/>
          <w:numId w:val="1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Three estimation tiers create unit non-comparability</w:t>
      </w:r>
      <w:r w:rsidRPr="00EB15BB">
        <w:rPr>
          <w:rFonts w:ascii="Aptos" w:eastAsia="Times New Roman" w:hAnsi="Aptos" w:cs="Times New Roman"/>
          <w:kern w:val="0"/>
          <w:sz w:val="22"/>
          <w:szCs w:val="22"/>
          <w:lang w:eastAsia="en-GB"/>
          <w14:ligatures w14:val="none"/>
        </w:rPr>
        <w:t>. Numeric-path dissonance is in basis points, NLP version is in standardised sentiment units, OIS-implied is a hybrid. Cross-country aggregation requires standardisation — convert each to a country-specific z-score against its own calibration distribution before composite aggregation. Reporting in raw units would mechanically privilege DM in the composite even when EM dissonance is structurally larger.</w:t>
      </w:r>
    </w:p>
    <w:p w14:paraId="1B2A6D9E" w14:textId="77777777" w:rsidR="00EB15BB" w:rsidRPr="00EB15BB" w:rsidRDefault="00EB15BB" w:rsidP="00EB15BB">
      <w:pPr>
        <w:numPr>
          <w:ilvl w:val="0"/>
          <w:numId w:val="1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Credibility is a moderator, not the metric</w:t>
      </w:r>
      <w:r w:rsidRPr="00EB15BB">
        <w:rPr>
          <w:rFonts w:ascii="Aptos" w:eastAsia="Times New Roman" w:hAnsi="Aptos" w:cs="Times New Roman"/>
          <w:kern w:val="0"/>
          <w:sz w:val="22"/>
          <w:szCs w:val="22"/>
          <w:lang w:eastAsia="en-GB"/>
          <w14:ligatures w14:val="none"/>
        </w:rPr>
        <w:t xml:space="preserve">. Guidance dissonance carries more economic weight when credibility stock is high — a credible bank violating prior commitment is more informative than a low-credibility bank doing the same. Don't bake credibility into D directly; track it as a separate moderator (long-run BEI anchoring, dot dispersion, historical guidance-honour rate) and interact at the asset-return regression </w:t>
      </w:r>
      <w:r w:rsidRPr="00EB15BB">
        <w:rPr>
          <w:rFonts w:ascii="Aptos" w:eastAsia="Times New Roman" w:hAnsi="Aptos" w:cs="Times New Roman"/>
          <w:kern w:val="0"/>
          <w:sz w:val="22"/>
          <w:szCs w:val="22"/>
          <w:lang w:eastAsia="en-GB"/>
          <w14:ligatures w14:val="none"/>
        </w:rPr>
        <w:lastRenderedPageBreak/>
        <w:t>stage. This preserves D as a clean structural object while letting downstream tests pick up the conditioning.</w:t>
      </w:r>
    </w:p>
    <w:p w14:paraId="45BBFB86" w14:textId="77777777" w:rsidR="00EB15BB" w:rsidRPr="00EB15BB" w:rsidRDefault="00EB15BB" w:rsidP="00EB15BB">
      <w:pPr>
        <w:numPr>
          <w:ilvl w:val="0"/>
          <w:numId w:val="1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Direct line to intra-L3c</w:t>
      </w:r>
      <w:r w:rsidRPr="00EB15BB">
        <w:rPr>
          <w:rFonts w:ascii="Aptos" w:eastAsia="Times New Roman" w:hAnsi="Aptos" w:cs="Times New Roman"/>
          <w:kern w:val="0"/>
          <w:sz w:val="22"/>
          <w:szCs w:val="22"/>
          <w:lang w:eastAsia="en-GB"/>
          <w14:ligatures w14:val="none"/>
        </w:rPr>
        <w:t xml:space="preserve">. The intra-L3c metric (statement–presser–dot disagreement) is the </w:t>
      </w:r>
      <w:r w:rsidRPr="00EB15BB">
        <w:rPr>
          <w:rFonts w:ascii="Aptos" w:eastAsia="Times New Roman" w:hAnsi="Aptos" w:cs="Times New Roman"/>
          <w:i/>
          <w:iCs/>
          <w:kern w:val="0"/>
          <w:sz w:val="22"/>
          <w:szCs w:val="22"/>
          <w:lang w:eastAsia="en-GB"/>
          <w14:ligatures w14:val="none"/>
        </w:rPr>
        <w:t>input variance</w:t>
      </w:r>
      <w:r w:rsidRPr="00EB15BB">
        <w:rPr>
          <w:rFonts w:ascii="Aptos" w:eastAsia="Times New Roman" w:hAnsi="Aptos" w:cs="Times New Roman"/>
          <w:kern w:val="0"/>
          <w:sz w:val="22"/>
          <w:szCs w:val="22"/>
          <w:lang w:eastAsia="en-GB"/>
          <w14:ligatures w14:val="none"/>
        </w:rPr>
        <w:t xml:space="preserve"> to the L1 ↔ L3c metric. When the bank is internally inconsistent on L3c, the L1 ↔ L3c reading depends entirely on which source is chosen. Treat max-divergence as the headline metric and mean-divergence as the conservative comparator; report both.</w:t>
      </w:r>
    </w:p>
    <w:p w14:paraId="57AD1533" w14:textId="77777777" w:rsidR="00EB15BB" w:rsidRPr="00EB15BB" w:rsidRDefault="004B6E07" w:rsidP="00EB15BB">
      <w:pPr>
        <w:spacing w:after="0" w:line="240" w:lineRule="auto"/>
        <w:rPr>
          <w:rFonts w:ascii="Aptos" w:eastAsia="Times New Roman" w:hAnsi="Aptos" w:cs="Times New Roman"/>
          <w:kern w:val="0"/>
          <w:sz w:val="22"/>
          <w:szCs w:val="22"/>
          <w:lang w:eastAsia="en-GB"/>
          <w14:ligatures w14:val="none"/>
        </w:rPr>
      </w:pPr>
      <w:r w:rsidRPr="004B6E07">
        <w:rPr>
          <w:rFonts w:ascii="Aptos" w:eastAsia="Times New Roman" w:hAnsi="Aptos" w:cs="Times New Roman"/>
          <w:noProof/>
          <w:kern w:val="0"/>
          <w:sz w:val="22"/>
          <w:szCs w:val="22"/>
          <w:lang w:eastAsia="en-GB"/>
        </w:rPr>
        <w:pict w14:anchorId="78509D7E">
          <v:rect id="_x0000_i1028" alt="" style="width:451.3pt;height:.05pt;mso-width-percent:0;mso-height-percent:0;mso-width-percent:0;mso-height-percent:0" o:hralign="center" o:hrstd="t" o:hr="t" fillcolor="#a0a0a0" stroked="f"/>
        </w:pict>
      </w:r>
    </w:p>
    <w:p w14:paraId="26133758"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Ready for L1 ↔ L3d when you are.</w:t>
      </w:r>
    </w:p>
    <w:p w14:paraId="642156E2" w14:textId="77777777" w:rsidR="00EB15BB" w:rsidRPr="00EB15BB" w:rsidRDefault="00EB15BB" w:rsidP="00EB15BB">
      <w:pPr>
        <w:rPr>
          <w:rFonts w:ascii="Aptos" w:hAnsi="Aptos"/>
          <w:sz w:val="22"/>
          <w:szCs w:val="22"/>
          <w:lang w:val="en-US"/>
        </w:rPr>
      </w:pPr>
    </w:p>
    <w:p w14:paraId="34181381" w14:textId="77777777" w:rsidR="00EB15BB" w:rsidRPr="00EB15BB" w:rsidRDefault="00EB15BB" w:rsidP="00EB15BB">
      <w:pPr>
        <w:rPr>
          <w:rFonts w:ascii="Aptos" w:hAnsi="Aptos"/>
          <w:sz w:val="22"/>
          <w:szCs w:val="22"/>
          <w:lang w:val="en-US"/>
        </w:rPr>
      </w:pPr>
    </w:p>
    <w:p w14:paraId="17E4FD31" w14:textId="77777777" w:rsidR="00EB15BB" w:rsidRPr="00EB15BB" w:rsidRDefault="00EB15BB" w:rsidP="00EB15BB">
      <w:pPr>
        <w:rPr>
          <w:rFonts w:ascii="Aptos" w:hAnsi="Aptos"/>
          <w:sz w:val="22"/>
          <w:szCs w:val="22"/>
          <w:lang w:val="en-US"/>
        </w:rPr>
      </w:pPr>
    </w:p>
    <w:p w14:paraId="033B4F70" w14:textId="77777777" w:rsidR="00EB15BB" w:rsidRPr="00EB15BB" w:rsidRDefault="00EB15BB" w:rsidP="00EB15BB">
      <w:pPr>
        <w:rPr>
          <w:rFonts w:ascii="Aptos" w:hAnsi="Aptos"/>
          <w:sz w:val="22"/>
          <w:szCs w:val="22"/>
          <w:lang w:val="en-US"/>
        </w:rPr>
      </w:pPr>
    </w:p>
    <w:p w14:paraId="19854AE4" w14:textId="77777777" w:rsidR="00EB15BB" w:rsidRPr="00EB15BB" w:rsidRDefault="00EB15BB" w:rsidP="00EB15BB">
      <w:pPr>
        <w:rPr>
          <w:rFonts w:ascii="Aptos" w:hAnsi="Aptos"/>
          <w:sz w:val="22"/>
          <w:szCs w:val="22"/>
          <w:lang w:val="en-US"/>
        </w:rPr>
      </w:pPr>
    </w:p>
    <w:p w14:paraId="19A6A7A1" w14:textId="77777777" w:rsidR="00EB15BB" w:rsidRPr="00EB15BB" w:rsidRDefault="00EB15BB" w:rsidP="00EB15BB">
      <w:pPr>
        <w:rPr>
          <w:rFonts w:ascii="Aptos" w:hAnsi="Aptos"/>
          <w:sz w:val="22"/>
          <w:szCs w:val="22"/>
          <w:lang w:val="en-US"/>
        </w:rPr>
      </w:pPr>
    </w:p>
    <w:p w14:paraId="3575D67D" w14:textId="77777777" w:rsidR="00EB15BB" w:rsidRPr="00EB15BB" w:rsidRDefault="00EB15BB" w:rsidP="00EB15BB">
      <w:pPr>
        <w:rPr>
          <w:rFonts w:ascii="Aptos" w:hAnsi="Aptos"/>
          <w:sz w:val="22"/>
          <w:szCs w:val="22"/>
          <w:lang w:val="en-US"/>
        </w:rPr>
      </w:pPr>
    </w:p>
    <w:p w14:paraId="47A69621" w14:textId="77777777" w:rsidR="00EB15BB" w:rsidRPr="00EB15BB" w:rsidRDefault="00EB15BB" w:rsidP="00EB15BB">
      <w:pPr>
        <w:rPr>
          <w:rFonts w:ascii="Aptos" w:hAnsi="Aptos"/>
          <w:sz w:val="22"/>
          <w:szCs w:val="22"/>
          <w:lang w:val="en-US"/>
        </w:rPr>
      </w:pPr>
    </w:p>
    <w:p w14:paraId="3E23D21E" w14:textId="77777777" w:rsidR="00EB15BB" w:rsidRPr="00EB15BB" w:rsidRDefault="00EB15BB" w:rsidP="00EB15BB">
      <w:pPr>
        <w:rPr>
          <w:rFonts w:ascii="Aptos" w:hAnsi="Aptos"/>
          <w:sz w:val="22"/>
          <w:szCs w:val="22"/>
          <w:lang w:val="en-US"/>
        </w:rPr>
      </w:pPr>
    </w:p>
    <w:p w14:paraId="67BE0055" w14:textId="77777777" w:rsidR="00EB15BB" w:rsidRPr="00EB15BB" w:rsidRDefault="00EB15BB" w:rsidP="00EB15BB">
      <w:pPr>
        <w:spacing w:before="100" w:beforeAutospacing="1" w:after="100" w:afterAutospacing="1" w:line="240" w:lineRule="auto"/>
        <w:outlineLvl w:val="0"/>
        <w:rPr>
          <w:rFonts w:ascii="Aptos" w:eastAsia="Times New Roman" w:hAnsi="Aptos" w:cs="Times New Roman"/>
          <w:b/>
          <w:bCs/>
          <w:kern w:val="36"/>
          <w:sz w:val="22"/>
          <w:szCs w:val="22"/>
          <w:lang w:eastAsia="en-GB"/>
          <w14:ligatures w14:val="none"/>
        </w:rPr>
      </w:pPr>
      <w:r w:rsidRPr="00EB15BB">
        <w:rPr>
          <w:rFonts w:ascii="Aptos" w:eastAsia="Times New Roman" w:hAnsi="Aptos" w:cs="Times New Roman"/>
          <w:b/>
          <w:bCs/>
          <w:kern w:val="36"/>
          <w:sz w:val="22"/>
          <w:szCs w:val="22"/>
          <w:lang w:eastAsia="en-GB"/>
          <w14:ligatures w14:val="none"/>
        </w:rPr>
        <w:t>L1 ↔ L3d — Reaction Function ↔ FX Intervention</w:t>
      </w:r>
    </w:p>
    <w:p w14:paraId="7F1FA420" w14:textId="77777777" w:rsidR="00EB15BB" w:rsidRPr="00EB15BB" w:rsidRDefault="00EB15BB" w:rsidP="00EB15B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1. Intensity test</w:t>
      </w:r>
    </w:p>
    <w:p w14:paraId="7BE86B5D"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Intervention is a complement to the rate channel for executing the rule's FX response (the δ coefficient). Intensity here asks whether intervention is systematic relative to FX deviations — whether the bank actually deploys the instrument in a predictable, rule-shaped way. For most of the DM panel intensity is structurally near-zero; for the EM panel it varies markedly.</w:t>
      </w:r>
    </w:p>
    <w:p w14:paraId="1E6BC5D9" w14:textId="77777777" w:rsidR="00EB15BB" w:rsidRPr="00EB15BB" w:rsidRDefault="00EB15BB" w:rsidP="00EB15BB">
      <w:pPr>
        <w:numPr>
          <w:ilvl w:val="0"/>
          <w:numId w:val="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Intervention reaction-function R²</w:t>
      </w:r>
      <w:r w:rsidRPr="00EB15BB">
        <w:rPr>
          <w:rFonts w:ascii="Aptos" w:eastAsia="Times New Roman" w:hAnsi="Aptos" w:cs="Times New Roman"/>
          <w:kern w:val="0"/>
          <w:sz w:val="22"/>
          <w:szCs w:val="22"/>
          <w:lang w:eastAsia="en-GB"/>
          <w14:ligatures w14:val="none"/>
        </w:rPr>
        <w:t xml:space="preserve"> — regress observed intervention on {FX gap from REER target, FX vol, reserves relative to ARA, rate-channel residual from L1 ↔ L3a}. Captures the systematic component of intervention.</w:t>
      </w:r>
    </w:p>
    <w:p w14:paraId="2791E170" w14:textId="77777777" w:rsidR="00EB15BB" w:rsidRPr="00EB15BB" w:rsidRDefault="00EB15BB" w:rsidP="00EB15BB">
      <w:pPr>
        <w:numPr>
          <w:ilvl w:val="0"/>
          <w:numId w:val="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Granger causality</w:t>
      </w:r>
      <w:r w:rsidRPr="00EB15BB">
        <w:rPr>
          <w:rFonts w:ascii="Aptos" w:eastAsia="Times New Roman" w:hAnsi="Aptos" w:cs="Times New Roman"/>
          <w:kern w:val="0"/>
          <w:sz w:val="22"/>
          <w:szCs w:val="22"/>
          <w:lang w:eastAsia="en-GB"/>
          <w14:ligatures w14:val="none"/>
        </w:rPr>
        <w:t xml:space="preserve"> from FX gap to intervention flow. A bank that intervenes systematically should show this lead-lag pattern; a discretionary or signalling-only intervener will not.</w:t>
      </w:r>
    </w:p>
    <w:p w14:paraId="228243BB" w14:textId="77777777" w:rsidR="00EB15BB" w:rsidRPr="00EB15BB" w:rsidRDefault="00EB15BB" w:rsidP="00EB15BB">
      <w:pPr>
        <w:numPr>
          <w:ilvl w:val="0"/>
          <w:numId w:val="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Share of FX variance absorbed by intervention</w:t>
      </w:r>
      <w:r w:rsidRPr="00EB15BB">
        <w:rPr>
          <w:rFonts w:ascii="Aptos" w:eastAsia="Times New Roman" w:hAnsi="Aptos" w:cs="Times New Roman"/>
          <w:kern w:val="0"/>
          <w:sz w:val="22"/>
          <w:szCs w:val="22"/>
          <w:lang w:eastAsia="en-GB"/>
          <w14:ligatures w14:val="none"/>
        </w:rPr>
        <w:t xml:space="preserve"> — event-study Δs around announced intervention windows, scaled by daily FX turnover. Measures whether the instrument moves the price.</w:t>
      </w:r>
    </w:p>
    <w:p w14:paraId="7A6D1FB1" w14:textId="77777777" w:rsidR="00EB15BB" w:rsidRPr="00EB15BB" w:rsidRDefault="00EB15BB" w:rsidP="00EB15BB">
      <w:pPr>
        <w:numPr>
          <w:ilvl w:val="0"/>
          <w:numId w:val="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De jure vs de facto regime gap</w:t>
      </w:r>
      <w:r w:rsidRPr="00EB15BB">
        <w:rPr>
          <w:rFonts w:ascii="Aptos" w:eastAsia="Times New Roman" w:hAnsi="Aptos" w:cs="Times New Roman"/>
          <w:kern w:val="0"/>
          <w:sz w:val="22"/>
          <w:szCs w:val="22"/>
          <w:lang w:eastAsia="en-GB"/>
          <w14:ligatures w14:val="none"/>
        </w:rPr>
        <w:t xml:space="preserve"> — Calvo-Reinhart classification of the stated regime against observed intervention pattern. Large gap = bank claims to float but intervenes systematically; itself a credibility-relevant intensity signal.</w:t>
      </w:r>
    </w:p>
    <w:p w14:paraId="4765C36F"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lastRenderedPageBreak/>
        <w:t>Sufficiency condition</w:t>
      </w:r>
      <w:r w:rsidRPr="00EB15BB">
        <w:rPr>
          <w:rFonts w:ascii="Aptos" w:eastAsia="Times New Roman" w:hAnsi="Aptos" w:cs="Times New Roman"/>
          <w:kern w:val="0"/>
          <w:sz w:val="22"/>
          <w:szCs w:val="22"/>
          <w:lang w:eastAsia="en-GB"/>
          <w14:ligatures w14:val="none"/>
        </w:rPr>
        <w:t xml:space="preserve"> (pre-registered): the relationship is estimable when (i) δ ≠ 0 in the L1 estimation (FX is in the reaction function), AND (ii) at least 20 monthly observations of non-zero intervention over the sample. DM panel — except BoJ and SNB — fails (ii) structurally; flag as inactive. For SA, document the marginal case: SARB δ is estimable but intervention is rare; expect low-intensity flag.</w:t>
      </w:r>
    </w:p>
    <w:p w14:paraId="26075603" w14:textId="77777777" w:rsidR="00EB15BB" w:rsidRPr="00EB15BB" w:rsidRDefault="00EB15BB" w:rsidP="00EB15B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2. Consistency function R^{L1↔L3d}</w:t>
      </w:r>
    </w:p>
    <w:p w14:paraId="027B7F05"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The rule prescribes a total FX response. This response can be executed through two instruments — the rate (via δ) and direct intervention. Equilibrium holds when actual intervention equals the rule-implied intervention conditional on the rate channel:</w:t>
      </w:r>
    </w:p>
    <w:p w14:paraId="56C492B2"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R^{L1↔L3d}(INV_t, s_t, i_t; θ̂, π̂) = INV_t − INV*_t</w:t>
      </w:r>
    </w:p>
    <w:p w14:paraId="4E3C9321"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where INV*_t is the intervention-rule implied magnitude:</w:t>
      </w:r>
    </w:p>
    <w:p w14:paraId="04E52904"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INV</w:t>
      </w:r>
      <w:r w:rsidRPr="00EB15BB">
        <w:rPr>
          <w:rFonts w:ascii="Aptos" w:eastAsia="Times New Roman" w:hAnsi="Aptos" w:cs="Times New Roman"/>
          <w:i/>
          <w:iCs/>
          <w:kern w:val="0"/>
          <w:sz w:val="22"/>
          <w:szCs w:val="22"/>
          <w:lang w:eastAsia="en-GB"/>
          <w14:ligatures w14:val="none"/>
        </w:rPr>
        <w:t>_t = π_0 + π_1 · (s_t − s</w:t>
      </w:r>
      <w:r w:rsidRPr="00EB15BB">
        <w:rPr>
          <w:rFonts w:ascii="Aptos" w:eastAsia="Times New Roman" w:hAnsi="Aptos" w:cs="Times New Roman"/>
          <w:kern w:val="0"/>
          <w:sz w:val="22"/>
          <w:szCs w:val="22"/>
          <w:lang w:eastAsia="en-GB"/>
          <w14:ligatures w14:val="none"/>
        </w:rPr>
        <w:t>_t) + π_2 · σ_30d(s_t) + π_3 · Reserves_t / ARA_t + π_4 · ε^{L1↔L3a}_t</w:t>
      </w:r>
    </w:p>
    <w:p w14:paraId="666331A1" w14:textId="77777777" w:rsidR="00EB15BB" w:rsidRPr="00EB15BB" w:rsidRDefault="00EB15BB" w:rsidP="00EB15BB">
      <w:pPr>
        <w:numPr>
          <w:ilvl w:val="0"/>
          <w:numId w:val="1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(s_t − s*_t) is the FX deviation from REER target or equilibrium REER (BEER / FEER specification).</w:t>
      </w:r>
    </w:p>
    <w:p w14:paraId="0673C9A7" w14:textId="77777777" w:rsidR="00EB15BB" w:rsidRPr="00EB15BB" w:rsidRDefault="00EB15BB" w:rsidP="00EB15BB">
      <w:pPr>
        <w:numPr>
          <w:ilvl w:val="0"/>
          <w:numId w:val="1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σ_30d(s_t) captures intervention-against-volatility behaviour (smoothing intervention).</w:t>
      </w:r>
    </w:p>
    <w:p w14:paraId="230BCF2E" w14:textId="77777777" w:rsidR="00EB15BB" w:rsidRPr="00EB15BB" w:rsidRDefault="00EB15BB" w:rsidP="00EB15BB">
      <w:pPr>
        <w:numPr>
          <w:ilvl w:val="0"/>
          <w:numId w:val="1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Reserves / ARA: the binding-constraint regressor — intervention slows as reserves approach the IMF ARA threshold.</w:t>
      </w:r>
    </w:p>
    <w:p w14:paraId="1717E471" w14:textId="77777777" w:rsidR="00EB15BB" w:rsidRPr="00EB15BB" w:rsidRDefault="00EB15BB" w:rsidP="00EB15BB">
      <w:pPr>
        <w:numPr>
          <w:ilvl w:val="0"/>
          <w:numId w:val="1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ε^{L1↔L3a}_t: the Taylor residual. Captures whether intervention substitutes for rate action when the rate is constrained.</w:t>
      </w:r>
    </w:p>
    <w:p w14:paraId="0AA37688"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Pre-registered specifications</w:t>
      </w:r>
    </w:p>
    <w:p w14:paraId="3C06EAB7" w14:textId="77777777" w:rsidR="00EB15BB" w:rsidRPr="00EB15BB" w:rsidRDefault="00EB15BB" w:rsidP="00EB15BB">
      <w:pPr>
        <w:numPr>
          <w:ilvl w:val="0"/>
          <w:numId w:val="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EM panel: estimate INV* by Tobit (intervention is bounded at zero for non-intervention periods and at reserves for the upper bound). Two-stage variant — logit for the intervention decision, OLS for conditional magnitude — as comparator.</w:t>
      </w:r>
    </w:p>
    <w:p w14:paraId="706747DE" w14:textId="77777777" w:rsidR="00EB15BB" w:rsidRPr="00EB15BB" w:rsidRDefault="00EB15BB" w:rsidP="00EB15BB">
      <w:pPr>
        <w:numPr>
          <w:ilvl w:val="0"/>
          <w:numId w:val="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 xml:space="preserve">INV measurement: spot intervention for all; </w:t>
      </w:r>
      <w:r w:rsidRPr="00EB15BB">
        <w:rPr>
          <w:rFonts w:ascii="Aptos" w:eastAsia="Times New Roman" w:hAnsi="Aptos" w:cs="Times New Roman"/>
          <w:i/>
          <w:iCs/>
          <w:kern w:val="0"/>
          <w:sz w:val="22"/>
          <w:szCs w:val="22"/>
          <w:lang w:eastAsia="en-GB"/>
          <w14:ligatures w14:val="none"/>
        </w:rPr>
        <w:t>plus forward book</w:t>
      </w:r>
      <w:r w:rsidRPr="00EB15BB">
        <w:rPr>
          <w:rFonts w:ascii="Aptos" w:eastAsia="Times New Roman" w:hAnsi="Aptos" w:cs="Times New Roman"/>
          <w:kern w:val="0"/>
          <w:sz w:val="22"/>
          <w:szCs w:val="22"/>
          <w:lang w:eastAsia="en-GB"/>
          <w14:ligatures w14:val="none"/>
        </w:rPr>
        <w:t xml:space="preserve"> for BCB, Banxico, Bank Indonesia where disclosed. Document the forward-book invisibility for any country without disclosure.</w:t>
      </w:r>
    </w:p>
    <w:p w14:paraId="453D043D" w14:textId="77777777" w:rsidR="00EB15BB" w:rsidRPr="00EB15BB" w:rsidRDefault="00EB15BB" w:rsidP="00EB15BB">
      <w:pPr>
        <w:numPr>
          <w:ilvl w:val="0"/>
          <w:numId w:val="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Sterilisation classification: Δbase relative to Δreserves. Carry as a binary covariate.</w:t>
      </w:r>
    </w:p>
    <w:p w14:paraId="50D863E9" w14:textId="77777777" w:rsidR="00EB15BB" w:rsidRPr="00EB15BB" w:rsidRDefault="00EB15BB" w:rsidP="00EB15BB">
      <w:pPr>
        <w:numPr>
          <w:ilvl w:val="0"/>
          <w:numId w:val="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DM panel: relationship inactive by default. BoJ and SNB estimated on active episodes only (2010–2011, 2022 for BoJ; 2011–2015 for the EUR/CHF floor period for SNB).</w:t>
      </w:r>
    </w:p>
    <w:p w14:paraId="187DD3FD" w14:textId="77777777" w:rsidR="00EB15BB" w:rsidRPr="00EB15BB" w:rsidRDefault="00EB15BB" w:rsidP="00EB15BB">
      <w:pPr>
        <w:numPr>
          <w:ilvl w:val="0"/>
          <w:numId w:val="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 xml:space="preserve">SARB specifically: estimate with explicit low-intensity flag; document zero-coefficient null as the leading hypothesis. The relationship is </w:t>
      </w:r>
      <w:r w:rsidRPr="00EB15BB">
        <w:rPr>
          <w:rFonts w:ascii="Aptos" w:eastAsia="Times New Roman" w:hAnsi="Aptos" w:cs="Times New Roman"/>
          <w:i/>
          <w:iCs/>
          <w:kern w:val="0"/>
          <w:sz w:val="22"/>
          <w:szCs w:val="22"/>
          <w:lang w:eastAsia="en-GB"/>
          <w14:ligatures w14:val="none"/>
        </w:rPr>
        <w:t>kept in the framework</w:t>
      </w:r>
      <w:r w:rsidRPr="00EB15BB">
        <w:rPr>
          <w:rFonts w:ascii="Aptos" w:eastAsia="Times New Roman" w:hAnsi="Aptos" w:cs="Times New Roman"/>
          <w:kern w:val="0"/>
          <w:sz w:val="22"/>
          <w:szCs w:val="22"/>
          <w:lang w:eastAsia="en-GB"/>
          <w14:ligatures w14:val="none"/>
        </w:rPr>
        <w:t xml:space="preserve"> but expected to contribute little to the SA composite.</w:t>
      </w:r>
    </w:p>
    <w:p w14:paraId="2E3A4B6E"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Estimation</w:t>
      </w:r>
    </w:p>
    <w:p w14:paraId="0D6C8F7C" w14:textId="77777777" w:rsidR="00EB15BB" w:rsidRPr="00EB15BB" w:rsidRDefault="00EB15BB" w:rsidP="00EB15BB">
      <w:pPr>
        <w:numPr>
          <w:ilvl w:val="0"/>
          <w:numId w:val="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Tobit / two-stage Heckman-style intervention reaction function.</w:t>
      </w:r>
    </w:p>
    <w:p w14:paraId="18C93754" w14:textId="77777777" w:rsidR="00EB15BB" w:rsidRPr="00EB15BB" w:rsidRDefault="00EB15BB" w:rsidP="00EB15BB">
      <w:pPr>
        <w:numPr>
          <w:ilvl w:val="0"/>
          <w:numId w:val="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Reserves data must be decomposed: ΔReserves = NI + valuation + interest + SDR. Only NI enters as intervention proxy.</w:t>
      </w:r>
    </w:p>
    <w:p w14:paraId="7A5C5C97" w14:textId="77777777" w:rsidR="00EB15BB" w:rsidRPr="00EB15BB" w:rsidRDefault="00EB15BB" w:rsidP="00EB15BB">
      <w:pPr>
        <w:numPr>
          <w:ilvl w:val="0"/>
          <w:numId w:val="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BCB daily auction data is the gold-standard sample for parameter calibration; transferred to other EMs as priors with country-specific re-estimation.</w:t>
      </w:r>
    </w:p>
    <w:p w14:paraId="44590D35" w14:textId="77777777" w:rsidR="00EB15BB" w:rsidRPr="00EB15BB" w:rsidRDefault="00EB15BB" w:rsidP="00EB15BB">
      <w:pPr>
        <w:numPr>
          <w:ilvl w:val="0"/>
          <w:numId w:val="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Sample: 2005–2024; structural-break dummies for clearly episodic regime changes (Turkey post-2018, Argentina post-2018).</w:t>
      </w:r>
    </w:p>
    <w:p w14:paraId="275C89F0"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lastRenderedPageBreak/>
        <w:t>By construction E[R^{L1↔L3d}] = 0 in the active-intervention calibration window.</w:t>
      </w:r>
    </w:p>
    <w:p w14:paraId="2424944E" w14:textId="77777777" w:rsidR="00EB15BB" w:rsidRPr="00EB15BB" w:rsidRDefault="00EB15BB" w:rsidP="00EB15B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3. Dissonance function</w:t>
      </w:r>
    </w:p>
    <w:p w14:paraId="2A5A3F31"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D^{L1↔L3d}_t = |INV_t − INV*_t| / Reserves_t (normalised by gross reserves to make magnitudes cross-country comparable)</w:t>
      </w:r>
    </w:p>
    <w:p w14:paraId="6336FFE2"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Threshold</w:t>
      </w:r>
      <w:r w:rsidRPr="00EB15BB">
        <w:rPr>
          <w:rFonts w:ascii="Aptos" w:eastAsia="Times New Roman" w:hAnsi="Aptos" w:cs="Times New Roman"/>
          <w:kern w:val="0"/>
          <w:sz w:val="22"/>
          <w:szCs w:val="22"/>
          <w:lang w:eastAsia="en-GB"/>
          <w14:ligatures w14:val="none"/>
        </w:rPr>
        <w:t>: τ = 2 · σ(D) on the active calibration window. Robustness across {1.5σ, 2σ, 2.5σ}, plus a fixed-magnitude alternative (τ = 1% of reserves per month).</w:t>
      </w:r>
    </w:p>
    <w:p w14:paraId="50036D13"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Auxiliary dimensions</w:t>
      </w:r>
      <w:r w:rsidRPr="00EB15BB">
        <w:rPr>
          <w:rFonts w:ascii="Aptos" w:eastAsia="Times New Roman" w:hAnsi="Aptos" w:cs="Times New Roman"/>
          <w:kern w:val="0"/>
          <w:sz w:val="22"/>
          <w:szCs w:val="22"/>
          <w:lang w:eastAsia="en-GB"/>
          <w14:ligatures w14:val="none"/>
        </w:rPr>
        <w:t xml:space="preserve"> carried separately:</w:t>
      </w:r>
    </w:p>
    <w:p w14:paraId="2E7C41ED" w14:textId="77777777" w:rsidR="00EB15BB" w:rsidRPr="00EB15BB" w:rsidRDefault="00EB15BB" w:rsidP="00EB15BB">
      <w:pPr>
        <w:numPr>
          <w:ilvl w:val="0"/>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Sign</w:t>
      </w:r>
      <w:r w:rsidRPr="00EB15BB">
        <w:rPr>
          <w:rFonts w:ascii="Aptos" w:eastAsia="Times New Roman" w:hAnsi="Aptos" w:cs="Times New Roman"/>
          <w:kern w:val="0"/>
          <w:sz w:val="22"/>
          <w:szCs w:val="22"/>
          <w:lang w:eastAsia="en-GB"/>
          <w14:ligatures w14:val="none"/>
        </w:rPr>
        <w:t xml:space="preserve"> — intervention buying USD (resisting domestic-currency strength) vs selling USD (resisting weakness). Different asset incidence — selling-USD dissonance is the EM stress signature; buying-USD dissonance is rare and typically points to FX management or reserve accumulation.</w:t>
      </w:r>
    </w:p>
    <w:p w14:paraId="6FF9FAA2" w14:textId="77777777" w:rsidR="00EB15BB" w:rsidRPr="00EB15BB" w:rsidRDefault="00EB15BB" w:rsidP="00EB15BB">
      <w:pPr>
        <w:numPr>
          <w:ilvl w:val="0"/>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Reserve-constraint proximity</w:t>
      </w:r>
      <w:r w:rsidRPr="00EB15BB">
        <w:rPr>
          <w:rFonts w:ascii="Aptos" w:eastAsia="Times New Roman" w:hAnsi="Aptos" w:cs="Times New Roman"/>
          <w:kern w:val="0"/>
          <w:sz w:val="22"/>
          <w:szCs w:val="22"/>
          <w:lang w:eastAsia="en-GB"/>
          <w14:ligatures w14:val="none"/>
        </w:rPr>
        <w:t xml:space="preserve"> — Reserves / ARA below 1.0 makes intervention unsustainable irrespective of rule. Binary flag carried alongside D. The classic Turkey 2018–2022 pattern.</w:t>
      </w:r>
    </w:p>
    <w:p w14:paraId="64111B60" w14:textId="77777777" w:rsidR="00EB15BB" w:rsidRPr="00EB15BB" w:rsidRDefault="00EB15BB" w:rsidP="00EB15BB">
      <w:pPr>
        <w:numPr>
          <w:ilvl w:val="0"/>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Sterilisation status</w:t>
      </w:r>
      <w:r w:rsidRPr="00EB15BB">
        <w:rPr>
          <w:rFonts w:ascii="Aptos" w:eastAsia="Times New Roman" w:hAnsi="Aptos" w:cs="Times New Roman"/>
          <w:kern w:val="0"/>
          <w:sz w:val="22"/>
          <w:szCs w:val="22"/>
          <w:lang w:eastAsia="en-GB"/>
          <w14:ligatures w14:val="none"/>
        </w:rPr>
        <w:t xml:space="preserve"> — sterilised vs unsterilised intervention have different monetary-stance implications. Unsterilised intervention without rule justification creates joint L1 ↔ L3a / L1 ↔ L3d dissonance.</w:t>
      </w:r>
    </w:p>
    <w:p w14:paraId="7F541BBF" w14:textId="77777777" w:rsidR="00EB15BB" w:rsidRPr="00EB15BB" w:rsidRDefault="00EB15BB" w:rsidP="00EB15BB">
      <w:pPr>
        <w:numPr>
          <w:ilvl w:val="0"/>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Spot vs forward mix</w:t>
      </w:r>
      <w:r w:rsidRPr="00EB15BB">
        <w:rPr>
          <w:rFonts w:ascii="Aptos" w:eastAsia="Times New Roman" w:hAnsi="Aptos" w:cs="Times New Roman"/>
          <w:kern w:val="0"/>
          <w:sz w:val="22"/>
          <w:szCs w:val="22"/>
          <w:lang w:eastAsia="en-GB"/>
          <w14:ligatures w14:val="none"/>
        </w:rPr>
        <w:t xml:space="preserve"> — quiet FX defence via forward book outside headline reserves is itself a separate flag (intra-L3d) that conditions the L1 ↔ L3d reading.</w:t>
      </w:r>
    </w:p>
    <w:p w14:paraId="58B9617A" w14:textId="77777777" w:rsidR="00EB15BB" w:rsidRPr="00EB15BB" w:rsidRDefault="00EB15BB" w:rsidP="00EB15BB">
      <w:pPr>
        <w:numPr>
          <w:ilvl w:val="0"/>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De jure / de facto gap</w:t>
      </w:r>
      <w:r w:rsidRPr="00EB15BB">
        <w:rPr>
          <w:rFonts w:ascii="Aptos" w:eastAsia="Times New Roman" w:hAnsi="Aptos" w:cs="Times New Roman"/>
          <w:kern w:val="0"/>
          <w:sz w:val="22"/>
          <w:szCs w:val="22"/>
          <w:lang w:eastAsia="en-GB"/>
          <w14:ligatures w14:val="none"/>
        </w:rPr>
        <w:t xml:space="preserve"> — stated regime is float, observed pattern is heavy intervention. Persistent gap is a structural credibility signal even when individual interventions look rule-consistent.</w:t>
      </w:r>
    </w:p>
    <w:p w14:paraId="5ADD5F28" w14:textId="77777777" w:rsidR="00EB15BB" w:rsidRPr="00EB15BB" w:rsidRDefault="00EB15BB" w:rsidP="00EB15B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Design notes</w:t>
      </w:r>
    </w:p>
    <w:p w14:paraId="79987990" w14:textId="77777777" w:rsidR="00EB15BB" w:rsidRPr="00EB15BB" w:rsidRDefault="00EB15BB" w:rsidP="00EB15BB">
      <w:pPr>
        <w:numPr>
          <w:ilvl w:val="0"/>
          <w:numId w:val="2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DM/EM asymmetry is the dominant structural feature</w:t>
      </w:r>
      <w:r w:rsidRPr="00EB15BB">
        <w:rPr>
          <w:rFonts w:ascii="Aptos" w:eastAsia="Times New Roman" w:hAnsi="Aptos" w:cs="Times New Roman"/>
          <w:kern w:val="0"/>
          <w:sz w:val="22"/>
          <w:szCs w:val="22"/>
          <w:lang w:eastAsia="en-GB"/>
          <w14:ligatures w14:val="none"/>
        </w:rPr>
        <w:t>. For most of the DM panel L1 ↔ L3d is null by construction — banks do not intervene. This is not a measurement gap, it is a regime feature, and it produces the cleanest DM/EM divergence in the entire framework. The composite weighting must treat DM-inactive as missing rather than zero, otherwise the EM composite is mechanically inflated and DM mechanically deflated on this edge.</w:t>
      </w:r>
    </w:p>
    <w:p w14:paraId="697C8910" w14:textId="77777777" w:rsidR="00EB15BB" w:rsidRPr="00EB15BB" w:rsidRDefault="00EB15BB" w:rsidP="00EB15BB">
      <w:pPr>
        <w:numPr>
          <w:ilvl w:val="0"/>
          <w:numId w:val="2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Forward-book invisibility is the dominant measurement risk</w:t>
      </w:r>
      <w:r w:rsidRPr="00EB15BB">
        <w:rPr>
          <w:rFonts w:ascii="Aptos" w:eastAsia="Times New Roman" w:hAnsi="Aptos" w:cs="Times New Roman"/>
          <w:kern w:val="0"/>
          <w:sz w:val="22"/>
          <w:szCs w:val="22"/>
          <w:lang w:eastAsia="en-GB"/>
          <w14:ligatures w14:val="none"/>
        </w:rPr>
        <w:t>. BCB's forward book has peaked above $70bn — larger than headline intervention flows. Without forward-book disclosure for Banxico, BI, RBI, and others, the intervention magnitude is systematically underestimated and D is systematically biased toward zero. Where forward-book data is not available, flag the country as low-confidence on L3d and report a wide confidence band.</w:t>
      </w:r>
    </w:p>
    <w:p w14:paraId="69A31F79" w14:textId="77777777" w:rsidR="00EB15BB" w:rsidRPr="00EB15BB" w:rsidRDefault="00EB15BB" w:rsidP="00EB15BB">
      <w:pPr>
        <w:numPr>
          <w:ilvl w:val="0"/>
          <w:numId w:val="2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Reserves constraint is itself the dissonance signal in extremis</w:t>
      </w:r>
      <w:r w:rsidRPr="00EB15BB">
        <w:rPr>
          <w:rFonts w:ascii="Aptos" w:eastAsia="Times New Roman" w:hAnsi="Aptos" w:cs="Times New Roman"/>
          <w:kern w:val="0"/>
          <w:sz w:val="22"/>
          <w:szCs w:val="22"/>
          <w:lang w:eastAsia="en-GB"/>
          <w14:ligatures w14:val="none"/>
        </w:rPr>
        <w:t xml:space="preserve">. The standard D metric flags off-rule intervention magnitude. The reserves-binding case is the </w:t>
      </w:r>
      <w:r w:rsidRPr="00EB15BB">
        <w:rPr>
          <w:rFonts w:ascii="Aptos" w:eastAsia="Times New Roman" w:hAnsi="Aptos" w:cs="Times New Roman"/>
          <w:i/>
          <w:iCs/>
          <w:kern w:val="0"/>
          <w:sz w:val="22"/>
          <w:szCs w:val="22"/>
          <w:lang w:eastAsia="en-GB"/>
          <w14:ligatures w14:val="none"/>
        </w:rPr>
        <w:t>terminal</w:t>
      </w:r>
      <w:r w:rsidRPr="00EB15BB">
        <w:rPr>
          <w:rFonts w:ascii="Aptos" w:eastAsia="Times New Roman" w:hAnsi="Aptos" w:cs="Times New Roman"/>
          <w:kern w:val="0"/>
          <w:sz w:val="22"/>
          <w:szCs w:val="22"/>
          <w:lang w:eastAsia="en-GB"/>
          <w14:ligatures w14:val="none"/>
        </w:rPr>
        <w:t xml:space="preserve"> dissonance — the bank running through its constraint, which often precedes regime change (Turkey 2018–2022, Argentina 2018–2023). Carry the Reserves / ARA threshold as a binary alongside D and let the composite treat them additively. In some empirical specifications, reserves-binding will fire before magnitude-dissonance does — both are needed.</w:t>
      </w:r>
    </w:p>
    <w:p w14:paraId="31FB5E0B" w14:textId="77777777" w:rsidR="00EB15BB" w:rsidRPr="00EB15BB" w:rsidRDefault="004B6E07" w:rsidP="00EB15BB">
      <w:pPr>
        <w:spacing w:after="0" w:line="240" w:lineRule="auto"/>
        <w:rPr>
          <w:rFonts w:ascii="Aptos" w:eastAsia="Times New Roman" w:hAnsi="Aptos" w:cs="Times New Roman"/>
          <w:kern w:val="0"/>
          <w:sz w:val="22"/>
          <w:szCs w:val="22"/>
          <w:lang w:eastAsia="en-GB"/>
          <w14:ligatures w14:val="none"/>
        </w:rPr>
      </w:pPr>
      <w:r w:rsidRPr="004B6E07">
        <w:rPr>
          <w:rFonts w:ascii="Aptos" w:eastAsia="Times New Roman" w:hAnsi="Aptos" w:cs="Times New Roman"/>
          <w:noProof/>
          <w:kern w:val="0"/>
          <w:sz w:val="22"/>
          <w:szCs w:val="22"/>
          <w:lang w:eastAsia="en-GB"/>
        </w:rPr>
        <w:pict w14:anchorId="1F461108">
          <v:rect id="_x0000_i1027" alt="" style="width:451.3pt;height:.05pt;mso-width-percent:0;mso-height-percent:0;mso-width-percent:0;mso-height-percent:0" o:hralign="center" o:hrstd="t" o:hr="t" fillcolor="#a0a0a0" stroked="f"/>
        </w:pict>
      </w:r>
    </w:p>
    <w:p w14:paraId="135393DB"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lastRenderedPageBreak/>
        <w:t>Ready for L1 ↔ L3e when you are.</w:t>
      </w:r>
    </w:p>
    <w:p w14:paraId="6DE97BBE" w14:textId="77777777" w:rsidR="00EB15BB" w:rsidRPr="00EB15BB" w:rsidRDefault="00EB15BB" w:rsidP="00EB15BB">
      <w:pPr>
        <w:rPr>
          <w:rFonts w:ascii="Aptos" w:hAnsi="Aptos"/>
          <w:sz w:val="22"/>
          <w:szCs w:val="22"/>
          <w:lang w:val="en-US"/>
        </w:rPr>
      </w:pPr>
    </w:p>
    <w:p w14:paraId="7ED0875D" w14:textId="77777777" w:rsidR="00EB15BB" w:rsidRPr="00EB15BB" w:rsidRDefault="00EB15BB" w:rsidP="00EB15BB">
      <w:pPr>
        <w:rPr>
          <w:rFonts w:ascii="Aptos" w:hAnsi="Aptos"/>
          <w:sz w:val="22"/>
          <w:szCs w:val="22"/>
          <w:lang w:val="en-US"/>
        </w:rPr>
      </w:pPr>
    </w:p>
    <w:p w14:paraId="32B7E3A0" w14:textId="77777777" w:rsidR="00EB15BB" w:rsidRPr="00EB15BB" w:rsidRDefault="00EB15BB" w:rsidP="00EB15BB">
      <w:pPr>
        <w:rPr>
          <w:rFonts w:ascii="Aptos" w:hAnsi="Aptos"/>
          <w:sz w:val="22"/>
          <w:szCs w:val="22"/>
          <w:lang w:val="en-US"/>
        </w:rPr>
      </w:pPr>
    </w:p>
    <w:p w14:paraId="5F3BEA27" w14:textId="77777777" w:rsidR="00EB15BB" w:rsidRPr="00EB15BB" w:rsidRDefault="00EB15BB" w:rsidP="00EB15BB">
      <w:pPr>
        <w:rPr>
          <w:rFonts w:ascii="Aptos" w:hAnsi="Aptos"/>
          <w:sz w:val="22"/>
          <w:szCs w:val="22"/>
          <w:lang w:val="en-US"/>
        </w:rPr>
      </w:pPr>
    </w:p>
    <w:p w14:paraId="524F3D06" w14:textId="77777777" w:rsidR="00EB15BB" w:rsidRPr="00EB15BB" w:rsidRDefault="00EB15BB" w:rsidP="00EB15BB">
      <w:pPr>
        <w:rPr>
          <w:rFonts w:ascii="Aptos" w:hAnsi="Aptos"/>
          <w:sz w:val="22"/>
          <w:szCs w:val="22"/>
          <w:lang w:val="en-US"/>
        </w:rPr>
      </w:pPr>
    </w:p>
    <w:p w14:paraId="1C78DA3E" w14:textId="77777777" w:rsidR="00EB15BB" w:rsidRPr="00EB15BB" w:rsidRDefault="00EB15BB" w:rsidP="00EB15BB">
      <w:pPr>
        <w:rPr>
          <w:rFonts w:ascii="Aptos" w:hAnsi="Aptos"/>
          <w:sz w:val="22"/>
          <w:szCs w:val="22"/>
          <w:lang w:val="en-US"/>
        </w:rPr>
      </w:pPr>
    </w:p>
    <w:p w14:paraId="702B9AD1" w14:textId="77777777" w:rsidR="00EB15BB" w:rsidRPr="00EB15BB" w:rsidRDefault="00EB15BB" w:rsidP="00EB15BB">
      <w:pPr>
        <w:rPr>
          <w:rFonts w:ascii="Aptos" w:hAnsi="Aptos"/>
          <w:sz w:val="22"/>
          <w:szCs w:val="22"/>
          <w:lang w:val="en-US"/>
        </w:rPr>
      </w:pPr>
    </w:p>
    <w:p w14:paraId="2B73278F" w14:textId="77777777" w:rsidR="00EB15BB" w:rsidRPr="00EB15BB" w:rsidRDefault="00EB15BB" w:rsidP="00EB15BB">
      <w:pPr>
        <w:spacing w:before="100" w:beforeAutospacing="1" w:after="100" w:afterAutospacing="1" w:line="240" w:lineRule="auto"/>
        <w:outlineLvl w:val="0"/>
        <w:rPr>
          <w:rFonts w:ascii="Aptos" w:eastAsia="Times New Roman" w:hAnsi="Aptos" w:cs="Times New Roman"/>
          <w:b/>
          <w:bCs/>
          <w:kern w:val="36"/>
          <w:sz w:val="22"/>
          <w:szCs w:val="22"/>
          <w:lang w:eastAsia="en-GB"/>
          <w14:ligatures w14:val="none"/>
        </w:rPr>
      </w:pPr>
      <w:r w:rsidRPr="00EB15BB">
        <w:rPr>
          <w:rFonts w:ascii="Aptos" w:eastAsia="Times New Roman" w:hAnsi="Aptos" w:cs="Times New Roman"/>
          <w:b/>
          <w:bCs/>
          <w:kern w:val="36"/>
          <w:sz w:val="22"/>
          <w:szCs w:val="22"/>
          <w:lang w:eastAsia="en-GB"/>
          <w14:ligatures w14:val="none"/>
        </w:rPr>
        <w:t>L1 ↔ L3e — Reaction Function ↔ Macroprudential Policy</w:t>
      </w:r>
    </w:p>
    <w:p w14:paraId="7BC16B38" w14:textId="77777777" w:rsidR="00EB15BB" w:rsidRPr="00EB15BB" w:rsidRDefault="00EB15BB" w:rsidP="00EB15B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1. Intensity test</w:t>
      </w:r>
    </w:p>
    <w:p w14:paraId="463B2E1E"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Macropru sits awkwardly relative to L1 — the standard Taylor rule has no financial stability term, so the relationship is structurally indirect. Intensity here is whether macropru deployment is systematic relative to financial stability state variables, and whether it co-moves coherently with the monetary stance. The instrument is heterogeneous (capital, liquidity, borrower-based, sectoral, RR), so intensity is also a function of measurement quality.</w:t>
      </w:r>
    </w:p>
    <w:p w14:paraId="67650897" w14:textId="77777777" w:rsidR="00EB15BB" w:rsidRPr="00EB15BB" w:rsidRDefault="00EB15BB" w:rsidP="00EB15BB">
      <w:pPr>
        <w:numPr>
          <w:ilvl w:val="0"/>
          <w:numId w:val="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Pseudo-R² of an estimated macropru reaction function</w:t>
      </w:r>
      <w:r w:rsidRPr="00EB15BB">
        <w:rPr>
          <w:rFonts w:ascii="Aptos" w:eastAsia="Times New Roman" w:hAnsi="Aptos" w:cs="Times New Roman"/>
          <w:kern w:val="0"/>
          <w:sz w:val="22"/>
          <w:szCs w:val="22"/>
          <w:lang w:eastAsia="en-GB"/>
          <w14:ligatures w14:val="none"/>
        </w:rPr>
        <w:t xml:space="preserve"> — ordered-probit fit on iMaPP actions regressed on {credit-to-GDP gap, house price gap, corporate/household DSR, NBFI growth, FX-credit share}.</w:t>
      </w:r>
    </w:p>
    <w:p w14:paraId="2A0784F0" w14:textId="77777777" w:rsidR="00EB15BB" w:rsidRPr="00EB15BB" w:rsidRDefault="00EB15BB" w:rsidP="00EB15BB">
      <w:pPr>
        <w:numPr>
          <w:ilvl w:val="0"/>
          <w:numId w:val="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Correlation between credit-to-GDP gap and net CCyB calibration</w:t>
      </w:r>
      <w:r w:rsidRPr="00EB15BB">
        <w:rPr>
          <w:rFonts w:ascii="Aptos" w:eastAsia="Times New Roman" w:hAnsi="Aptos" w:cs="Times New Roman"/>
          <w:kern w:val="0"/>
          <w:sz w:val="22"/>
          <w:szCs w:val="22"/>
          <w:lang w:eastAsia="en-GB"/>
          <w14:ligatures w14:val="none"/>
        </w:rPr>
        <w:t xml:space="preserve"> — Basel-reference test: does the buffer track the gap it was designed to respond to?</w:t>
      </w:r>
    </w:p>
    <w:p w14:paraId="7D83BD3B" w14:textId="77777777" w:rsidR="00EB15BB" w:rsidRPr="00EB15BB" w:rsidRDefault="00EB15BB" w:rsidP="00EB15BB">
      <w:pPr>
        <w:numPr>
          <w:ilvl w:val="0"/>
          <w:numId w:val="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Granger causality</w:t>
      </w:r>
      <w:r w:rsidRPr="00EB15BB">
        <w:rPr>
          <w:rFonts w:ascii="Aptos" w:eastAsia="Times New Roman" w:hAnsi="Aptos" w:cs="Times New Roman"/>
          <w:kern w:val="0"/>
          <w:sz w:val="22"/>
          <w:szCs w:val="22"/>
          <w:lang w:eastAsia="en-GB"/>
          <w14:ligatures w14:val="none"/>
        </w:rPr>
        <w:t xml:space="preserve"> from financial stability indicators → macropru actions. Captures whether the bank responds systematically or discretionarily.</w:t>
      </w:r>
    </w:p>
    <w:p w14:paraId="41FF7CAA" w14:textId="77777777" w:rsidR="00EB15BB" w:rsidRPr="00EB15BB" w:rsidRDefault="00EB15BB" w:rsidP="00EB15BB">
      <w:pPr>
        <w:numPr>
          <w:ilvl w:val="0"/>
          <w:numId w:val="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Sub-tool coherence</w:t>
      </w:r>
      <w:r w:rsidRPr="00EB15BB">
        <w:rPr>
          <w:rFonts w:ascii="Aptos" w:eastAsia="Times New Roman" w:hAnsi="Aptos" w:cs="Times New Roman"/>
          <w:kern w:val="0"/>
          <w:sz w:val="22"/>
          <w:szCs w:val="22"/>
          <w:lang w:eastAsia="en-GB"/>
          <w14:ligatures w14:val="none"/>
        </w:rPr>
        <w:t xml:space="preserve"> — within-period correlation across capital, borrower-based, and liquidity sub-indices. Low coherence suggests macropru is being used for unrelated objectives and the aggregate stance metric is unreliable.</w:t>
      </w:r>
    </w:p>
    <w:p w14:paraId="015E65BF"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Sufficiency condition</w:t>
      </w:r>
      <w:r w:rsidRPr="00EB15BB">
        <w:rPr>
          <w:rFonts w:ascii="Aptos" w:eastAsia="Times New Roman" w:hAnsi="Aptos" w:cs="Times New Roman"/>
          <w:kern w:val="0"/>
          <w:sz w:val="22"/>
          <w:szCs w:val="22"/>
          <w:lang w:eastAsia="en-GB"/>
          <w14:ligatures w14:val="none"/>
        </w:rPr>
        <w:t xml:space="preserve"> (pre-registered): the relationship is estimable when (i) the country has ≥ 10 tightening/loosening actions in iMaPP over the sample AND (ii) the framework documents an explicit financial stability mandate (λ &gt; 0 inferable from monetary law / policy framework). Countries failing either flagged inactive. SA is the marginal case — framework exists, deployment minimal; document low-intensity flag and expect near-null D.</w:t>
      </w:r>
    </w:p>
    <w:p w14:paraId="1D71F7A7" w14:textId="77777777" w:rsidR="00EB15BB" w:rsidRPr="00EB15BB" w:rsidRDefault="00EB15BB" w:rsidP="00EB15B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2. Consistency function R^{L1↔L3e}</w:t>
      </w:r>
    </w:p>
    <w:p w14:paraId="38367C0A"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 xml:space="preserve">The monetary rule (L1) responds to inflation and output; macropru responds to financial stability indicators. The two are coupled through the bank's loss function via the λ weight. Equilibrium holds when macropru deployment matches what a </w:t>
      </w:r>
      <w:r w:rsidRPr="00EB15BB">
        <w:rPr>
          <w:rFonts w:ascii="Aptos" w:eastAsia="Times New Roman" w:hAnsi="Aptos" w:cs="Times New Roman"/>
          <w:i/>
          <w:iCs/>
          <w:kern w:val="0"/>
          <w:sz w:val="22"/>
          <w:szCs w:val="22"/>
          <w:lang w:eastAsia="en-GB"/>
          <w14:ligatures w14:val="none"/>
        </w:rPr>
        <w:t>macropru reaction function</w:t>
      </w:r>
      <w:r w:rsidRPr="00EB15BB">
        <w:rPr>
          <w:rFonts w:ascii="Aptos" w:eastAsia="Times New Roman" w:hAnsi="Aptos" w:cs="Times New Roman"/>
          <w:kern w:val="0"/>
          <w:sz w:val="22"/>
          <w:szCs w:val="22"/>
          <w:lang w:eastAsia="en-GB"/>
          <w14:ligatures w14:val="none"/>
        </w:rPr>
        <w:t xml:space="preserve"> would prescribe given financial stability state and the monetary rule's stance:</w:t>
      </w:r>
    </w:p>
    <w:p w14:paraId="1D415DB8"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R^{L1↔L3e}(MP_t, FS_state_t, ε^{L1↔L3a}_t; ω̂) = MP_t − MP*_t</w:t>
      </w:r>
    </w:p>
    <w:p w14:paraId="6FB5220D"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lastRenderedPageBreak/>
        <w:t>where MP*_t is the macropru-rule implied stance:</w:t>
      </w:r>
    </w:p>
    <w:p w14:paraId="12E82E22"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MP*_t = ω_0 + ω_1 · cred_gap_t + ω_2 · house_gap_t + ω_3 · DSR_t + ω_4 · NBFI_growth_t + ω_5 · FX_credit_share_t + ω_6 · ε^{L1↔L3a}_t</w:t>
      </w:r>
    </w:p>
    <w:p w14:paraId="703E86EB" w14:textId="77777777" w:rsidR="00EB15BB" w:rsidRPr="00EB15BB" w:rsidRDefault="00EB15BB" w:rsidP="00EB15BB">
      <w:pPr>
        <w:numPr>
          <w:ilvl w:val="0"/>
          <w:numId w:val="2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cred_gap_t: BIS credit-to-GDP gap (Basel CCyB reference variable).</w:t>
      </w:r>
    </w:p>
    <w:p w14:paraId="29CAEAE5" w14:textId="77777777" w:rsidR="00EB15BB" w:rsidRPr="00EB15BB" w:rsidRDefault="00EB15BB" w:rsidP="00EB15BB">
      <w:pPr>
        <w:numPr>
          <w:ilvl w:val="0"/>
          <w:numId w:val="2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house_gap_t: house price z-score relative to long-run trend.</w:t>
      </w:r>
    </w:p>
    <w:p w14:paraId="68A220E4" w14:textId="77777777" w:rsidR="00EB15BB" w:rsidRPr="00EB15BB" w:rsidRDefault="00EB15BB" w:rsidP="00EB15BB">
      <w:pPr>
        <w:numPr>
          <w:ilvl w:val="0"/>
          <w:numId w:val="2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DSR_t: household + corporate debt-service ratio.</w:t>
      </w:r>
    </w:p>
    <w:p w14:paraId="2ED4B288" w14:textId="77777777" w:rsidR="00EB15BB" w:rsidRPr="00EB15BB" w:rsidRDefault="00EB15BB" w:rsidP="00EB15BB">
      <w:pPr>
        <w:numPr>
          <w:ilvl w:val="0"/>
          <w:numId w:val="2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NBFI_growth_t: shadow-bank growth where measurable (perimeter-leakage proxy).</w:t>
      </w:r>
    </w:p>
    <w:p w14:paraId="30D1CDDE" w14:textId="77777777" w:rsidR="00EB15BB" w:rsidRPr="00EB15BB" w:rsidRDefault="00EB15BB" w:rsidP="00EB15BB">
      <w:pPr>
        <w:numPr>
          <w:ilvl w:val="0"/>
          <w:numId w:val="2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FX_credit_share_t: foreign-currency lending share (relevant for CEE, parts of LatAm).</w:t>
      </w:r>
    </w:p>
    <w:p w14:paraId="7BD39BE8" w14:textId="77777777" w:rsidR="00EB15BB" w:rsidRPr="00EB15BB" w:rsidRDefault="00EB15BB" w:rsidP="00EB15BB">
      <w:pPr>
        <w:numPr>
          <w:ilvl w:val="0"/>
          <w:numId w:val="2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ε^{L1↔L3a}_t: Taylor residual. Captures the substitute relationship — when monetary policy is constrained (positive ε, off-rule tightening blocked), macropru is expected to compensate.</w:t>
      </w:r>
    </w:p>
    <w:p w14:paraId="00110075"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Pre-registered specifications</w:t>
      </w:r>
    </w:p>
    <w:p w14:paraId="274B2EA5" w14:textId="77777777" w:rsidR="00EB15BB" w:rsidRPr="00EB15BB" w:rsidRDefault="00EB15BB" w:rsidP="00EB15BB">
      <w:pPr>
        <w:numPr>
          <w:ilvl w:val="0"/>
          <w:numId w:val="2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Macropru stance MP_t: iMaPP cumulative net tightening (Alam et al. 2019) as headline; custom country-weighted aggregation as comparator (weights for CCyB level, LTV cap, RR by importance).</w:t>
      </w:r>
    </w:p>
    <w:p w14:paraId="0A4934E1" w14:textId="77777777" w:rsidR="00EB15BB" w:rsidRPr="00EB15BB" w:rsidRDefault="00EB15BB" w:rsidP="00EB15BB">
      <w:pPr>
        <w:numPr>
          <w:ilvl w:val="0"/>
          <w:numId w:val="2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Sub-indices: capital, borrower-based, liquidity, sectoral, RR tracked separately. Aggregate D plus disaggregated diagnostic.</w:t>
      </w:r>
    </w:p>
    <w:p w14:paraId="357E610C" w14:textId="77777777" w:rsidR="00EB15BB" w:rsidRPr="00EB15BB" w:rsidRDefault="00EB15BB" w:rsidP="00EB15BB">
      <w:pPr>
        <w:numPr>
          <w:ilvl w:val="0"/>
          <w:numId w:val="2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DM panel: macropru as complement to monetary in normal times; the post-2008 "loose monetary + tight macropru" regime is the modal case. UK (FPC since 2013), Nordics, NZ, Australia as the most active sub-panel.</w:t>
      </w:r>
    </w:p>
    <w:p w14:paraId="4C5DE3DF" w14:textId="77777777" w:rsidR="00EB15BB" w:rsidRPr="00EB15BB" w:rsidRDefault="00EB15BB" w:rsidP="00EB15BB">
      <w:pPr>
        <w:numPr>
          <w:ilvl w:val="0"/>
          <w:numId w:val="2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EM panel: macropru as substitute for the rate when external constraints bind. BCB, Banxico, BI, RBI as the most active sub-panel.</w:t>
      </w:r>
    </w:p>
    <w:p w14:paraId="48FBCC09" w14:textId="77777777" w:rsidR="00EB15BB" w:rsidRPr="00EB15BB" w:rsidRDefault="00EB15BB" w:rsidP="00EB15BB">
      <w:pPr>
        <w:numPr>
          <w:ilvl w:val="0"/>
          <w:numId w:val="2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SA: estimated with explicit low-intensity flag. Expect MP* ≈ 0 most periods; documented passive-deployment regime.</w:t>
      </w:r>
    </w:p>
    <w:p w14:paraId="7ECF4FEE"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Estimation</w:t>
      </w:r>
    </w:p>
    <w:p w14:paraId="723A556B" w14:textId="77777777" w:rsidR="00EB15BB" w:rsidRPr="00EB15BB" w:rsidRDefault="00EB15BB" w:rsidP="00EB15BB">
      <w:pPr>
        <w:numPr>
          <w:ilvl w:val="0"/>
          <w:numId w:val="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Ordered probit</w:t>
      </w:r>
      <w:r w:rsidRPr="00EB15BB">
        <w:rPr>
          <w:rFonts w:ascii="Aptos" w:eastAsia="Times New Roman" w:hAnsi="Aptos" w:cs="Times New Roman"/>
          <w:kern w:val="0"/>
          <w:sz w:val="22"/>
          <w:szCs w:val="22"/>
          <w:lang w:eastAsia="en-GB"/>
          <w14:ligatures w14:val="none"/>
        </w:rPr>
        <w:t xml:space="preserve"> on iMaPP discrete actions {−1 = loosen, 0 = hold, +1 = tighten}, with sub-tool fixed effects to absorb instrument heterogeneity.</w:t>
      </w:r>
    </w:p>
    <w:p w14:paraId="42EBE2BB" w14:textId="77777777" w:rsidR="00EB15BB" w:rsidRPr="00EB15BB" w:rsidRDefault="00EB15BB" w:rsidP="00EB15BB">
      <w:pPr>
        <w:numPr>
          <w:ilvl w:val="0"/>
          <w:numId w:val="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Cross-country panel</w:t>
      </w:r>
      <w:r w:rsidRPr="00EB15BB">
        <w:rPr>
          <w:rFonts w:ascii="Aptos" w:eastAsia="Times New Roman" w:hAnsi="Aptos" w:cs="Times New Roman"/>
          <w:kern w:val="0"/>
          <w:sz w:val="22"/>
          <w:szCs w:val="22"/>
          <w:lang w:eastAsia="en-GB"/>
          <w14:ligatures w14:val="none"/>
        </w:rPr>
        <w:t xml:space="preserve"> with regime fixed effects (DM-pre2008, DM-post2008, EM) — macropru architecture changed fundamentally post-Basel-III.</w:t>
      </w:r>
    </w:p>
    <w:p w14:paraId="6E65F952" w14:textId="77777777" w:rsidR="00EB15BB" w:rsidRPr="00EB15BB" w:rsidRDefault="00EB15BB" w:rsidP="00EB15BB">
      <w:pPr>
        <w:numPr>
          <w:ilvl w:val="0"/>
          <w:numId w:val="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Sample: 2005–2024 with pre/post-2008 explicit split. Pre-2008 macropru is largely RR-only for the EM panel.</w:t>
      </w:r>
    </w:p>
    <w:p w14:paraId="591AB360" w14:textId="77777777" w:rsidR="00EB15BB" w:rsidRPr="00EB15BB" w:rsidRDefault="00EB15BB" w:rsidP="00EB15BB">
      <w:pPr>
        <w:numPr>
          <w:ilvl w:val="0"/>
          <w:numId w:val="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For countries with explicit CCyB calibration (UK, Nordics, several EU), supplement the probit with a continuous CCyB-percentage regression as a cross-check.</w:t>
      </w:r>
    </w:p>
    <w:p w14:paraId="70605BFD"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By construction E[R^{L1↔L3e}] = 0 in the active calibration window where macropru is being used.</w:t>
      </w:r>
    </w:p>
    <w:p w14:paraId="3BB5EB40" w14:textId="77777777" w:rsidR="00EB15BB" w:rsidRPr="00EB15BB" w:rsidRDefault="00EB15BB" w:rsidP="00EB15B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3. Dissonance function</w:t>
      </w:r>
    </w:p>
    <w:p w14:paraId="4D0ED722"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D^{L1↔L3e}_t = |MP_t − MP*_t|</w:t>
      </w:r>
    </w:p>
    <w:p w14:paraId="4D6007DF"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Threshold</w:t>
      </w:r>
      <w:r w:rsidRPr="00EB15BB">
        <w:rPr>
          <w:rFonts w:ascii="Aptos" w:eastAsia="Times New Roman" w:hAnsi="Aptos" w:cs="Times New Roman"/>
          <w:kern w:val="0"/>
          <w:sz w:val="22"/>
          <w:szCs w:val="22"/>
          <w:lang w:eastAsia="en-GB"/>
          <w14:ligatures w14:val="none"/>
        </w:rPr>
        <w:t>: τ = 2 · σ(D) on the active calibration window. Robustness across {1.5σ, 2σ, 2.5σ}. Discrete-action structure means D is coarser than for L1 ↔ L3a — note in the data appendix.</w:t>
      </w:r>
    </w:p>
    <w:p w14:paraId="781ACBA7"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Auxiliary dimensions</w:t>
      </w:r>
      <w:r w:rsidRPr="00EB15BB">
        <w:rPr>
          <w:rFonts w:ascii="Aptos" w:eastAsia="Times New Roman" w:hAnsi="Aptos" w:cs="Times New Roman"/>
          <w:kern w:val="0"/>
          <w:sz w:val="22"/>
          <w:szCs w:val="22"/>
          <w:lang w:eastAsia="en-GB"/>
          <w14:ligatures w14:val="none"/>
        </w:rPr>
        <w:t xml:space="preserve"> carried separately:</w:t>
      </w:r>
    </w:p>
    <w:p w14:paraId="3703B71C" w14:textId="77777777" w:rsidR="00EB15BB" w:rsidRPr="00EB15BB" w:rsidRDefault="00EB15BB" w:rsidP="00EB15BB">
      <w:pPr>
        <w:numPr>
          <w:ilvl w:val="0"/>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lastRenderedPageBreak/>
        <w:t>Sign</w:t>
      </w:r>
      <w:r w:rsidRPr="00EB15BB">
        <w:rPr>
          <w:rFonts w:ascii="Aptos" w:eastAsia="Times New Roman" w:hAnsi="Aptos" w:cs="Times New Roman"/>
          <w:kern w:val="0"/>
          <w:sz w:val="22"/>
          <w:szCs w:val="22"/>
          <w:lang w:eastAsia="en-GB"/>
          <w14:ligatures w14:val="none"/>
        </w:rPr>
        <w:t xml:space="preserve"> — macropru tighter-than-rule (pre-emptive) vs looser-than-rule (under-response to credit boom). Asset incidence differs: pre-emptive tightening compresses bank equity and credit spreads; under-response builds tail risk priced in vol and credit later.</w:t>
      </w:r>
    </w:p>
    <w:p w14:paraId="2494872A" w14:textId="77777777" w:rsidR="00EB15BB" w:rsidRPr="00EB15BB" w:rsidRDefault="00EB15BB" w:rsidP="00EB15BB">
      <w:pPr>
        <w:numPr>
          <w:ilvl w:val="0"/>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Sub-tool divergence</w:t>
      </w:r>
      <w:r w:rsidRPr="00EB15BB">
        <w:rPr>
          <w:rFonts w:ascii="Aptos" w:eastAsia="Times New Roman" w:hAnsi="Aptos" w:cs="Times New Roman"/>
          <w:kern w:val="0"/>
          <w:sz w:val="22"/>
          <w:szCs w:val="22"/>
          <w:lang w:eastAsia="en-GB"/>
          <w14:ligatures w14:val="none"/>
        </w:rPr>
        <w:t xml:space="preserve"> — capital-based tightening while borrower-based loosening (or vice versa) creates intra-L3e dissonance that conditions L1 ↔ L3e. Track sub-tool z-scores against the aggregate.</w:t>
      </w:r>
    </w:p>
    <w:p w14:paraId="71120F80" w14:textId="77777777" w:rsidR="00EB15BB" w:rsidRPr="00EB15BB" w:rsidRDefault="00EB15BB" w:rsidP="00EB15BB">
      <w:pPr>
        <w:numPr>
          <w:ilvl w:val="0"/>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Perimeter-leakage flag</w:t>
      </w:r>
      <w:r w:rsidRPr="00EB15BB">
        <w:rPr>
          <w:rFonts w:ascii="Aptos" w:eastAsia="Times New Roman" w:hAnsi="Aptos" w:cs="Times New Roman"/>
          <w:kern w:val="0"/>
          <w:sz w:val="22"/>
          <w:szCs w:val="22"/>
          <w:lang w:eastAsia="en-GB"/>
          <w14:ligatures w14:val="none"/>
        </w:rPr>
        <w:t xml:space="preserve"> — macropru tightens but NBFI growth accelerates. Captures the post-2008 risk-migration pattern; downstream connection to L3e → L5b. Carry as a binary alongside D.</w:t>
      </w:r>
    </w:p>
    <w:p w14:paraId="5CE99902" w14:textId="77777777" w:rsidR="00EB15BB" w:rsidRPr="00EB15BB" w:rsidRDefault="00EB15BB" w:rsidP="00EB15BB">
      <w:pPr>
        <w:numPr>
          <w:ilvl w:val="0"/>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Cross-stance coherence with L3a</w:t>
      </w:r>
      <w:r w:rsidRPr="00EB15BB">
        <w:rPr>
          <w:rFonts w:ascii="Aptos" w:eastAsia="Times New Roman" w:hAnsi="Aptos" w:cs="Times New Roman"/>
          <w:kern w:val="0"/>
          <w:sz w:val="22"/>
          <w:szCs w:val="22"/>
          <w:lang w:eastAsia="en-GB"/>
          <w14:ligatures w14:val="none"/>
        </w:rPr>
        <w:t xml:space="preserve"> — monetary tightening + macropru tightening simultaneously is rare and aggressive (1990s-style); monetary loose + macropru tight is the post-2008 DM playbook. The combination read against the loss function's λ is the deeper structural signal.</w:t>
      </w:r>
    </w:p>
    <w:p w14:paraId="089FD725" w14:textId="77777777" w:rsidR="00EB15BB" w:rsidRPr="00EB15BB" w:rsidRDefault="00EB15BB" w:rsidP="00EB15BB">
      <w:pPr>
        <w:spacing w:before="100" w:beforeAutospacing="1" w:after="100" w:afterAutospacing="1" w:line="240" w:lineRule="auto"/>
        <w:outlineLvl w:val="1"/>
        <w:rPr>
          <w:rFonts w:ascii="Aptos" w:eastAsia="Times New Roman" w:hAnsi="Aptos" w:cs="Times New Roman"/>
          <w:b/>
          <w:bCs/>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Design notes</w:t>
      </w:r>
    </w:p>
    <w:p w14:paraId="770D4BC1" w14:textId="77777777" w:rsidR="00EB15BB" w:rsidRPr="00EB15BB" w:rsidRDefault="00EB15BB" w:rsidP="00EB15BB">
      <w:pPr>
        <w:numPr>
          <w:ilvl w:val="0"/>
          <w:numId w:val="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L1 ↔ L3e is structurally an L2 question forced through an L1 lens</w:t>
      </w:r>
      <w:r w:rsidRPr="00EB15BB">
        <w:rPr>
          <w:rFonts w:ascii="Aptos" w:eastAsia="Times New Roman" w:hAnsi="Aptos" w:cs="Times New Roman"/>
          <w:kern w:val="0"/>
          <w:sz w:val="22"/>
          <w:szCs w:val="22"/>
          <w:lang w:eastAsia="en-GB"/>
          <w14:ligatures w14:val="none"/>
        </w:rPr>
        <w:t xml:space="preserve">. The financial stability term lives in the loss function (λ), not the standard Taylor rule. We're estimating an </w:t>
      </w:r>
      <w:r w:rsidRPr="00EB15BB">
        <w:rPr>
          <w:rFonts w:ascii="Aptos" w:eastAsia="Times New Roman" w:hAnsi="Aptos" w:cs="Times New Roman"/>
          <w:i/>
          <w:iCs/>
          <w:kern w:val="0"/>
          <w:sz w:val="22"/>
          <w:szCs w:val="22"/>
          <w:lang w:eastAsia="en-GB"/>
          <w14:ligatures w14:val="none"/>
        </w:rPr>
        <w:t>implicit</w:t>
      </w:r>
      <w:r w:rsidRPr="00EB15BB">
        <w:rPr>
          <w:rFonts w:ascii="Aptos" w:eastAsia="Times New Roman" w:hAnsi="Aptos" w:cs="Times New Roman"/>
          <w:kern w:val="0"/>
          <w:sz w:val="22"/>
          <w:szCs w:val="22"/>
          <w:lang w:eastAsia="en-GB"/>
          <w14:ligatures w14:val="none"/>
        </w:rPr>
        <w:t xml:space="preserve"> macropru rule because the bank's stated rule doesn't include one. The relationship will become tighter and cleaner when we get to L2 ↔ L3e — at which point L1 ↔ L3e can be reframed as the joint-instrument consistency check derived from the loss-function-level test. Worth flagging in the thesis as a definitional choice rather than a measurement gap.</w:t>
      </w:r>
    </w:p>
    <w:p w14:paraId="5420167C" w14:textId="77777777" w:rsidR="00EB15BB" w:rsidRPr="00EB15BB" w:rsidRDefault="00EB15BB" w:rsidP="00EB15BB">
      <w:pPr>
        <w:numPr>
          <w:ilvl w:val="0"/>
          <w:numId w:val="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Discrete data is a power problem</w:t>
      </w:r>
      <w:r w:rsidRPr="00EB15BB">
        <w:rPr>
          <w:rFonts w:ascii="Aptos" w:eastAsia="Times New Roman" w:hAnsi="Aptos" w:cs="Times New Roman"/>
          <w:kern w:val="0"/>
          <w:sz w:val="22"/>
          <w:szCs w:val="22"/>
          <w:lang w:eastAsia="en-GB"/>
          <w14:ligatures w14:val="none"/>
        </w:rPr>
        <w:t>. iMaPP actions are coded {−1, 0, +1} per tool per period; the underlying stance is continuous. The ordered-probit approach loses information that an OLS framework (used for L1 ↔ L3a) does not lose. Expect lower statistical power, wider confidence bands, and noisier D. Where explicit calibration data exists (CCyB percentages in the UK, Nordics), use the continuous version and document the precision gain.</w:t>
      </w:r>
    </w:p>
    <w:p w14:paraId="6E0B781F" w14:textId="77777777" w:rsidR="00EB15BB" w:rsidRPr="00EB15BB" w:rsidRDefault="00EB15BB" w:rsidP="00EB15BB">
      <w:pPr>
        <w:numPr>
          <w:ilvl w:val="0"/>
          <w:numId w:val="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Perimeter leakage is the post-2008 structural pattern</w:t>
      </w:r>
      <w:r w:rsidRPr="00EB15BB">
        <w:rPr>
          <w:rFonts w:ascii="Aptos" w:eastAsia="Times New Roman" w:hAnsi="Aptos" w:cs="Times New Roman"/>
          <w:kern w:val="0"/>
          <w:sz w:val="22"/>
          <w:szCs w:val="22"/>
          <w:lang w:eastAsia="en-GB"/>
          <w14:ligatures w14:val="none"/>
        </w:rPr>
        <w:t xml:space="preserve">. Macropru tightens on banks, risk migrates to NBFI, aggregate financial stability does not improve. The metric will flag </w:t>
      </w:r>
      <w:r w:rsidRPr="00EB15BB">
        <w:rPr>
          <w:rFonts w:ascii="Aptos" w:eastAsia="Times New Roman" w:hAnsi="Aptos" w:cs="Times New Roman"/>
          <w:i/>
          <w:iCs/>
          <w:kern w:val="0"/>
          <w:sz w:val="22"/>
          <w:szCs w:val="22"/>
          <w:lang w:eastAsia="en-GB"/>
          <w14:ligatures w14:val="none"/>
        </w:rPr>
        <w:t>non-leaking</w:t>
      </w:r>
      <w:r w:rsidRPr="00EB15BB">
        <w:rPr>
          <w:rFonts w:ascii="Aptos" w:eastAsia="Times New Roman" w:hAnsi="Aptos" w:cs="Times New Roman"/>
          <w:kern w:val="0"/>
          <w:sz w:val="22"/>
          <w:szCs w:val="22"/>
          <w:lang w:eastAsia="en-GB"/>
          <w14:ligatures w14:val="none"/>
        </w:rPr>
        <w:t xml:space="preserve"> macropru tightening as on-rule; </w:t>
      </w:r>
      <w:r w:rsidRPr="00EB15BB">
        <w:rPr>
          <w:rFonts w:ascii="Aptos" w:eastAsia="Times New Roman" w:hAnsi="Aptos" w:cs="Times New Roman"/>
          <w:i/>
          <w:iCs/>
          <w:kern w:val="0"/>
          <w:sz w:val="22"/>
          <w:szCs w:val="22"/>
          <w:lang w:eastAsia="en-GB"/>
          <w14:ligatures w14:val="none"/>
        </w:rPr>
        <w:t>leaking</w:t>
      </w:r>
      <w:r w:rsidRPr="00EB15BB">
        <w:rPr>
          <w:rFonts w:ascii="Aptos" w:eastAsia="Times New Roman" w:hAnsi="Aptos" w:cs="Times New Roman"/>
          <w:kern w:val="0"/>
          <w:sz w:val="22"/>
          <w:szCs w:val="22"/>
          <w:lang w:eastAsia="en-GB"/>
          <w14:ligatures w14:val="none"/>
        </w:rPr>
        <w:t xml:space="preserve"> tightening also looks on-rule because the action was taken. The leakage shows up only at L3e → L5b. This means a high-confidence reading on L1 ↔ L3e requires consulting the NBFI-state node — a vertical-edge dependency worth noting now.</w:t>
      </w:r>
    </w:p>
    <w:p w14:paraId="490C3EBD" w14:textId="77777777" w:rsidR="00EB15BB" w:rsidRPr="00EB15BB" w:rsidRDefault="00EB15BB" w:rsidP="00EB15BB">
      <w:pPr>
        <w:numPr>
          <w:ilvl w:val="0"/>
          <w:numId w:val="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b/>
          <w:bCs/>
          <w:kern w:val="0"/>
          <w:sz w:val="22"/>
          <w:szCs w:val="22"/>
          <w:lang w:eastAsia="en-GB"/>
          <w14:ligatures w14:val="none"/>
        </w:rPr>
        <w:t>SA is a documented low-intensity case, not a measurement failure</w:t>
      </w:r>
      <w:r w:rsidRPr="00EB15BB">
        <w:rPr>
          <w:rFonts w:ascii="Aptos" w:eastAsia="Times New Roman" w:hAnsi="Aptos" w:cs="Times New Roman"/>
          <w:kern w:val="0"/>
          <w:sz w:val="22"/>
          <w:szCs w:val="22"/>
          <w:lang w:eastAsia="en-GB"/>
          <w14:ligatures w14:val="none"/>
        </w:rPr>
        <w:t>. SARB's macropru is genuinely passive — CCyB at 0% throughout the sample, no LTV/DTI framework, conservative deployment. The expected SA-specific result is that MP_t ≈ MP*_t ≈ 0 most periods, with D firing only at rare structural moments. This is consistent with SARB's broader orthodox posture and should be reported as a country-feature, not a calibration problem.</w:t>
      </w:r>
    </w:p>
    <w:p w14:paraId="75CFADB3" w14:textId="77777777" w:rsidR="00EB15BB" w:rsidRPr="00EB15BB" w:rsidRDefault="004B6E07" w:rsidP="00EB15BB">
      <w:pPr>
        <w:spacing w:after="0" w:line="240" w:lineRule="auto"/>
        <w:rPr>
          <w:rFonts w:ascii="Aptos" w:eastAsia="Times New Roman" w:hAnsi="Aptos" w:cs="Times New Roman"/>
          <w:kern w:val="0"/>
          <w:sz w:val="22"/>
          <w:szCs w:val="22"/>
          <w:lang w:eastAsia="en-GB"/>
          <w14:ligatures w14:val="none"/>
        </w:rPr>
      </w:pPr>
      <w:r w:rsidRPr="004B6E07">
        <w:rPr>
          <w:rFonts w:ascii="Aptos" w:eastAsia="Times New Roman" w:hAnsi="Aptos" w:cs="Times New Roman"/>
          <w:noProof/>
          <w:kern w:val="0"/>
          <w:sz w:val="22"/>
          <w:szCs w:val="22"/>
          <w:lang w:eastAsia="en-GB"/>
        </w:rPr>
        <w:pict w14:anchorId="784CE2DC">
          <v:rect id="_x0000_i1026" alt="" style="width:451.3pt;height:.05pt;mso-width-percent:0;mso-height-percent:0;mso-width-percent:0;mso-height-percent:0" o:hralign="center" o:hrstd="t" o:hr="t" fillcolor="#a0a0a0" stroked="f"/>
        </w:pict>
      </w:r>
    </w:p>
    <w:p w14:paraId="3B47B273" w14:textId="77777777" w:rsidR="00EB15BB" w:rsidRPr="00EB15BB" w:rsidRDefault="00EB15BB" w:rsidP="00EB15BB">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EB15BB">
        <w:rPr>
          <w:rFonts w:ascii="Aptos" w:eastAsia="Times New Roman" w:hAnsi="Aptos" w:cs="Times New Roman"/>
          <w:kern w:val="0"/>
          <w:sz w:val="22"/>
          <w:szCs w:val="22"/>
          <w:lang w:eastAsia="en-GB"/>
          <w14:ligatures w14:val="none"/>
        </w:rPr>
        <w:t>Ready for L1 ↔ L3f when you are.</w:t>
      </w:r>
    </w:p>
    <w:p w14:paraId="3337C659" w14:textId="77777777" w:rsidR="00EB15BB" w:rsidRPr="00EB15BB" w:rsidRDefault="00EB15BB" w:rsidP="00EB15BB">
      <w:pPr>
        <w:rPr>
          <w:rFonts w:ascii="Aptos" w:hAnsi="Aptos"/>
          <w:sz w:val="22"/>
          <w:szCs w:val="22"/>
          <w:lang w:val="en-US"/>
        </w:rPr>
      </w:pPr>
    </w:p>
    <w:p w14:paraId="73593F0B" w14:textId="77777777" w:rsidR="00EB15BB" w:rsidRPr="00EB15BB" w:rsidRDefault="00EB15BB" w:rsidP="00EB15BB">
      <w:pPr>
        <w:rPr>
          <w:rFonts w:ascii="Aptos" w:hAnsi="Aptos"/>
          <w:sz w:val="22"/>
          <w:szCs w:val="22"/>
          <w:lang w:val="en-US"/>
        </w:rPr>
      </w:pPr>
    </w:p>
    <w:p w14:paraId="1052CA47" w14:textId="77777777" w:rsidR="00EB15BB" w:rsidRPr="00EB15BB" w:rsidRDefault="00EB15BB" w:rsidP="00EB15BB">
      <w:pPr>
        <w:rPr>
          <w:rFonts w:ascii="Aptos" w:hAnsi="Aptos"/>
          <w:sz w:val="22"/>
          <w:szCs w:val="22"/>
          <w:lang w:val="en-US"/>
        </w:rPr>
      </w:pPr>
    </w:p>
    <w:p w14:paraId="18001F12" w14:textId="77777777" w:rsidR="00EB15BB" w:rsidRPr="00EB15BB" w:rsidRDefault="00EB15BB" w:rsidP="00EB15B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EB15BB">
        <w:rPr>
          <w:rFonts w:ascii="Times New Roman" w:eastAsia="Times New Roman" w:hAnsi="Times New Roman" w:cs="Times New Roman"/>
          <w:b/>
          <w:bCs/>
          <w:kern w:val="36"/>
          <w:sz w:val="48"/>
          <w:szCs w:val="48"/>
          <w:lang w:eastAsia="en-GB"/>
          <w14:ligatures w14:val="none"/>
        </w:rPr>
        <w:lastRenderedPageBreak/>
        <w:t>L1 ↔ L3f — Reaction Function ↔ Liquidity Facilities</w:t>
      </w:r>
    </w:p>
    <w:p w14:paraId="57B4C004" w14:textId="77777777" w:rsidR="00EB15BB" w:rsidRPr="00EB15BB" w:rsidRDefault="00EB15BB" w:rsidP="00EB15BB">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EB15BB">
        <w:rPr>
          <w:rFonts w:ascii="Times New Roman" w:eastAsia="Times New Roman" w:hAnsi="Times New Roman" w:cs="Times New Roman"/>
          <w:b/>
          <w:bCs/>
          <w:kern w:val="0"/>
          <w:sz w:val="36"/>
          <w:szCs w:val="36"/>
          <w:lang w:eastAsia="en-GB"/>
          <w14:ligatures w14:val="none"/>
        </w:rPr>
        <w:t>1. Intensity test</w:t>
      </w:r>
    </w:p>
    <w:p w14:paraId="4C37486C" w14:textId="77777777" w:rsidR="00EB15BB" w:rsidRPr="00EB15BB" w:rsidRDefault="00EB15BB" w:rsidP="00EB15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kern w:val="0"/>
          <w:lang w:eastAsia="en-GB"/>
          <w14:ligatures w14:val="none"/>
        </w:rPr>
        <w:t>Facilities are orthogonal to the standard reaction function — L1 responds to inflation and output, L3f responds to funding stress. The relationship is structurally indirect, like L1 ↔ L3e but with a more episodic activation profile. Intensity here is whether facility deployment is systematic relative to funding-stress state variables, and whether availability has measurable effect even when utilisation is low.</w:t>
      </w:r>
    </w:p>
    <w:p w14:paraId="7FE23172" w14:textId="77777777" w:rsidR="00EB15BB" w:rsidRPr="00EB15BB" w:rsidRDefault="00EB15BB" w:rsidP="00EB15BB">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t>Pseudo-R² of a facility-deployment rule</w:t>
      </w:r>
      <w:r w:rsidRPr="00EB15BB">
        <w:rPr>
          <w:rFonts w:ascii="Times New Roman" w:eastAsia="Times New Roman" w:hAnsi="Times New Roman" w:cs="Times New Roman"/>
          <w:kern w:val="0"/>
          <w:lang w:eastAsia="en-GB"/>
          <w14:ligatures w14:val="none"/>
        </w:rPr>
        <w:t xml:space="preserve"> — Tobit or two-part probit-OLS on facility utilisation regressed on {LIBOR-OIS, FRA-OIS, CIP basis, bank CDS, MMF flow stress, repo-spike indicator}. Captures whether deployment is rule-shaped or purely discretionary.</w:t>
      </w:r>
    </w:p>
    <w:p w14:paraId="238FD6EE" w14:textId="77777777" w:rsidR="00EB15BB" w:rsidRPr="00EB15BB" w:rsidRDefault="00EB15BB" w:rsidP="00EB15BB">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t>Correlation between funding-stress spikes and discount-window / SRF / crisis-facility usage</w:t>
      </w:r>
      <w:r w:rsidRPr="00EB15BB">
        <w:rPr>
          <w:rFonts w:ascii="Times New Roman" w:eastAsia="Times New Roman" w:hAnsi="Times New Roman" w:cs="Times New Roman"/>
          <w:kern w:val="0"/>
          <w:lang w:eastAsia="en-GB"/>
          <w14:ligatures w14:val="none"/>
        </w:rPr>
        <w:t xml:space="preserve"> — bivariate at event frequency.</w:t>
      </w:r>
    </w:p>
    <w:p w14:paraId="60352D52" w14:textId="77777777" w:rsidR="00EB15BB" w:rsidRPr="00EB15BB" w:rsidRDefault="00EB15BB" w:rsidP="00EB15BB">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t>Granger causality</w:t>
      </w:r>
      <w:r w:rsidRPr="00EB15BB">
        <w:rPr>
          <w:rFonts w:ascii="Times New Roman" w:eastAsia="Times New Roman" w:hAnsi="Times New Roman" w:cs="Times New Roman"/>
          <w:kern w:val="0"/>
          <w:lang w:eastAsia="en-GB"/>
          <w14:ligatures w14:val="none"/>
        </w:rPr>
        <w:t xml:space="preserve"> from funding spreads → facility activity. Validates the directional assumption.</w:t>
      </w:r>
    </w:p>
    <w:p w14:paraId="731879DA" w14:textId="77777777" w:rsidR="00EB15BB" w:rsidRPr="00EB15BB" w:rsidRDefault="00EB15BB" w:rsidP="00EB15BB">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t>Stigma premium estimation</w:t>
      </w:r>
      <w:r w:rsidRPr="00EB15BB">
        <w:rPr>
          <w:rFonts w:ascii="Times New Roman" w:eastAsia="Times New Roman" w:hAnsi="Times New Roman" w:cs="Times New Roman"/>
          <w:kern w:val="0"/>
          <w:lang w:eastAsia="en-GB"/>
          <w14:ligatures w14:val="none"/>
        </w:rPr>
        <w:t xml:space="preserve"> — spread between discount-window rate and anonymous-auction-facility rate (TAF in 2007-2008) when both available. 30-50bp historical benchmark; persistent stigma is itself an intensity-reducer.</w:t>
      </w:r>
    </w:p>
    <w:p w14:paraId="0D07A2F3" w14:textId="77777777" w:rsidR="00EB15BB" w:rsidRPr="00EB15BB" w:rsidRDefault="00EB15BB" w:rsidP="00EB15BB">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t>Availability-vs-utilisation gap</w:t>
      </w:r>
      <w:r w:rsidRPr="00EB15BB">
        <w:rPr>
          <w:rFonts w:ascii="Times New Roman" w:eastAsia="Times New Roman" w:hAnsi="Times New Roman" w:cs="Times New Roman"/>
          <w:kern w:val="0"/>
          <w:lang w:eastAsia="en-GB"/>
          <w14:ligatures w14:val="none"/>
        </w:rPr>
        <w:t xml:space="preserve"> — for countries with structural exclusion from Fed swap lines (SA, India, Turkey, etc.), availability is null and the metric cannot capture option-value. Carry as a binary structural variable.</w:t>
      </w:r>
    </w:p>
    <w:p w14:paraId="7902F667" w14:textId="77777777" w:rsidR="00EB15BB" w:rsidRPr="00EB15BB" w:rsidRDefault="00EB15BB" w:rsidP="00EB15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t>Sufficiency condition</w:t>
      </w:r>
      <w:r w:rsidRPr="00EB15BB">
        <w:rPr>
          <w:rFonts w:ascii="Times New Roman" w:eastAsia="Times New Roman" w:hAnsi="Times New Roman" w:cs="Times New Roman"/>
          <w:kern w:val="0"/>
          <w:lang w:eastAsia="en-GB"/>
          <w14:ligatures w14:val="none"/>
        </w:rPr>
        <w:t xml:space="preserve"> (pre-registered): the relationship is estimable when (i) the country has had at least one stress episode with non-zero facility utilisation over the sample AND (ii) measurable funding-stress indicators are available. DM panel satisfies easily (2008, 2020 both major activations). For SA: domestic SRF satisfies (i); document Fed-swap-line-exclusion as a separate structural flag rather than including it in the metric.</w:t>
      </w:r>
    </w:p>
    <w:p w14:paraId="01B3BB1E" w14:textId="77777777" w:rsidR="00EB15BB" w:rsidRPr="00EB15BB" w:rsidRDefault="00EB15BB" w:rsidP="00EB15BB">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EB15BB">
        <w:rPr>
          <w:rFonts w:ascii="Times New Roman" w:eastAsia="Times New Roman" w:hAnsi="Times New Roman" w:cs="Times New Roman"/>
          <w:b/>
          <w:bCs/>
          <w:kern w:val="0"/>
          <w:sz w:val="36"/>
          <w:szCs w:val="36"/>
          <w:lang w:eastAsia="en-GB"/>
          <w14:ligatures w14:val="none"/>
        </w:rPr>
        <w:t>2. Consistency function R^{L1↔L3f}</w:t>
      </w:r>
    </w:p>
    <w:p w14:paraId="671E1E60" w14:textId="77777777" w:rsidR="00EB15BB" w:rsidRPr="00EB15BB" w:rsidRDefault="00EB15BB" w:rsidP="00EB15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kern w:val="0"/>
          <w:lang w:eastAsia="en-GB"/>
          <w14:ligatures w14:val="none"/>
        </w:rPr>
        <w:t xml:space="preserve">The monetary rule prescribes a stance on the economy. Facility deployment responds to funding stress in the plumbing. Equilibrium holds when facility activity matches what a </w:t>
      </w:r>
      <w:r w:rsidRPr="00EB15BB">
        <w:rPr>
          <w:rFonts w:ascii="Times New Roman" w:eastAsia="Times New Roman" w:hAnsi="Times New Roman" w:cs="Times New Roman"/>
          <w:i/>
          <w:iCs/>
          <w:kern w:val="0"/>
          <w:lang w:eastAsia="en-GB"/>
          <w14:ligatures w14:val="none"/>
        </w:rPr>
        <w:t>facility-deployment rule</w:t>
      </w:r>
      <w:r w:rsidRPr="00EB15BB">
        <w:rPr>
          <w:rFonts w:ascii="Times New Roman" w:eastAsia="Times New Roman" w:hAnsi="Times New Roman" w:cs="Times New Roman"/>
          <w:kern w:val="0"/>
          <w:lang w:eastAsia="en-GB"/>
          <w14:ligatures w14:val="none"/>
        </w:rPr>
        <w:t xml:space="preserve"> would prescribe given the funding-stress state and the monetary stance:</w:t>
      </w:r>
    </w:p>
    <w:p w14:paraId="098036BA" w14:textId="77777777" w:rsidR="00EB15BB" w:rsidRPr="00EB15BB" w:rsidRDefault="00EB15BB" w:rsidP="00EB15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kern w:val="0"/>
          <w:lang w:eastAsia="en-GB"/>
          <w14:ligatures w14:val="none"/>
        </w:rPr>
        <w:t>R^{L1↔L3f}(LF_t, FS_state_t, ε^{L1↔L3a}_t; ξ̂) = LF_t − LF*_t</w:t>
      </w:r>
    </w:p>
    <w:p w14:paraId="16C02CA1" w14:textId="77777777" w:rsidR="00EB15BB" w:rsidRPr="00EB15BB" w:rsidRDefault="00EB15BB" w:rsidP="00EB15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kern w:val="0"/>
          <w:lang w:eastAsia="en-GB"/>
          <w14:ligatures w14:val="none"/>
        </w:rPr>
        <w:t>where LF_t is the operational facility-activity metric (utilisation as fraction of cap, or activation indicator) and LF*_t is the implied deployment:</w:t>
      </w:r>
    </w:p>
    <w:p w14:paraId="657CD2A9" w14:textId="77777777" w:rsidR="00EB15BB" w:rsidRPr="00EB15BB" w:rsidRDefault="00EB15BB" w:rsidP="00EB15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kern w:val="0"/>
          <w:lang w:eastAsia="en-GB"/>
          <w14:ligatures w14:val="none"/>
        </w:rPr>
        <w:t xml:space="preserve">LF*_t = ξ_0 + ξ_1 · LIBOR-OIS_t + ξ_2 · CIP_basis_t + ξ_3 · bank_CDS_t + ξ_4 · MMF_flow_stress_t + ξ_5 · repo_spike_t + ξ_6 · ε^{L1↔L3a}_t · </w:t>
      </w:r>
      <w:r w:rsidRPr="00EB15BB">
        <w:rPr>
          <w:rFonts w:ascii="Cambria Math" w:eastAsia="Times New Roman" w:hAnsi="Cambria Math" w:cs="Cambria Math"/>
          <w:kern w:val="0"/>
          <w:lang w:eastAsia="en-GB"/>
          <w14:ligatures w14:val="none"/>
        </w:rPr>
        <w:t>𝟙</w:t>
      </w:r>
      <w:r w:rsidRPr="00EB15BB">
        <w:rPr>
          <w:rFonts w:ascii="Times New Roman" w:eastAsia="Times New Roman" w:hAnsi="Times New Roman" w:cs="Times New Roman"/>
          <w:kern w:val="0"/>
          <w:lang w:eastAsia="en-GB"/>
          <w14:ligatures w14:val="none"/>
        </w:rPr>
        <w:t>{ELB}</w:t>
      </w:r>
    </w:p>
    <w:p w14:paraId="00AA83C0" w14:textId="77777777" w:rsidR="00EB15BB" w:rsidRPr="00EB15BB" w:rsidRDefault="00EB15BB" w:rsidP="00EB15BB">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kern w:val="0"/>
          <w:lang w:eastAsia="en-GB"/>
          <w14:ligatures w14:val="none"/>
        </w:rPr>
        <w:lastRenderedPageBreak/>
        <w:t xml:space="preserve">The ε · </w:t>
      </w:r>
      <w:r w:rsidRPr="00EB15BB">
        <w:rPr>
          <w:rFonts w:ascii="Cambria Math" w:eastAsia="Times New Roman" w:hAnsi="Cambria Math" w:cs="Cambria Math"/>
          <w:kern w:val="0"/>
          <w:lang w:eastAsia="en-GB"/>
          <w14:ligatures w14:val="none"/>
        </w:rPr>
        <w:t>𝟙</w:t>
      </w:r>
      <w:r w:rsidRPr="00EB15BB">
        <w:rPr>
          <w:rFonts w:ascii="Times New Roman" w:eastAsia="Times New Roman" w:hAnsi="Times New Roman" w:cs="Times New Roman"/>
          <w:kern w:val="0"/>
          <w:lang w:eastAsia="en-GB"/>
          <w14:ligatures w14:val="none"/>
        </w:rPr>
        <w:t>{ELB} term: at the ELB, facilities can do additional work when the rate is constrained. Outside the ELB regime, the interaction is zero.</w:t>
      </w:r>
    </w:p>
    <w:p w14:paraId="288D14E0" w14:textId="77777777" w:rsidR="00EB15BB" w:rsidRPr="00EB15BB" w:rsidRDefault="00EB15BB" w:rsidP="00EB15BB">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kern w:val="0"/>
          <w:lang w:eastAsia="en-GB"/>
          <w14:ligatures w14:val="none"/>
        </w:rPr>
        <w:t>Funding-stress regressors are country-specific: for the DM panel, US-style spreads; for EM, domestic-currency money market spreads plus cross-currency basis swap proxies.</w:t>
      </w:r>
    </w:p>
    <w:p w14:paraId="47668ABA" w14:textId="77777777" w:rsidR="00EB15BB" w:rsidRPr="00EB15BB" w:rsidRDefault="00EB15BB" w:rsidP="00EB15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t>Pre-registered specifications</w:t>
      </w:r>
    </w:p>
    <w:p w14:paraId="43E4CD23" w14:textId="77777777" w:rsidR="00EB15BB" w:rsidRPr="00EB15BB" w:rsidRDefault="00EB15BB" w:rsidP="00EB15BB">
      <w:pPr>
        <w:numPr>
          <w:ilvl w:val="0"/>
          <w:numId w:val="3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kern w:val="0"/>
          <w:lang w:eastAsia="en-GB"/>
          <w14:ligatures w14:val="none"/>
        </w:rPr>
        <w:t>DM panel: full LOLR toolkit measured separately — standing facilities (discount window, SRF, MLF), crisis facilities (TAF, PDCF, BTFP, MMLF), cross-border (Fed swap line drawings or, for non-Fed countries, incoming swap line drawings as the dependent variable).</w:t>
      </w:r>
    </w:p>
    <w:p w14:paraId="3B9E857E" w14:textId="77777777" w:rsidR="00EB15BB" w:rsidRPr="00EB15BB" w:rsidRDefault="00EB15BB" w:rsidP="00EB15BB">
      <w:pPr>
        <w:numPr>
          <w:ilvl w:val="0"/>
          <w:numId w:val="3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kern w:val="0"/>
          <w:lang w:eastAsia="en-GB"/>
          <w14:ligatures w14:val="none"/>
        </w:rPr>
        <w:t>EM panel with Fed swap-line access (Brazil, Mexico, Korea, Singapore): incoming swap line drawings + domestic facility usage.</w:t>
      </w:r>
    </w:p>
    <w:p w14:paraId="4B73FB14" w14:textId="77777777" w:rsidR="00EB15BB" w:rsidRPr="00EB15BB" w:rsidRDefault="00EB15BB" w:rsidP="00EB15BB">
      <w:pPr>
        <w:numPr>
          <w:ilvl w:val="0"/>
          <w:numId w:val="3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kern w:val="0"/>
          <w:lang w:eastAsia="en-GB"/>
          <w14:ligatures w14:val="none"/>
        </w:rPr>
        <w:t>EM panel without Fed swap-line access (SA, India, Indonesia, Turkey, Chile): domestic facility usage only. Fed swap-line exclusion carried as a separate structural variable.</w:t>
      </w:r>
    </w:p>
    <w:p w14:paraId="3B7412F8" w14:textId="77777777" w:rsidR="00EB15BB" w:rsidRPr="00EB15BB" w:rsidRDefault="00EB15BB" w:rsidP="00EB15BB">
      <w:pPr>
        <w:numPr>
          <w:ilvl w:val="0"/>
          <w:numId w:val="3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kern w:val="0"/>
          <w:lang w:eastAsia="en-GB"/>
          <w14:ligatures w14:val="none"/>
        </w:rPr>
        <w:t>IMF arrangements (FCL, PLL, SBA) tracked as an EM-specific cross-border LOLR proxy.</w:t>
      </w:r>
    </w:p>
    <w:p w14:paraId="6F0892BA" w14:textId="77777777" w:rsidR="00EB15BB" w:rsidRPr="00EB15BB" w:rsidRDefault="00EB15BB" w:rsidP="00EB15BB">
      <w:pPr>
        <w:numPr>
          <w:ilvl w:val="0"/>
          <w:numId w:val="3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kern w:val="0"/>
          <w:lang w:eastAsia="en-GB"/>
          <w14:ligatures w14:val="none"/>
        </w:rPr>
        <w:t>Sample: pre/post-2008 split — toolkit fundamentally expanded in 2008. Pre-2008 facility activity outside Bagehotian standing windows is rare.</w:t>
      </w:r>
    </w:p>
    <w:p w14:paraId="36F1D338" w14:textId="77777777" w:rsidR="00EB15BB" w:rsidRPr="00EB15BB" w:rsidRDefault="00EB15BB" w:rsidP="00EB15BB">
      <w:pPr>
        <w:numPr>
          <w:ilvl w:val="0"/>
          <w:numId w:val="3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kern w:val="0"/>
          <w:lang w:eastAsia="en-GB"/>
          <w14:ligatures w14:val="none"/>
        </w:rPr>
        <w:t>Sample: domestic-currency funding stress indicators specified country-by-country in the data appendix; cross-currency basis is the universal cross-border indicator.</w:t>
      </w:r>
    </w:p>
    <w:p w14:paraId="7640E987" w14:textId="77777777" w:rsidR="00EB15BB" w:rsidRPr="00EB15BB" w:rsidRDefault="00EB15BB" w:rsidP="00EB15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t>Estimation</w:t>
      </w:r>
    </w:p>
    <w:p w14:paraId="334BC63F" w14:textId="77777777" w:rsidR="00EB15BB" w:rsidRPr="00EB15BB" w:rsidRDefault="00EB15BB" w:rsidP="00EB15BB">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t>Two-part model</w:t>
      </w:r>
      <w:r w:rsidRPr="00EB15BB">
        <w:rPr>
          <w:rFonts w:ascii="Times New Roman" w:eastAsia="Times New Roman" w:hAnsi="Times New Roman" w:cs="Times New Roman"/>
          <w:kern w:val="0"/>
          <w:lang w:eastAsia="en-GB"/>
          <w14:ligatures w14:val="none"/>
        </w:rPr>
        <w:t xml:space="preserve"> — probit on activation indicator, OLS on utilisation conditional on activation. Cleaner than Tobit for episodic data.</w:t>
      </w:r>
    </w:p>
    <w:p w14:paraId="7D012F6E" w14:textId="77777777" w:rsidR="00EB15BB" w:rsidRPr="00EB15BB" w:rsidRDefault="00EB15BB" w:rsidP="00EB15BB">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t>Cross-country panel</w:t>
      </w:r>
      <w:r w:rsidRPr="00EB15BB">
        <w:rPr>
          <w:rFonts w:ascii="Times New Roman" w:eastAsia="Times New Roman" w:hAnsi="Times New Roman" w:cs="Times New Roman"/>
          <w:kern w:val="0"/>
          <w:lang w:eastAsia="en-GB"/>
          <w14:ligatures w14:val="none"/>
        </w:rPr>
        <w:t xml:space="preserve"> with regime fixed effects (pre/post-2008) and country fixed effects. DM and EM sub-panels estimated separately.</w:t>
      </w:r>
    </w:p>
    <w:p w14:paraId="31859948" w14:textId="77777777" w:rsidR="00EB15BB" w:rsidRPr="00EB15BB" w:rsidRDefault="00EB15BB" w:rsidP="00EB15BB">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kern w:val="0"/>
          <w:lang w:eastAsia="en-GB"/>
          <w14:ligatures w14:val="none"/>
        </w:rPr>
        <w:t>Sample: 2005–2024 with separate identification windows for 2008-09, 2020, 2022-23, and any country-specific crisis episodes.</w:t>
      </w:r>
    </w:p>
    <w:p w14:paraId="6D561E78" w14:textId="77777777" w:rsidR="00EB15BB" w:rsidRPr="00EB15BB" w:rsidRDefault="00EB15BB" w:rsidP="00EB15BB">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kern w:val="0"/>
          <w:lang w:eastAsia="en-GB"/>
          <w14:ligatures w14:val="none"/>
        </w:rPr>
        <w:t>Identification: facility deployment is endogenous to stress. Use one-period lags of funding-stress indicators as instruments; supplement with high-frequency event-study around announcements for headline facilities (BTFP March 2023, swap line activations March 2020, TAF December 2007).</w:t>
      </w:r>
    </w:p>
    <w:p w14:paraId="1BDBCE18" w14:textId="77777777" w:rsidR="00EB15BB" w:rsidRPr="00EB15BB" w:rsidRDefault="00EB15BB" w:rsidP="00EB15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kern w:val="0"/>
          <w:lang w:eastAsia="en-GB"/>
          <w14:ligatures w14:val="none"/>
        </w:rPr>
        <w:t>By construction E[R^{L1↔L3f}] = 0 in the active-deployment calibration window. In the dormancy window the metric is mechanically zero.</w:t>
      </w:r>
    </w:p>
    <w:p w14:paraId="5A7E22CB" w14:textId="77777777" w:rsidR="00EB15BB" w:rsidRPr="00EB15BB" w:rsidRDefault="00EB15BB" w:rsidP="00EB15BB">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EB15BB">
        <w:rPr>
          <w:rFonts w:ascii="Times New Roman" w:eastAsia="Times New Roman" w:hAnsi="Times New Roman" w:cs="Times New Roman"/>
          <w:b/>
          <w:bCs/>
          <w:kern w:val="0"/>
          <w:sz w:val="36"/>
          <w:szCs w:val="36"/>
          <w:lang w:eastAsia="en-GB"/>
          <w14:ligatures w14:val="none"/>
        </w:rPr>
        <w:t>3. Dissonance function</w:t>
      </w:r>
    </w:p>
    <w:p w14:paraId="3409A8CD" w14:textId="77777777" w:rsidR="00EB15BB" w:rsidRPr="00EB15BB" w:rsidRDefault="00EB15BB" w:rsidP="00EB15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kern w:val="0"/>
          <w:lang w:eastAsia="en-GB"/>
          <w14:ligatures w14:val="none"/>
        </w:rPr>
        <w:t>D^{L1↔L3f}_t = |LF_t − LF*_t|</w:t>
      </w:r>
    </w:p>
    <w:p w14:paraId="719D9F41" w14:textId="77777777" w:rsidR="00EB15BB" w:rsidRPr="00EB15BB" w:rsidRDefault="00EB15BB" w:rsidP="00EB15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t>Threshold</w:t>
      </w:r>
      <w:r w:rsidRPr="00EB15BB">
        <w:rPr>
          <w:rFonts w:ascii="Times New Roman" w:eastAsia="Times New Roman" w:hAnsi="Times New Roman" w:cs="Times New Roman"/>
          <w:kern w:val="0"/>
          <w:lang w:eastAsia="en-GB"/>
          <w14:ligatures w14:val="none"/>
        </w:rPr>
        <w:t xml:space="preserve">: τ = 2 · σ(D) on the </w:t>
      </w:r>
      <w:r w:rsidRPr="00EB15BB">
        <w:rPr>
          <w:rFonts w:ascii="Times New Roman" w:eastAsia="Times New Roman" w:hAnsi="Times New Roman" w:cs="Times New Roman"/>
          <w:i/>
          <w:iCs/>
          <w:kern w:val="0"/>
          <w:lang w:eastAsia="en-GB"/>
          <w14:ligatures w14:val="none"/>
        </w:rPr>
        <w:t>active-regime</w:t>
      </w:r>
      <w:r w:rsidRPr="00EB15BB">
        <w:rPr>
          <w:rFonts w:ascii="Times New Roman" w:eastAsia="Times New Roman" w:hAnsi="Times New Roman" w:cs="Times New Roman"/>
          <w:kern w:val="0"/>
          <w:lang w:eastAsia="en-GB"/>
          <w14:ligatures w14:val="none"/>
        </w:rPr>
        <w:t xml:space="preserve"> calibration window. Dormancy periods are excluded from σ computation — otherwise σ is dominated by zeros and the threshold becomes trivially small. Robustness across {1.5σ, 2σ, 2.5σ}.</w:t>
      </w:r>
    </w:p>
    <w:p w14:paraId="46F37833" w14:textId="77777777" w:rsidR="00EB15BB" w:rsidRPr="00EB15BB" w:rsidRDefault="00EB15BB" w:rsidP="00EB15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t>Auxiliary dimensions</w:t>
      </w:r>
      <w:r w:rsidRPr="00EB15BB">
        <w:rPr>
          <w:rFonts w:ascii="Times New Roman" w:eastAsia="Times New Roman" w:hAnsi="Times New Roman" w:cs="Times New Roman"/>
          <w:kern w:val="0"/>
          <w:lang w:eastAsia="en-GB"/>
          <w14:ligatures w14:val="none"/>
        </w:rPr>
        <w:t xml:space="preserve"> carried separately:</w:t>
      </w:r>
    </w:p>
    <w:p w14:paraId="05571279" w14:textId="77777777" w:rsidR="00EB15BB" w:rsidRPr="00EB15BB" w:rsidRDefault="00EB15BB" w:rsidP="00EB15BB">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lastRenderedPageBreak/>
        <w:t>Sign</w:t>
      </w:r>
      <w:r w:rsidRPr="00EB15BB">
        <w:rPr>
          <w:rFonts w:ascii="Times New Roman" w:eastAsia="Times New Roman" w:hAnsi="Times New Roman" w:cs="Times New Roman"/>
          <w:kern w:val="0"/>
          <w:lang w:eastAsia="en-GB"/>
          <w14:ligatures w14:val="none"/>
        </w:rPr>
        <w:t xml:space="preserve"> — over-deployment (facility expanded without funding-stress justification — moral hazard or regulatory arbitrage) vs under-deployment (facility dormant despite clear funding pressure — bank reading the regime incorrectly or stigma-binding). Under-deployment is the more common and the more dangerous dissonance.</w:t>
      </w:r>
    </w:p>
    <w:p w14:paraId="786C6C8B" w14:textId="77777777" w:rsidR="00EB15BB" w:rsidRPr="00EB15BB" w:rsidRDefault="00EB15BB" w:rsidP="00EB15BB">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t>Stigma flag</w:t>
      </w:r>
      <w:r w:rsidRPr="00EB15BB">
        <w:rPr>
          <w:rFonts w:ascii="Times New Roman" w:eastAsia="Times New Roman" w:hAnsi="Times New Roman" w:cs="Times New Roman"/>
          <w:kern w:val="0"/>
          <w:lang w:eastAsia="en-GB"/>
          <w14:ligatures w14:val="none"/>
        </w:rPr>
        <w:t xml:space="preserve"> — voluntary-access facility usage relative to anonymous-auction facility usage. Persistent stigma premium indicates the headline facility is not doing the work it could.</w:t>
      </w:r>
    </w:p>
    <w:p w14:paraId="728D005C" w14:textId="77777777" w:rsidR="00EB15BB" w:rsidRPr="00EB15BB" w:rsidRDefault="00EB15BB" w:rsidP="00EB15BB">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t>Cross-border availability</w:t>
      </w:r>
      <w:r w:rsidRPr="00EB15BB">
        <w:rPr>
          <w:rFonts w:ascii="Times New Roman" w:eastAsia="Times New Roman" w:hAnsi="Times New Roman" w:cs="Times New Roman"/>
          <w:kern w:val="0"/>
          <w:lang w:eastAsia="en-GB"/>
          <w14:ligatures w14:val="none"/>
        </w:rPr>
        <w:t xml:space="preserve"> — Fed swap-line access is a binary structural variable for the EM panel. Carry as a separate flag, not in the metric. The 2008 and 2020 episodes show clear access asymmetry across the EM panel; the metric should not penalise countries for an option they were structurally denied.</w:t>
      </w:r>
    </w:p>
    <w:p w14:paraId="2653D0F8" w14:textId="77777777" w:rsidR="00EB15BB" w:rsidRPr="00EB15BB" w:rsidRDefault="00EB15BB" w:rsidP="00EB15BB">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t>Deliberate separation flag</w:t>
      </w:r>
      <w:r w:rsidRPr="00EB15BB">
        <w:rPr>
          <w:rFonts w:ascii="Times New Roman" w:eastAsia="Times New Roman" w:hAnsi="Times New Roman" w:cs="Times New Roman"/>
          <w:kern w:val="0"/>
          <w:lang w:eastAsia="en-GB"/>
          <w14:ligatures w14:val="none"/>
        </w:rPr>
        <w:t xml:space="preserve"> — 2023 Fed pattern: rate tightening + BTFP support. The L1 monetary rule is </w:t>
      </w:r>
      <w:r w:rsidRPr="00EB15BB">
        <w:rPr>
          <w:rFonts w:ascii="Times New Roman" w:eastAsia="Times New Roman" w:hAnsi="Times New Roman" w:cs="Times New Roman"/>
          <w:i/>
          <w:iCs/>
          <w:kern w:val="0"/>
          <w:lang w:eastAsia="en-GB"/>
          <w14:ligatures w14:val="none"/>
        </w:rPr>
        <w:t>intentionally</w:t>
      </w:r>
      <w:r w:rsidRPr="00EB15BB">
        <w:rPr>
          <w:rFonts w:ascii="Times New Roman" w:eastAsia="Times New Roman" w:hAnsi="Times New Roman" w:cs="Times New Roman"/>
          <w:kern w:val="0"/>
          <w:lang w:eastAsia="en-GB"/>
          <w14:ligatures w14:val="none"/>
        </w:rPr>
        <w:t xml:space="preserve"> decoupled from the L3f stability response under the post-2008 settlement. Track as a binary "intended separation" indicator rather than firing it as dissonance.</w:t>
      </w:r>
    </w:p>
    <w:p w14:paraId="78848432" w14:textId="77777777" w:rsidR="00EB15BB" w:rsidRPr="00EB15BB" w:rsidRDefault="00EB15BB" w:rsidP="00EB15BB">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t>Multi-purpose facility split</w:t>
      </w:r>
      <w:r w:rsidRPr="00EB15BB">
        <w:rPr>
          <w:rFonts w:ascii="Times New Roman" w:eastAsia="Times New Roman" w:hAnsi="Times New Roman" w:cs="Times New Roman"/>
          <w:kern w:val="0"/>
          <w:lang w:eastAsia="en-GB"/>
          <w14:ligatures w14:val="none"/>
        </w:rPr>
        <w:t xml:space="preserve"> — TLTRO is monetary + LOLR; SRF is standing + crisis. Document the labelling decisions and report D under both labelling conventions.</w:t>
      </w:r>
    </w:p>
    <w:p w14:paraId="0ED064A8" w14:textId="77777777" w:rsidR="00EB15BB" w:rsidRPr="00EB15BB" w:rsidRDefault="00EB15BB" w:rsidP="00EB15BB">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EB15BB">
        <w:rPr>
          <w:rFonts w:ascii="Times New Roman" w:eastAsia="Times New Roman" w:hAnsi="Times New Roman" w:cs="Times New Roman"/>
          <w:b/>
          <w:bCs/>
          <w:kern w:val="0"/>
          <w:sz w:val="36"/>
          <w:szCs w:val="36"/>
          <w:lang w:eastAsia="en-GB"/>
          <w14:ligatures w14:val="none"/>
        </w:rPr>
        <w:t>Design notes</w:t>
      </w:r>
    </w:p>
    <w:p w14:paraId="6BB2497C" w14:textId="77777777" w:rsidR="00EB15BB" w:rsidRPr="00EB15BB" w:rsidRDefault="00EB15BB" w:rsidP="00EB15BB">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t>L1 ↔ L3f is episodic by construction</w:t>
      </w:r>
      <w:r w:rsidRPr="00EB15BB">
        <w:rPr>
          <w:rFonts w:ascii="Times New Roman" w:eastAsia="Times New Roman" w:hAnsi="Times New Roman" w:cs="Times New Roman"/>
          <w:kern w:val="0"/>
          <w:lang w:eastAsia="en-GB"/>
          <w14:ligatures w14:val="none"/>
        </w:rPr>
        <w:t>. Long stretches of dormancy punctuated by crisis activation. The data structure is zero-inflated and standard regression frameworks struggle. The two-part probit-OLS approach is the practical choice; ordered probit on coarse activation categories is the robustness comparator. D is mechanically zero for most observations and fires hard during stress — closer in character to a regime-switching indicator than to a continuous metric.</w:t>
      </w:r>
    </w:p>
    <w:p w14:paraId="31BA0CB0" w14:textId="77777777" w:rsidR="00EB15BB" w:rsidRPr="00EB15BB" w:rsidRDefault="00EB15BB" w:rsidP="00EB15BB">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t>Availability is a real signal that the framework cannot directly measure</w:t>
      </w:r>
      <w:r w:rsidRPr="00EB15BB">
        <w:rPr>
          <w:rFonts w:ascii="Times New Roman" w:eastAsia="Times New Roman" w:hAnsi="Times New Roman" w:cs="Times New Roman"/>
          <w:kern w:val="0"/>
          <w:lang w:eastAsia="en-GB"/>
          <w14:ligatures w14:val="none"/>
        </w:rPr>
        <w:t xml:space="preserve">. The Fed SRF has had minimal usage but plausibly compressed repo-spike tail risk in 2021–2023. The standing Fed-ECB-BoE-BoJ-SNB-BoC swap lines are credibility infrastructure even when unused. The D metric captures utilisation only; the option-value of availability shows up only by </w:t>
      </w:r>
      <w:r w:rsidRPr="00EB15BB">
        <w:rPr>
          <w:rFonts w:ascii="Times New Roman" w:eastAsia="Times New Roman" w:hAnsi="Times New Roman" w:cs="Times New Roman"/>
          <w:i/>
          <w:iCs/>
          <w:kern w:val="0"/>
          <w:lang w:eastAsia="en-GB"/>
          <w14:ligatures w14:val="none"/>
        </w:rPr>
        <w:t>what doesn't happen</w:t>
      </w:r>
      <w:r w:rsidRPr="00EB15BB">
        <w:rPr>
          <w:rFonts w:ascii="Times New Roman" w:eastAsia="Times New Roman" w:hAnsi="Times New Roman" w:cs="Times New Roman"/>
          <w:kern w:val="0"/>
          <w:lang w:eastAsia="en-GB"/>
          <w14:ligatures w14:val="none"/>
        </w:rPr>
        <w:t xml:space="preserve"> — repo doesn't spike, basis doesn't blow out. Document this limitation; the structural-availability flag is the best partial substitute.</w:t>
      </w:r>
    </w:p>
    <w:p w14:paraId="49859254" w14:textId="77777777" w:rsidR="00EB15BB" w:rsidRPr="00EB15BB" w:rsidRDefault="00EB15BB" w:rsidP="00EB15BB">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t>2023 Fed pattern is the framework's hardest single test</w:t>
      </w:r>
      <w:r w:rsidRPr="00EB15BB">
        <w:rPr>
          <w:rFonts w:ascii="Times New Roman" w:eastAsia="Times New Roman" w:hAnsi="Times New Roman" w:cs="Times New Roman"/>
          <w:kern w:val="0"/>
          <w:lang w:eastAsia="en-GB"/>
          <w14:ligatures w14:val="none"/>
        </w:rPr>
        <w:t>. Rate tightening simultaneous with BTFP support could be (a) deliberate decoupling of monetary from financial-stability response under the post-2008 settlement, or (b) dissonance — the rule failing to anticipate the stress its own tightening caused. The framework must distinguish these. The cleanest discriminator: is the BTFP labelled and treated as orthogonal to monetary stance? If yes, deliberate; if not, dissonance. Fed communication in 2023 was explicit on this point, suggesting (a) — but this is a defensible empirical interpretation rather than an unambiguous result.</w:t>
      </w:r>
    </w:p>
    <w:p w14:paraId="244B8AEA" w14:textId="77777777" w:rsidR="00EB15BB" w:rsidRPr="00EB15BB" w:rsidRDefault="00EB15BB" w:rsidP="00EB15BB">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b/>
          <w:bCs/>
          <w:kern w:val="0"/>
          <w:lang w:eastAsia="en-GB"/>
          <w14:ligatures w14:val="none"/>
        </w:rPr>
        <w:t>SA is structurally two-tier on L3f</w:t>
      </w:r>
      <w:r w:rsidRPr="00EB15BB">
        <w:rPr>
          <w:rFonts w:ascii="Times New Roman" w:eastAsia="Times New Roman" w:hAnsi="Times New Roman" w:cs="Times New Roman"/>
          <w:kern w:val="0"/>
          <w:lang w:eastAsia="en-GB"/>
          <w14:ligatures w14:val="none"/>
        </w:rPr>
        <w:t>. Domestic standing facilities are estimable — SARB ran modest domestic liquidity support in 2020. Cross-border facility access is null — SA was not on the Fed swap-line list in either 2008 or 2020. The metric should report SA on the domestic dimension and flag the cross-border null as a structural feature, not a measurement gap. The geopolitical character of swap-line allocation is itself a finding for the EM panel.</w:t>
      </w:r>
    </w:p>
    <w:p w14:paraId="011D0A27" w14:textId="77777777" w:rsidR="00EB15BB" w:rsidRPr="00EB15BB" w:rsidRDefault="004B6E07" w:rsidP="00EB15BB">
      <w:pPr>
        <w:spacing w:after="0" w:line="240" w:lineRule="auto"/>
        <w:rPr>
          <w:rFonts w:ascii="Times New Roman" w:eastAsia="Times New Roman" w:hAnsi="Times New Roman" w:cs="Times New Roman"/>
          <w:kern w:val="0"/>
          <w:lang w:eastAsia="en-GB"/>
          <w14:ligatures w14:val="none"/>
        </w:rPr>
      </w:pPr>
      <w:r w:rsidRPr="004B6E07">
        <w:rPr>
          <w:rFonts w:ascii="Times New Roman" w:eastAsia="Times New Roman" w:hAnsi="Times New Roman" w:cs="Times New Roman"/>
          <w:noProof/>
          <w:kern w:val="0"/>
          <w:lang w:eastAsia="en-GB"/>
        </w:rPr>
        <w:pict w14:anchorId="40825ED8">
          <v:rect id="_x0000_i1025" alt="" style="width:451.3pt;height:.05pt;mso-width-percent:0;mso-height-percent:0;mso-width-percent:0;mso-height-percent:0" o:hralign="center" o:hrstd="t" o:hr="t" fillcolor="#a0a0a0" stroked="f"/>
        </w:pict>
      </w:r>
    </w:p>
    <w:p w14:paraId="521B3729" w14:textId="77777777" w:rsidR="00EB15BB" w:rsidRPr="00EB15BB" w:rsidRDefault="00EB15BB" w:rsidP="00EB15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EB15BB">
        <w:rPr>
          <w:rFonts w:ascii="Times New Roman" w:eastAsia="Times New Roman" w:hAnsi="Times New Roman" w:cs="Times New Roman"/>
          <w:kern w:val="0"/>
          <w:lang w:eastAsia="en-GB"/>
          <w14:ligatures w14:val="none"/>
        </w:rPr>
        <w:lastRenderedPageBreak/>
        <w:t xml:space="preserve">This completes the L1 ↔ L3 (a through f) inter-node block. Ready to move to the </w:t>
      </w:r>
      <w:r w:rsidRPr="00EB15BB">
        <w:rPr>
          <w:rFonts w:ascii="Times New Roman" w:eastAsia="Times New Roman" w:hAnsi="Times New Roman" w:cs="Times New Roman"/>
          <w:b/>
          <w:bCs/>
          <w:kern w:val="0"/>
          <w:lang w:eastAsia="en-GB"/>
          <w14:ligatures w14:val="none"/>
        </w:rPr>
        <w:t>intra-node</w:t>
      </w:r>
      <w:r w:rsidRPr="00EB15BB">
        <w:rPr>
          <w:rFonts w:ascii="Times New Roman" w:eastAsia="Times New Roman" w:hAnsi="Times New Roman" w:cs="Times New Roman"/>
          <w:kern w:val="0"/>
          <w:lang w:eastAsia="en-GB"/>
          <w14:ligatures w14:val="none"/>
        </w:rPr>
        <w:t xml:space="preserve"> relationships next — L1 intra (rule-coefficient drift), L3a–L3f intra — or directly to the </w:t>
      </w:r>
      <w:r w:rsidRPr="00EB15BB">
        <w:rPr>
          <w:rFonts w:ascii="Times New Roman" w:eastAsia="Times New Roman" w:hAnsi="Times New Roman" w:cs="Times New Roman"/>
          <w:b/>
          <w:bCs/>
          <w:kern w:val="0"/>
          <w:lang w:eastAsia="en-GB"/>
          <w14:ligatures w14:val="none"/>
        </w:rPr>
        <w:t>L3 ↔ L3</w:t>
      </w:r>
      <w:r w:rsidRPr="00EB15BB">
        <w:rPr>
          <w:rFonts w:ascii="Times New Roman" w:eastAsia="Times New Roman" w:hAnsi="Times New Roman" w:cs="Times New Roman"/>
          <w:kern w:val="0"/>
          <w:lang w:eastAsia="en-GB"/>
          <w14:ligatures w14:val="none"/>
        </w:rPr>
        <w:t xml:space="preserve"> peer relationships when you are.</w:t>
      </w:r>
    </w:p>
    <w:p w14:paraId="133ED3F8" w14:textId="77777777" w:rsidR="00EB15BB" w:rsidRPr="00EB15BB" w:rsidRDefault="00EB15BB" w:rsidP="00EB15BB">
      <w:pPr>
        <w:rPr>
          <w:rFonts w:ascii="Aptos" w:hAnsi="Aptos"/>
          <w:sz w:val="22"/>
          <w:szCs w:val="22"/>
          <w:lang w:val="en-US"/>
        </w:rPr>
      </w:pPr>
    </w:p>
    <w:p w14:paraId="4FD4F371" w14:textId="77777777" w:rsidR="00EB15BB" w:rsidRPr="00EB15BB" w:rsidRDefault="00EB15BB" w:rsidP="00EB15BB">
      <w:pPr>
        <w:rPr>
          <w:rFonts w:ascii="Aptos" w:hAnsi="Aptos"/>
          <w:sz w:val="22"/>
          <w:szCs w:val="22"/>
          <w:lang w:val="en-US"/>
        </w:rPr>
      </w:pPr>
    </w:p>
    <w:p w14:paraId="1333708A" w14:textId="77777777" w:rsidR="00EB15BB" w:rsidRPr="00EB15BB" w:rsidRDefault="00EB15BB" w:rsidP="00EB15BB">
      <w:pPr>
        <w:rPr>
          <w:rFonts w:ascii="Aptos" w:hAnsi="Aptos"/>
          <w:sz w:val="22"/>
          <w:szCs w:val="22"/>
          <w:lang w:val="en-US"/>
        </w:rPr>
      </w:pPr>
    </w:p>
    <w:p w14:paraId="1151556D" w14:textId="77777777" w:rsidR="00EB15BB" w:rsidRPr="00EB15BB" w:rsidRDefault="00EB15BB" w:rsidP="00EB15BB">
      <w:pPr>
        <w:rPr>
          <w:rFonts w:ascii="Aptos" w:hAnsi="Aptos"/>
          <w:sz w:val="22"/>
          <w:szCs w:val="22"/>
          <w:lang w:val="en-US"/>
        </w:rPr>
      </w:pPr>
    </w:p>
    <w:p w14:paraId="536F0DFF" w14:textId="77777777" w:rsidR="00EB15BB" w:rsidRPr="00EB15BB" w:rsidRDefault="00EB15BB" w:rsidP="00EB15BB">
      <w:pPr>
        <w:rPr>
          <w:rFonts w:ascii="Aptos" w:hAnsi="Aptos"/>
          <w:sz w:val="22"/>
          <w:szCs w:val="22"/>
          <w:lang w:val="en-US"/>
        </w:rPr>
      </w:pPr>
    </w:p>
    <w:p w14:paraId="43D3139D" w14:textId="77777777" w:rsidR="00EB15BB" w:rsidRPr="00EB15BB" w:rsidRDefault="00EB15BB" w:rsidP="00EB15BB">
      <w:pPr>
        <w:rPr>
          <w:rFonts w:ascii="Aptos" w:hAnsi="Aptos"/>
          <w:sz w:val="22"/>
          <w:szCs w:val="22"/>
          <w:lang w:val="en-US"/>
        </w:rPr>
      </w:pPr>
    </w:p>
    <w:p w14:paraId="1DBA0CD4" w14:textId="77777777" w:rsidR="00EB15BB" w:rsidRPr="00EB15BB" w:rsidRDefault="00EB15BB" w:rsidP="00EB15BB">
      <w:pPr>
        <w:rPr>
          <w:rFonts w:ascii="Aptos" w:hAnsi="Aptos"/>
          <w:sz w:val="22"/>
          <w:szCs w:val="22"/>
          <w:lang w:val="en-US"/>
        </w:rPr>
      </w:pPr>
    </w:p>
    <w:sectPr w:rsidR="00EB15BB" w:rsidRPr="00EB15B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0475"/>
    <w:multiLevelType w:val="multilevel"/>
    <w:tmpl w:val="797CF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967CE"/>
    <w:multiLevelType w:val="multilevel"/>
    <w:tmpl w:val="3828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5157E"/>
    <w:multiLevelType w:val="multilevel"/>
    <w:tmpl w:val="4CE0A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374A96"/>
    <w:multiLevelType w:val="multilevel"/>
    <w:tmpl w:val="37284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165D1"/>
    <w:multiLevelType w:val="multilevel"/>
    <w:tmpl w:val="AD3C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035024"/>
    <w:multiLevelType w:val="multilevel"/>
    <w:tmpl w:val="8DF2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3A688C"/>
    <w:multiLevelType w:val="multilevel"/>
    <w:tmpl w:val="0BF2C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7A7F4F"/>
    <w:multiLevelType w:val="multilevel"/>
    <w:tmpl w:val="A9525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0E6671"/>
    <w:multiLevelType w:val="multilevel"/>
    <w:tmpl w:val="8E34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7B48B2"/>
    <w:multiLevelType w:val="multilevel"/>
    <w:tmpl w:val="568C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F138A1"/>
    <w:multiLevelType w:val="multilevel"/>
    <w:tmpl w:val="9028B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F3080A"/>
    <w:multiLevelType w:val="multilevel"/>
    <w:tmpl w:val="19E0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FF4F37"/>
    <w:multiLevelType w:val="multilevel"/>
    <w:tmpl w:val="6526D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134E2C"/>
    <w:multiLevelType w:val="multilevel"/>
    <w:tmpl w:val="6842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4F233D"/>
    <w:multiLevelType w:val="multilevel"/>
    <w:tmpl w:val="2A70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4147A6"/>
    <w:multiLevelType w:val="multilevel"/>
    <w:tmpl w:val="E8A0C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0D56E5"/>
    <w:multiLevelType w:val="multilevel"/>
    <w:tmpl w:val="BC8CE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64528D"/>
    <w:multiLevelType w:val="multilevel"/>
    <w:tmpl w:val="88A4A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5295883"/>
    <w:multiLevelType w:val="multilevel"/>
    <w:tmpl w:val="CD609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901842"/>
    <w:multiLevelType w:val="multilevel"/>
    <w:tmpl w:val="83CE1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F319B8"/>
    <w:multiLevelType w:val="multilevel"/>
    <w:tmpl w:val="A7446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D328B9"/>
    <w:multiLevelType w:val="multilevel"/>
    <w:tmpl w:val="DFD6C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045D8F"/>
    <w:multiLevelType w:val="multilevel"/>
    <w:tmpl w:val="EC7CD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841053"/>
    <w:multiLevelType w:val="multilevel"/>
    <w:tmpl w:val="D2A0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A479AF"/>
    <w:multiLevelType w:val="multilevel"/>
    <w:tmpl w:val="1422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D3785F"/>
    <w:multiLevelType w:val="multilevel"/>
    <w:tmpl w:val="4B625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A57980"/>
    <w:multiLevelType w:val="multilevel"/>
    <w:tmpl w:val="FB0C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473464"/>
    <w:multiLevelType w:val="multilevel"/>
    <w:tmpl w:val="44584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C63EA8"/>
    <w:multiLevelType w:val="multilevel"/>
    <w:tmpl w:val="0BFE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B470FC"/>
    <w:multiLevelType w:val="multilevel"/>
    <w:tmpl w:val="63F6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671416"/>
    <w:multiLevelType w:val="multilevel"/>
    <w:tmpl w:val="ACA2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583005"/>
    <w:multiLevelType w:val="multilevel"/>
    <w:tmpl w:val="B704B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424F91"/>
    <w:multiLevelType w:val="multilevel"/>
    <w:tmpl w:val="5C52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363ED6"/>
    <w:multiLevelType w:val="multilevel"/>
    <w:tmpl w:val="D3CA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B1787C"/>
    <w:multiLevelType w:val="multilevel"/>
    <w:tmpl w:val="03343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6019792">
    <w:abstractNumId w:val="13"/>
  </w:num>
  <w:num w:numId="2" w16cid:durableId="372538480">
    <w:abstractNumId w:val="4"/>
  </w:num>
  <w:num w:numId="3" w16cid:durableId="1663778819">
    <w:abstractNumId w:val="9"/>
  </w:num>
  <w:num w:numId="4" w16cid:durableId="1350597995">
    <w:abstractNumId w:val="23"/>
  </w:num>
  <w:num w:numId="5" w16cid:durableId="1248736038">
    <w:abstractNumId w:val="16"/>
  </w:num>
  <w:num w:numId="6" w16cid:durableId="467019263">
    <w:abstractNumId w:val="25"/>
  </w:num>
  <w:num w:numId="7" w16cid:durableId="1986619861">
    <w:abstractNumId w:val="24"/>
  </w:num>
  <w:num w:numId="8" w16cid:durableId="743602807">
    <w:abstractNumId w:val="18"/>
  </w:num>
  <w:num w:numId="9" w16cid:durableId="1334844562">
    <w:abstractNumId w:val="26"/>
  </w:num>
  <w:num w:numId="10" w16cid:durableId="1545412758">
    <w:abstractNumId w:val="17"/>
  </w:num>
  <w:num w:numId="11" w16cid:durableId="1623799743">
    <w:abstractNumId w:val="27"/>
  </w:num>
  <w:num w:numId="12" w16cid:durableId="857235241">
    <w:abstractNumId w:val="19"/>
  </w:num>
  <w:num w:numId="13" w16cid:durableId="1151098733">
    <w:abstractNumId w:val="32"/>
  </w:num>
  <w:num w:numId="14" w16cid:durableId="1253667344">
    <w:abstractNumId w:val="10"/>
  </w:num>
  <w:num w:numId="15" w16cid:durableId="2132701228">
    <w:abstractNumId w:val="5"/>
  </w:num>
  <w:num w:numId="16" w16cid:durableId="1454592591">
    <w:abstractNumId w:val="3"/>
  </w:num>
  <w:num w:numId="17" w16cid:durableId="214392209">
    <w:abstractNumId w:val="20"/>
  </w:num>
  <w:num w:numId="18" w16cid:durableId="914433747">
    <w:abstractNumId w:val="31"/>
  </w:num>
  <w:num w:numId="19" w16cid:durableId="1985812399">
    <w:abstractNumId w:val="8"/>
  </w:num>
  <w:num w:numId="20" w16cid:durableId="1555241067">
    <w:abstractNumId w:val="15"/>
  </w:num>
  <w:num w:numId="21" w16cid:durableId="1175728850">
    <w:abstractNumId w:val="30"/>
  </w:num>
  <w:num w:numId="22" w16cid:durableId="638194182">
    <w:abstractNumId w:val="28"/>
  </w:num>
  <w:num w:numId="23" w16cid:durableId="1513883199">
    <w:abstractNumId w:val="7"/>
  </w:num>
  <w:num w:numId="24" w16cid:durableId="1240410243">
    <w:abstractNumId w:val="33"/>
  </w:num>
  <w:num w:numId="25" w16cid:durableId="898977433">
    <w:abstractNumId w:val="29"/>
  </w:num>
  <w:num w:numId="26" w16cid:durableId="542905753">
    <w:abstractNumId w:val="6"/>
  </w:num>
  <w:num w:numId="27" w16cid:durableId="342437481">
    <w:abstractNumId w:val="14"/>
  </w:num>
  <w:num w:numId="28" w16cid:durableId="1988976973">
    <w:abstractNumId w:val="12"/>
  </w:num>
  <w:num w:numId="29" w16cid:durableId="156960820">
    <w:abstractNumId w:val="2"/>
  </w:num>
  <w:num w:numId="30" w16cid:durableId="355935358">
    <w:abstractNumId w:val="21"/>
  </w:num>
  <w:num w:numId="31" w16cid:durableId="693918438">
    <w:abstractNumId w:val="11"/>
  </w:num>
  <w:num w:numId="32" w16cid:durableId="847790423">
    <w:abstractNumId w:val="1"/>
  </w:num>
  <w:num w:numId="33" w16cid:durableId="1908416003">
    <w:abstractNumId w:val="22"/>
  </w:num>
  <w:num w:numId="34" w16cid:durableId="1935702407">
    <w:abstractNumId w:val="34"/>
  </w:num>
  <w:num w:numId="35" w16cid:durableId="782959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5BB"/>
    <w:rsid w:val="004B6E07"/>
    <w:rsid w:val="00CF02C4"/>
    <w:rsid w:val="00EB15B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8D735"/>
  <w15:chartTrackingRefBased/>
  <w15:docId w15:val="{85D903C6-72CE-274F-80C5-5505B183E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15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B15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15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15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15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15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15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15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15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15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B15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15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15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15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15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15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15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15BB"/>
    <w:rPr>
      <w:rFonts w:eastAsiaTheme="majorEastAsia" w:cstheme="majorBidi"/>
      <w:color w:val="272727" w:themeColor="text1" w:themeTint="D8"/>
    </w:rPr>
  </w:style>
  <w:style w:type="paragraph" w:styleId="Title">
    <w:name w:val="Title"/>
    <w:basedOn w:val="Normal"/>
    <w:next w:val="Normal"/>
    <w:link w:val="TitleChar"/>
    <w:uiPriority w:val="10"/>
    <w:qFormat/>
    <w:rsid w:val="00EB15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15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15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15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15BB"/>
    <w:pPr>
      <w:spacing w:before="160"/>
      <w:jc w:val="center"/>
    </w:pPr>
    <w:rPr>
      <w:i/>
      <w:iCs/>
      <w:color w:val="404040" w:themeColor="text1" w:themeTint="BF"/>
    </w:rPr>
  </w:style>
  <w:style w:type="character" w:customStyle="1" w:styleId="QuoteChar">
    <w:name w:val="Quote Char"/>
    <w:basedOn w:val="DefaultParagraphFont"/>
    <w:link w:val="Quote"/>
    <w:uiPriority w:val="29"/>
    <w:rsid w:val="00EB15BB"/>
    <w:rPr>
      <w:i/>
      <w:iCs/>
      <w:color w:val="404040" w:themeColor="text1" w:themeTint="BF"/>
    </w:rPr>
  </w:style>
  <w:style w:type="paragraph" w:styleId="ListParagraph">
    <w:name w:val="List Paragraph"/>
    <w:basedOn w:val="Normal"/>
    <w:uiPriority w:val="34"/>
    <w:qFormat/>
    <w:rsid w:val="00EB15BB"/>
    <w:pPr>
      <w:ind w:left="720"/>
      <w:contextualSpacing/>
    </w:pPr>
  </w:style>
  <w:style w:type="character" w:styleId="IntenseEmphasis">
    <w:name w:val="Intense Emphasis"/>
    <w:basedOn w:val="DefaultParagraphFont"/>
    <w:uiPriority w:val="21"/>
    <w:qFormat/>
    <w:rsid w:val="00EB15BB"/>
    <w:rPr>
      <w:i/>
      <w:iCs/>
      <w:color w:val="0F4761" w:themeColor="accent1" w:themeShade="BF"/>
    </w:rPr>
  </w:style>
  <w:style w:type="paragraph" w:styleId="IntenseQuote">
    <w:name w:val="Intense Quote"/>
    <w:basedOn w:val="Normal"/>
    <w:next w:val="Normal"/>
    <w:link w:val="IntenseQuoteChar"/>
    <w:uiPriority w:val="30"/>
    <w:qFormat/>
    <w:rsid w:val="00EB15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15BB"/>
    <w:rPr>
      <w:i/>
      <w:iCs/>
      <w:color w:val="0F4761" w:themeColor="accent1" w:themeShade="BF"/>
    </w:rPr>
  </w:style>
  <w:style w:type="character" w:styleId="IntenseReference">
    <w:name w:val="Intense Reference"/>
    <w:basedOn w:val="DefaultParagraphFont"/>
    <w:uiPriority w:val="32"/>
    <w:qFormat/>
    <w:rsid w:val="00EB15BB"/>
    <w:rPr>
      <w:b/>
      <w:bCs/>
      <w:smallCaps/>
      <w:color w:val="0F4761" w:themeColor="accent1" w:themeShade="BF"/>
      <w:spacing w:val="5"/>
    </w:rPr>
  </w:style>
  <w:style w:type="paragraph" w:styleId="NormalWeb">
    <w:name w:val="Normal (Web)"/>
    <w:basedOn w:val="Normal"/>
    <w:uiPriority w:val="99"/>
    <w:semiHidden/>
    <w:unhideWhenUsed/>
    <w:rsid w:val="00EB15B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B15BB"/>
    <w:rPr>
      <w:b/>
      <w:bCs/>
    </w:rPr>
  </w:style>
  <w:style w:type="character" w:styleId="Emphasis">
    <w:name w:val="Emphasis"/>
    <w:basedOn w:val="DefaultParagraphFont"/>
    <w:uiPriority w:val="20"/>
    <w:qFormat/>
    <w:rsid w:val="00EB15B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5793</Words>
  <Characters>33026</Characters>
  <Application>Microsoft Office Word</Application>
  <DocSecurity>0</DocSecurity>
  <Lines>275</Lines>
  <Paragraphs>77</Paragraphs>
  <ScaleCrop>false</ScaleCrop>
  <Company/>
  <LinksUpToDate>false</LinksUpToDate>
  <CharactersWithSpaces>38742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Stoddart</dc:creator>
  <cp:keywords/>
  <dc:description/>
  <cp:lastModifiedBy>Justin Stoddart</cp:lastModifiedBy>
  <cp:revision>1</cp:revision>
  <dcterms:created xsi:type="dcterms:W3CDTF">2026-05-14T12:45:00Z</dcterms:created>
  <dcterms:modified xsi:type="dcterms:W3CDTF">2026-05-14T12:49:00Z</dcterms:modified>
</cp:coreProperties>
</file>