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DCE2" w14:textId="77777777" w:rsidR="00363CC1" w:rsidRPr="00B84586" w:rsidRDefault="00363CC1" w:rsidP="00363CC1">
      <w:pPr>
        <w:jc w:val="center"/>
        <w:rPr>
          <w:rFonts w:ascii="Aptos" w:hAnsi="Aptos"/>
          <w:b/>
          <w:bCs/>
          <w:sz w:val="22"/>
          <w:szCs w:val="22"/>
          <w:lang w:val="en-US"/>
        </w:rPr>
      </w:pPr>
      <w:r w:rsidRPr="00B84586">
        <w:rPr>
          <w:rFonts w:ascii="Aptos" w:hAnsi="Aptos"/>
          <w:b/>
          <w:bCs/>
          <w:sz w:val="22"/>
          <w:szCs w:val="22"/>
          <w:lang w:val="en-US"/>
        </w:rPr>
        <w:t>Node-based Theoretical Framework</w:t>
      </w:r>
    </w:p>
    <w:p w14:paraId="55386E97" w14:textId="77777777" w:rsidR="00363CC1" w:rsidRPr="00B84586" w:rsidRDefault="00363CC1" w:rsidP="00363CC1">
      <w:pPr>
        <w:rPr>
          <w:rFonts w:ascii="Aptos" w:hAnsi="Aptos"/>
          <w:sz w:val="22"/>
          <w:szCs w:val="22"/>
          <w:lang w:val="en-US"/>
        </w:rPr>
      </w:pPr>
      <w:r w:rsidRPr="00B84586">
        <w:rPr>
          <w:rFonts w:ascii="Aptos" w:hAnsi="Aptos"/>
          <w:sz w:val="22"/>
          <w:szCs w:val="22"/>
          <w:lang w:val="en-US"/>
        </w:rPr>
        <w:t>Working template for every node:</w:t>
      </w:r>
    </w:p>
    <w:p w14:paraId="70F7824D"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Definition (the headline, with operational formula if applicable)</w:t>
      </w:r>
    </w:p>
    <w:p w14:paraId="624EAFF1"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Theory (foundational why)</w:t>
      </w:r>
    </w:p>
    <w:p w14:paraId="7FC0A702"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Canonical specifications and parameters (formula variations, what coefficients encode)</w:t>
      </w:r>
    </w:p>
    <w:p w14:paraId="1CD3FE9A"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Why this matters for asset prices (investment lens)</w:t>
      </w:r>
    </w:p>
    <w:p w14:paraId="0BDB0BA0"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EM extension or regime variation (cross-country heterogeneity)</w:t>
      </w:r>
    </w:p>
    <w:p w14:paraId="6D59BD02"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Empirical pitfalls (estimation hazards)</w:t>
      </w:r>
    </w:p>
    <w:p w14:paraId="26B4E54C" w14:textId="77777777" w:rsidR="00363CC1" w:rsidRPr="00B84586" w:rsidRDefault="00363CC1" w:rsidP="00363CC1">
      <w:pPr>
        <w:pStyle w:val="ListParagraph"/>
        <w:numPr>
          <w:ilvl w:val="0"/>
          <w:numId w:val="1"/>
        </w:numPr>
        <w:rPr>
          <w:rFonts w:ascii="Aptos" w:hAnsi="Aptos"/>
          <w:sz w:val="22"/>
          <w:szCs w:val="22"/>
          <w:lang w:val="en-US"/>
        </w:rPr>
      </w:pPr>
      <w:r w:rsidRPr="00B84586">
        <w:rPr>
          <w:rFonts w:ascii="Aptos" w:hAnsi="Aptos"/>
          <w:sz w:val="22"/>
          <w:szCs w:val="22"/>
          <w:lang w:val="en-US"/>
        </w:rPr>
        <w:t>Where dissonance lives (intra-node and vertical to other levels — the bridge to the framework)</w:t>
      </w:r>
    </w:p>
    <w:p w14:paraId="04CD59EC" w14:textId="77777777" w:rsidR="00363CC1" w:rsidRPr="00B84586" w:rsidRDefault="00363CC1" w:rsidP="00363CC1">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Level 1 — The Reaction Function</w:t>
      </w:r>
    </w:p>
    <w:p w14:paraId="54FF66E2"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Definition.</w:t>
      </w:r>
      <w:r w:rsidRPr="00B84586">
        <w:rPr>
          <w:rFonts w:ascii="Aptos" w:eastAsia="Times New Roman" w:hAnsi="Aptos" w:cs="Times New Roman"/>
          <w:kern w:val="0"/>
          <w:sz w:val="22"/>
          <w:szCs w:val="22"/>
          <w:lang w:eastAsia="en-GB"/>
          <w14:ligatures w14:val="none"/>
        </w:rPr>
        <w:t xml:space="preserve"> The reaction function is the rule that maps the state of the economy to the central bank's policy rate decision. It is the systematic component of policy: what the bank does, given what the world looks like. The canonical form is:</w:t>
      </w:r>
    </w:p>
    <w:p w14:paraId="651AD620"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i_t = r* + π* + α(π_t − π*) + β·ỹ_t</w:t>
      </w:r>
    </w:p>
    <w:p w14:paraId="5195644A" w14:textId="77777777" w:rsidR="00363CC1"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where i_t is the policy rate, r* is the neutral real rate, π* is the inflation target, (π_t − π*) is the inflation gap, and ỹ_t is the output gap. The coefficients α and β are the bank's type: a hawk has high α, a dove has high β.</w:t>
      </w:r>
    </w:p>
    <w:p w14:paraId="6B353C7A" w14:textId="77777777" w:rsidR="00363CC1" w:rsidRPr="00B84586" w:rsidRDefault="00363CC1" w:rsidP="00363CC1">
      <w:pPr>
        <w:pStyle w:val="ListParagraph"/>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Theory</w:t>
      </w:r>
    </w:p>
    <w:p w14:paraId="745E0D1A"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reaction function exists because monetary policy without a rule is time-inconsistent. Kydland-Prescott (1977) showed that a benevolent central bank choosing the optimal policy each period — discretion — produces an inflation bias relative to a committed rule. The bank cannot credibly promise low inflation when, ex post, surprising the public with looser policy is always tempting. A rule commits the bank to a known mapping from state to action, which anchors expectations. Barro-Gordon (1983) formalised this and Rogoff (1985) showed that appointing a conservative banker with high α effectively imposes a rule by selection rather than commitment.</w:t>
      </w:r>
    </w:p>
    <w:p w14:paraId="57299727"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reaction function is therefore not a behavioural description of the bank — it is the </w:t>
      </w:r>
      <w:r w:rsidRPr="00B84586">
        <w:rPr>
          <w:rFonts w:ascii="Aptos" w:eastAsia="Times New Roman" w:hAnsi="Aptos" w:cs="Times New Roman"/>
          <w:i/>
          <w:iCs/>
          <w:kern w:val="0"/>
          <w:sz w:val="22"/>
          <w:szCs w:val="22"/>
          <w:lang w:eastAsia="en-GB"/>
          <w14:ligatures w14:val="none"/>
        </w:rPr>
        <w:t>institutional solution</w:t>
      </w:r>
      <w:r w:rsidRPr="00B84586">
        <w:rPr>
          <w:rFonts w:ascii="Aptos" w:eastAsia="Times New Roman" w:hAnsi="Aptos" w:cs="Times New Roman"/>
          <w:kern w:val="0"/>
          <w:sz w:val="22"/>
          <w:szCs w:val="22"/>
          <w:lang w:eastAsia="en-GB"/>
          <w14:ligatures w14:val="none"/>
        </w:rPr>
        <w:t xml:space="preserve"> to the commitment problem. Taylor (1993) provided the first canonical specification and showed it tracked Fed behaviour 1987–1992 remarkably well. The rule did not describe what the Fed said it was doing; it described what it actually did.</w:t>
      </w:r>
    </w:p>
    <w:p w14:paraId="7198A4FB" w14:textId="77777777" w:rsidR="00363CC1" w:rsidRPr="00B84586" w:rsidRDefault="00363CC1" w:rsidP="00363CC1">
      <w:pPr>
        <w:pStyle w:val="ListParagraph"/>
        <w:numPr>
          <w:ilvl w:val="0"/>
          <w:numId w:val="2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Canonical specifications and the coefficients</w:t>
      </w:r>
    </w:p>
    <w:p w14:paraId="07FE2E05"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literature has progressively enriched Taylor's original form.</w:t>
      </w:r>
    </w:p>
    <w:p w14:paraId="3D381A75"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Forward-looking (Clarida-Galí-Gertler 1999):</w:t>
      </w:r>
      <w:r w:rsidRPr="00B84586">
        <w:rPr>
          <w:rFonts w:ascii="Aptos" w:eastAsia="Times New Roman" w:hAnsi="Aptos" w:cs="Times New Roman"/>
          <w:kern w:val="0"/>
          <w:sz w:val="22"/>
          <w:szCs w:val="22"/>
          <w:lang w:eastAsia="en-GB"/>
          <w14:ligatures w14:val="none"/>
        </w:rPr>
        <w:t xml:space="preserve"> i_t = r* + α·E_t[π_{t+4} − π*] + β·E_t[ỹ_t]. The bank responds to expected future inflation, not realised — captures the lag in monetary transmission. </w:t>
      </w:r>
      <w:r w:rsidRPr="00B84586">
        <w:rPr>
          <w:rFonts w:ascii="Aptos" w:eastAsia="Times New Roman" w:hAnsi="Aptos" w:cs="Times New Roman"/>
          <w:i/>
          <w:iCs/>
          <w:kern w:val="0"/>
          <w:sz w:val="22"/>
          <w:szCs w:val="22"/>
          <w:lang w:eastAsia="en-GB"/>
          <w14:ligatures w14:val="none"/>
        </w:rPr>
        <w:t>Smoothed (CGG 2000):</w:t>
      </w:r>
      <w:r w:rsidRPr="00B84586">
        <w:rPr>
          <w:rFonts w:ascii="Aptos" w:eastAsia="Times New Roman" w:hAnsi="Aptos" w:cs="Times New Roman"/>
          <w:kern w:val="0"/>
          <w:sz w:val="22"/>
          <w:szCs w:val="22"/>
          <w:lang w:eastAsia="en-GB"/>
          <w14:ligatures w14:val="none"/>
        </w:rPr>
        <w:t xml:space="preserve"> i_t = ρ·i_{t-1} + (1−ρ)[r* + α·E_t π_{t+4} + β·E_t ỹ_t]. The interest-rate smoothing parameter ρ captures the empirical regularity that banks change rates </w:t>
      </w:r>
      <w:r w:rsidRPr="00B84586">
        <w:rPr>
          <w:rFonts w:ascii="Aptos" w:eastAsia="Times New Roman" w:hAnsi="Aptos" w:cs="Times New Roman"/>
          <w:kern w:val="0"/>
          <w:sz w:val="22"/>
          <w:szCs w:val="22"/>
          <w:lang w:eastAsia="en-GB"/>
          <w14:ligatures w14:val="none"/>
        </w:rPr>
        <w:lastRenderedPageBreak/>
        <w:t xml:space="preserve">gradually; ρ is typically estimated at 0.7–0.9. </w:t>
      </w:r>
      <w:r w:rsidRPr="00B84586">
        <w:rPr>
          <w:rFonts w:ascii="Aptos" w:eastAsia="Times New Roman" w:hAnsi="Aptos" w:cs="Times New Roman"/>
          <w:i/>
          <w:iCs/>
          <w:kern w:val="0"/>
          <w:sz w:val="22"/>
          <w:szCs w:val="22"/>
          <w:lang w:eastAsia="en-GB"/>
          <w14:ligatures w14:val="none"/>
        </w:rPr>
        <w:t>Open-economy extensions:</w:t>
      </w:r>
      <w:r w:rsidRPr="00B84586">
        <w:rPr>
          <w:rFonts w:ascii="Aptos" w:eastAsia="Times New Roman" w:hAnsi="Aptos" w:cs="Times New Roman"/>
          <w:kern w:val="0"/>
          <w:sz w:val="22"/>
          <w:szCs w:val="22"/>
          <w:lang w:eastAsia="en-GB"/>
          <w14:ligatures w14:val="none"/>
        </w:rPr>
        <w:t xml:space="preserve"> add γ·Δq_t (REER) or δ·i_t^foreign for EM banks responding to currency and external rates.</w:t>
      </w:r>
    </w:p>
    <w:p w14:paraId="2C5BCD87"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w:t>
      </w:r>
      <w:r w:rsidRPr="00B84586">
        <w:rPr>
          <w:rFonts w:ascii="Aptos" w:eastAsia="Times New Roman" w:hAnsi="Aptos" w:cs="Times New Roman"/>
          <w:b/>
          <w:bCs/>
          <w:kern w:val="0"/>
          <w:sz w:val="22"/>
          <w:szCs w:val="22"/>
          <w:lang w:eastAsia="en-GB"/>
          <w14:ligatures w14:val="none"/>
        </w:rPr>
        <w:t>Taylor principle</w:t>
      </w:r>
      <w:r w:rsidRPr="00B84586">
        <w:rPr>
          <w:rFonts w:ascii="Aptos" w:eastAsia="Times New Roman" w:hAnsi="Aptos" w:cs="Times New Roman"/>
          <w:kern w:val="0"/>
          <w:sz w:val="22"/>
          <w:szCs w:val="22"/>
          <w:lang w:eastAsia="en-GB"/>
          <w14:ligatures w14:val="none"/>
        </w:rPr>
        <w:t xml:space="preserve"> requires α &gt; 1: the bank must raise nominal rates more than one-for-one with inflation to actually raise </w:t>
      </w:r>
      <w:r w:rsidRPr="00B84586">
        <w:rPr>
          <w:rFonts w:ascii="Aptos" w:eastAsia="Times New Roman" w:hAnsi="Aptos" w:cs="Times New Roman"/>
          <w:i/>
          <w:iCs/>
          <w:kern w:val="0"/>
          <w:sz w:val="22"/>
          <w:szCs w:val="22"/>
          <w:lang w:eastAsia="en-GB"/>
          <w14:ligatures w14:val="none"/>
        </w:rPr>
        <w:t>real</w:t>
      </w:r>
      <w:r w:rsidRPr="00B84586">
        <w:rPr>
          <w:rFonts w:ascii="Aptos" w:eastAsia="Times New Roman" w:hAnsi="Aptos" w:cs="Times New Roman"/>
          <w:kern w:val="0"/>
          <w:sz w:val="22"/>
          <w:szCs w:val="22"/>
          <w:lang w:eastAsia="en-GB"/>
          <w14:ligatures w14:val="none"/>
        </w:rPr>
        <w:t xml:space="preserve"> rates. If α &lt; 1, the rule is indeterminate — inflation expectations can spiral.</w:t>
      </w:r>
    </w:p>
    <w:p w14:paraId="58E87168"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estimated coefficient vector θ̂ = {α̂, β̂, ρ̂, γ̂, δ̂} is the bank's reduced-form identity. High α: inflation-targeting hawk. High β: dual-mandate dove. High ρ: gradualist. High γ: fear-of-floating EM bank. When these coefficients drift over time, the bank's identity is changing — sometimes silently. The Volcker, Greenspan, and Bernanke Fed regimes each had measurably different coefficient profiles, often before any announced strategy change.</w:t>
      </w:r>
    </w:p>
    <w:p w14:paraId="685399EA" w14:textId="77777777" w:rsidR="00363CC1" w:rsidRPr="00B84586" w:rsidRDefault="00B51FEA" w:rsidP="00363CC1">
      <w:pPr>
        <w:spacing w:after="0"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noProof/>
          <w:kern w:val="0"/>
          <w:sz w:val="22"/>
          <w:szCs w:val="22"/>
          <w:lang w:eastAsia="en-GB"/>
        </w:rPr>
        <w:pict w14:anchorId="0D9420FD">
          <v:rect id="_x0000_i1063" alt="" style="width:451.3pt;height:.05pt;mso-width-percent:0;mso-height-percent:0;mso-width-percent:0;mso-height-percent:0" o:hralign="center" o:hrstd="t" o:hr="t" fillcolor="#a0a0a0" stroked="f"/>
        </w:pict>
      </w:r>
    </w:p>
    <w:p w14:paraId="6A449EDD"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Why this matters for asset prices</w:t>
      </w:r>
    </w:p>
    <w:p w14:paraId="658F83F6"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Once the bank has a known reaction function, the data itself becomes the policy signal. A high CPI print is not just news about inflation — it is news about the next rate decision. Markets re-price the entire yield curve before the bank meets because they can compute what the bank will do. This is why CPI prints often move bonds more than rate decisions themselves: the decision is already priced in by the time it arrives. The surprise in the data is what does the work.</w:t>
      </w:r>
    </w:p>
    <w:p w14:paraId="4DC661FD"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A second implication: </w:t>
      </w:r>
      <w:r w:rsidRPr="00B84586">
        <w:rPr>
          <w:rFonts w:ascii="Aptos" w:eastAsia="Times New Roman" w:hAnsi="Aptos" w:cs="Times New Roman"/>
          <w:b/>
          <w:bCs/>
          <w:kern w:val="0"/>
          <w:sz w:val="22"/>
          <w:szCs w:val="22"/>
          <w:lang w:eastAsia="en-GB"/>
          <w14:ligatures w14:val="none"/>
        </w:rPr>
        <w:t>credibility is the stability of the rule</w:t>
      </w:r>
      <w:r w:rsidRPr="00B84586">
        <w:rPr>
          <w:rFonts w:ascii="Aptos" w:eastAsia="Times New Roman" w:hAnsi="Aptos" w:cs="Times New Roman"/>
          <w:kern w:val="0"/>
          <w:sz w:val="22"/>
          <w:szCs w:val="22"/>
          <w:lang w:eastAsia="en-GB"/>
          <w14:ligatures w14:val="none"/>
        </w:rPr>
        <w:t>, not the level of any one variable. A bank with stable coefficients has high credibility because markets can extrapolate; a bank with drifting coefficients has low credibility because markets must guess what they are responding to. Long-end yields and break-evens are direct reads on perceived rule stability.</w:t>
      </w:r>
    </w:p>
    <w:p w14:paraId="4EA9F6C8" w14:textId="77777777" w:rsidR="00363CC1" w:rsidRPr="00B84586" w:rsidRDefault="00B51FEA" w:rsidP="00363CC1">
      <w:pPr>
        <w:spacing w:after="0"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noProof/>
          <w:kern w:val="0"/>
          <w:sz w:val="22"/>
          <w:szCs w:val="22"/>
          <w:lang w:eastAsia="en-GB"/>
        </w:rPr>
        <w:pict w14:anchorId="630925E9">
          <v:rect id="_x0000_i1062" alt="" style="width:451.3pt;height:.05pt;mso-width-percent:0;mso-height-percent:0;mso-width-percent:0;mso-height-percent:0" o:hralign="center" o:hrstd="t" o:hr="t" fillcolor="#a0a0a0" stroked="f"/>
        </w:pict>
      </w:r>
    </w:p>
    <w:p w14:paraId="696D489F"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EM extension</w:t>
      </w:r>
    </w:p>
    <w:p w14:paraId="2087E02B"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Most EM central banks have reaction functions richer than the DM specification:</w:t>
      </w:r>
    </w:p>
    <w:p w14:paraId="17AF9463"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i_t = f(π gap, output gap, FX, financial conditions, foreign rate)</w:t>
      </w:r>
    </w:p>
    <w:p w14:paraId="45DC475F"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A weak currency forces hikes even when inflation and growth would suggest holding. This is the "fear of floating" extension (Calvo-Reinhart 2002). It is why EM curves are more FX-sensitive than DM curves — the market knows the bank will respond to the currency. The Aron-Muellbauer (2007) specification for SARB explicitly includes the REER and the Fed funds rate; Mohanty-Klau (2005) generalised this across a panel of EM banks.</w:t>
      </w:r>
    </w:p>
    <w:p w14:paraId="2EAAE433"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EM extension matters for two reasons. First, it changes which data prints move EM curves — DXY surprises matter as much as domestic CPI. Second, it embeds a constraint the DM rule does not have: the EM rule responds to global conditions whether the bank likes it or not. The trilemma binds even with floating FX (Rey 2013).</w:t>
      </w:r>
    </w:p>
    <w:p w14:paraId="6D014673" w14:textId="77777777" w:rsidR="00363CC1" w:rsidRPr="00B84586" w:rsidRDefault="00B51FEA" w:rsidP="00363CC1">
      <w:pPr>
        <w:spacing w:after="0"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noProof/>
          <w:kern w:val="0"/>
          <w:sz w:val="22"/>
          <w:szCs w:val="22"/>
          <w:lang w:eastAsia="en-GB"/>
        </w:rPr>
        <w:pict w14:anchorId="6B69046C">
          <v:rect id="_x0000_i1061" alt="" style="width:451.3pt;height:.05pt;mso-width-percent:0;mso-height-percent:0;mso-width-percent:0;mso-height-percent:0" o:hralign="center" o:hrstd="t" o:hr="t" fillcolor="#a0a0a0" stroked="f"/>
        </w:pict>
      </w:r>
    </w:p>
    <w:p w14:paraId="64F8A662"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Empirical pitfalls</w:t>
      </w:r>
    </w:p>
    <w:p w14:paraId="3213DA24"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lastRenderedPageBreak/>
        <w:t>Three difficulties recur across the panel.</w:t>
      </w:r>
    </w:p>
    <w:p w14:paraId="3EA45711"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The Lucas critique.</w:t>
      </w:r>
      <w:r w:rsidRPr="00B84586">
        <w:rPr>
          <w:rFonts w:ascii="Aptos" w:eastAsia="Times New Roman" w:hAnsi="Aptos" w:cs="Times New Roman"/>
          <w:kern w:val="0"/>
          <w:sz w:val="22"/>
          <w:szCs w:val="22"/>
          <w:lang w:eastAsia="en-GB"/>
          <w14:ligatures w14:val="none"/>
        </w:rPr>
        <w:t xml:space="preserve"> Reaction function estimates are reduced-form. The coefficients are equilibrium responses given expectations, which themselves depend on the rule. If the rule changes, the estimated coefficients will not be invariant — they shift with the regime. Estimated rules are predictive only within a regime, not across.</w:t>
      </w:r>
    </w:p>
    <w:p w14:paraId="41AD05A9"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Real-time vs ex-post data.</w:t>
      </w:r>
      <w:r w:rsidRPr="00B84586">
        <w:rPr>
          <w:rFonts w:ascii="Aptos" w:eastAsia="Times New Roman" w:hAnsi="Aptos" w:cs="Times New Roman"/>
          <w:kern w:val="0"/>
          <w:sz w:val="22"/>
          <w:szCs w:val="22"/>
          <w:lang w:eastAsia="en-GB"/>
          <w14:ligatures w14:val="none"/>
        </w:rPr>
        <w:t xml:space="preserve"> Banks set policy on real-time data. Estimated rules using revised data overstate how well the bank fit the rule. Orphanides (2001) showed real-time output gap estimates for the 1970s Fed differ massively from later vintages — the Fed was reacting to mis-measured slack.</w:t>
      </w:r>
    </w:p>
    <w:p w14:paraId="25BF001C"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Identification.</w:t>
      </w:r>
      <w:r w:rsidRPr="00B84586">
        <w:rPr>
          <w:rFonts w:ascii="Aptos" w:eastAsia="Times New Roman" w:hAnsi="Aptos" w:cs="Times New Roman"/>
          <w:kern w:val="0"/>
          <w:sz w:val="22"/>
          <w:szCs w:val="22"/>
          <w:lang w:eastAsia="en-GB"/>
          <w14:ligatures w14:val="none"/>
        </w:rPr>
        <w:t xml:space="preserve"> The rate responds to the gaps; the gaps may respond to the rate. Clean estimation requires either timing assumptions (the bank reacts only to lagged data) or instruments (commodity prices, foreign shocks).</w:t>
      </w:r>
    </w:p>
    <w:p w14:paraId="2B73F23D" w14:textId="77777777" w:rsidR="00363CC1" w:rsidRPr="00B84586" w:rsidRDefault="00B51FEA" w:rsidP="00363CC1">
      <w:pPr>
        <w:spacing w:after="0"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noProof/>
          <w:kern w:val="0"/>
          <w:sz w:val="22"/>
          <w:szCs w:val="22"/>
          <w:lang w:eastAsia="en-GB"/>
        </w:rPr>
        <w:pict w14:anchorId="7061D5CA">
          <v:rect id="_x0000_i1060" alt="" style="width:451.3pt;height:.05pt;mso-width-percent:0;mso-height-percent:0;mso-width-percent:0;mso-height-percent:0" o:hralign="center" o:hrstd="t" o:hr="t" fillcolor="#a0a0a0" stroked="f"/>
        </w:pict>
      </w:r>
    </w:p>
    <w:p w14:paraId="1A20CD41"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Sub-node: Where dissonance lives</w:t>
      </w:r>
    </w:p>
    <w:p w14:paraId="776EE7D7"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Within L1, dissonance arises in two forms.</w:t>
      </w:r>
    </w:p>
    <w:p w14:paraId="74C109E7"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Intra-node, temporal.</w:t>
      </w:r>
      <w:r w:rsidRPr="00B84586">
        <w:rPr>
          <w:rFonts w:ascii="Aptos" w:eastAsia="Times New Roman" w:hAnsi="Aptos" w:cs="Times New Roman"/>
          <w:kern w:val="0"/>
          <w:sz w:val="22"/>
          <w:szCs w:val="22"/>
          <w:lang w:eastAsia="en-GB"/>
          <w14:ligatures w14:val="none"/>
        </w:rPr>
        <w:t xml:space="preserve"> The coefficient vector θ̂ drifts. Rolling-window or TVP estimates of θ̂ that move outside historical ranges signal the rule itself is changing — silent regime shift. This is the within-L1 intra-node dissonance metric.</w:t>
      </w:r>
    </w:p>
    <w:p w14:paraId="2CA5EB37"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Vertical, L1 → L3a.</w:t>
      </w:r>
      <w:r w:rsidRPr="00B84586">
        <w:rPr>
          <w:rFonts w:ascii="Aptos" w:eastAsia="Times New Roman" w:hAnsi="Aptos" w:cs="Times New Roman"/>
          <w:kern w:val="0"/>
          <w:sz w:val="22"/>
          <w:szCs w:val="22"/>
          <w:lang w:eastAsia="en-GB"/>
          <w14:ligatures w14:val="none"/>
        </w:rPr>
        <w:t xml:space="preserve"> The Taylor residual. The rule says do i</w:t>
      </w:r>
      <w:r w:rsidRPr="00B84586">
        <w:rPr>
          <w:rFonts w:ascii="Aptos" w:eastAsia="Times New Roman" w:hAnsi="Aptos" w:cs="Times New Roman"/>
          <w:i/>
          <w:iCs/>
          <w:kern w:val="0"/>
          <w:sz w:val="22"/>
          <w:szCs w:val="22"/>
          <w:lang w:eastAsia="en-GB"/>
          <w14:ligatures w14:val="none"/>
        </w:rPr>
        <w:t>_t; the bank does i_t. The deviation ε_t = i_t − i</w:t>
      </w:r>
      <w:r w:rsidRPr="00B84586">
        <w:rPr>
          <w:rFonts w:ascii="Aptos" w:eastAsia="Times New Roman" w:hAnsi="Aptos" w:cs="Times New Roman"/>
          <w:kern w:val="0"/>
          <w:sz w:val="22"/>
          <w:szCs w:val="22"/>
          <w:lang w:eastAsia="en-GB"/>
          <w14:ligatures w14:val="none"/>
        </w:rPr>
        <w:t>_t is the bank choosing not to follow its own rule. Small residuals: the rule is intact. Large or persistent residuals: the bank is acting on something the rule does not capture — a new shock, a new constraint, a new mandate.</w:t>
      </w:r>
    </w:p>
    <w:p w14:paraId="743D600A"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L1 node is where the bank's </w:t>
      </w:r>
      <w:r w:rsidRPr="00B84586">
        <w:rPr>
          <w:rFonts w:ascii="Aptos" w:eastAsia="Times New Roman" w:hAnsi="Aptos" w:cs="Times New Roman"/>
          <w:i/>
          <w:iCs/>
          <w:kern w:val="0"/>
          <w:sz w:val="22"/>
          <w:szCs w:val="22"/>
          <w:lang w:eastAsia="en-GB"/>
          <w14:ligatures w14:val="none"/>
        </w:rPr>
        <w:t>systematic policy intent</w:t>
      </w:r>
      <w:r w:rsidRPr="00B84586">
        <w:rPr>
          <w:rFonts w:ascii="Aptos" w:eastAsia="Times New Roman" w:hAnsi="Aptos" w:cs="Times New Roman"/>
          <w:kern w:val="0"/>
          <w:sz w:val="22"/>
          <w:szCs w:val="22"/>
          <w:lang w:eastAsia="en-GB"/>
          <w14:ligatures w14:val="none"/>
        </w:rPr>
        <w:t xml:space="preserve"> lives. Dissonance at L1 means the intent itself is unstable. Markets pricing through that instability is the asset-price consequence.</w:t>
      </w:r>
    </w:p>
    <w:p w14:paraId="719A4F46" w14:textId="77777777" w:rsidR="00363CC1" w:rsidRPr="00B84586" w:rsidRDefault="00363CC1" w:rsidP="00363CC1">
      <w:pPr>
        <w:spacing w:after="0" w:line="240" w:lineRule="auto"/>
        <w:rPr>
          <w:rFonts w:ascii="Aptos" w:eastAsia="Times New Roman" w:hAnsi="Aptos" w:cs="Times New Roman"/>
          <w:kern w:val="0"/>
          <w:sz w:val="22"/>
          <w:szCs w:val="22"/>
          <w:lang w:eastAsia="en-GB"/>
          <w14:ligatures w14:val="none"/>
        </w:rPr>
      </w:pPr>
    </w:p>
    <w:p w14:paraId="47E022FF" w14:textId="77777777" w:rsidR="00363CC1" w:rsidRDefault="00363CC1" w:rsidP="00363CC1">
      <w:pPr>
        <w:rPr>
          <w:rFonts w:ascii="Aptos" w:hAnsi="Aptos"/>
          <w:sz w:val="22"/>
          <w:szCs w:val="22"/>
          <w:lang w:val="en-US"/>
        </w:rPr>
      </w:pPr>
    </w:p>
    <w:p w14:paraId="7CAB6022" w14:textId="77777777" w:rsidR="00363CC1" w:rsidRDefault="00363CC1" w:rsidP="00363CC1">
      <w:pPr>
        <w:rPr>
          <w:rFonts w:ascii="Aptos" w:hAnsi="Aptos"/>
          <w:sz w:val="22"/>
          <w:szCs w:val="22"/>
          <w:lang w:val="en-US"/>
        </w:rPr>
      </w:pPr>
    </w:p>
    <w:p w14:paraId="5593EDD7" w14:textId="77777777" w:rsidR="00363CC1" w:rsidRDefault="00363CC1" w:rsidP="00363CC1">
      <w:pPr>
        <w:rPr>
          <w:rFonts w:ascii="Aptos" w:hAnsi="Aptos"/>
          <w:sz w:val="22"/>
          <w:szCs w:val="22"/>
          <w:lang w:val="en-US"/>
        </w:rPr>
      </w:pPr>
    </w:p>
    <w:p w14:paraId="271823C1" w14:textId="77777777" w:rsidR="00363CC1" w:rsidRDefault="00363CC1" w:rsidP="00363CC1">
      <w:pPr>
        <w:rPr>
          <w:rFonts w:ascii="Aptos" w:hAnsi="Aptos"/>
          <w:sz w:val="22"/>
          <w:szCs w:val="22"/>
          <w:lang w:val="en-US"/>
        </w:rPr>
      </w:pPr>
    </w:p>
    <w:p w14:paraId="64206400" w14:textId="77777777" w:rsidR="00363CC1" w:rsidRDefault="00363CC1" w:rsidP="00363CC1">
      <w:pPr>
        <w:rPr>
          <w:rFonts w:ascii="Aptos" w:hAnsi="Aptos"/>
          <w:sz w:val="22"/>
          <w:szCs w:val="22"/>
          <w:lang w:val="en-US"/>
        </w:rPr>
      </w:pPr>
    </w:p>
    <w:p w14:paraId="49A93961" w14:textId="77777777" w:rsidR="00363CC1" w:rsidRDefault="00363CC1" w:rsidP="00363CC1">
      <w:pPr>
        <w:rPr>
          <w:rFonts w:ascii="Aptos" w:hAnsi="Aptos"/>
          <w:sz w:val="22"/>
          <w:szCs w:val="22"/>
          <w:lang w:val="en-US"/>
        </w:rPr>
      </w:pPr>
    </w:p>
    <w:p w14:paraId="7C0B0EDC" w14:textId="77777777" w:rsidR="00363CC1" w:rsidRPr="00B84586" w:rsidRDefault="00363CC1" w:rsidP="00363CC1">
      <w:pPr>
        <w:rPr>
          <w:rFonts w:ascii="Aptos" w:hAnsi="Aptos"/>
          <w:sz w:val="22"/>
          <w:szCs w:val="22"/>
          <w:lang w:val="en-US"/>
        </w:rPr>
      </w:pPr>
    </w:p>
    <w:p w14:paraId="4F45F8D8" w14:textId="77777777" w:rsidR="00363CC1" w:rsidRPr="00B84586" w:rsidRDefault="00363CC1" w:rsidP="00363CC1">
      <w:pPr>
        <w:jc w:val="center"/>
        <w:rPr>
          <w:rFonts w:ascii="Aptos" w:hAnsi="Aptos"/>
          <w:b/>
          <w:bCs/>
          <w:sz w:val="22"/>
          <w:szCs w:val="22"/>
          <w:lang w:val="en-US"/>
        </w:rPr>
      </w:pPr>
      <w:r w:rsidRPr="00B84586">
        <w:rPr>
          <w:rFonts w:ascii="Aptos" w:hAnsi="Aptos"/>
          <w:b/>
          <w:bCs/>
          <w:sz w:val="22"/>
          <w:szCs w:val="22"/>
          <w:lang w:val="en-US"/>
        </w:rPr>
        <w:t>Level 3: Instruments</w:t>
      </w:r>
    </w:p>
    <w:p w14:paraId="4A68581A"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Level 3a — The Policy Rate</w:t>
      </w:r>
    </w:p>
    <w:p w14:paraId="2008AAEC"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Definition.</w:t>
      </w:r>
      <w:r w:rsidRPr="001F2E56">
        <w:rPr>
          <w:rFonts w:ascii="Aptos" w:eastAsia="Times New Roman" w:hAnsi="Aptos" w:cs="Times New Roman"/>
          <w:kern w:val="0"/>
          <w:sz w:val="22"/>
          <w:szCs w:val="22"/>
          <w:lang w:eastAsia="en-GB"/>
          <w14:ligatures w14:val="none"/>
        </w:rPr>
        <w:t xml:space="preserve"> The policy rate is the interest rate the central bank charges or pays on overnight funds between itself and the banking system. It is the single price the bank directly controls. In the US, it is the federal funds target range. In SA, the repo rate. In the eurozone, the deposit facility rate. In Brazil, SELIC. The mechanism: the bank is the monopoly supplier of bank reserves, and by controlling the price (or quantity) of reserves it controls the marginal cost of bank funding. The policy rate is therefore not just a number — it is the price of liquidity in the banking system.</w:t>
      </w:r>
    </w:p>
    <w:p w14:paraId="0791F289"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Theory</w:t>
      </w:r>
    </w:p>
    <w:p w14:paraId="05121A3C"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foundations sit underneath the policy rate as the dominant monetary instrument.</w:t>
      </w:r>
    </w:p>
    <w:p w14:paraId="22852692"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Wicksellian rate-setting.</w:t>
      </w:r>
      <w:r w:rsidRPr="001F2E56">
        <w:rPr>
          <w:rFonts w:ascii="Aptos" w:eastAsia="Times New Roman" w:hAnsi="Aptos" w:cs="Times New Roman"/>
          <w:kern w:val="0"/>
          <w:sz w:val="22"/>
          <w:szCs w:val="22"/>
          <w:lang w:eastAsia="en-GB"/>
          <w14:ligatures w14:val="none"/>
        </w:rPr>
        <w:t xml:space="preserve"> Wicksell distinguished the "natural rate" — the equilibrium rate consistent with stable inflation and full employment — from the "market rate" — what the bank actually sets. When the market rate sits below the natural rate, inflation accelerates; above it, inflation decelerates. The bank's job is to set the market rate near the natural rate. Modern central banking is structurally Wicksellian: the bank does not target money quantities; it sets the price of money and lets equilibrium adjust.</w:t>
      </w:r>
    </w:p>
    <w:p w14:paraId="69258069"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hypothesis.</w:t>
      </w:r>
      <w:r w:rsidRPr="001F2E56">
        <w:rPr>
          <w:rFonts w:ascii="Aptos" w:eastAsia="Times New Roman" w:hAnsi="Aptos" w:cs="Times New Roman"/>
          <w:kern w:val="0"/>
          <w:sz w:val="22"/>
          <w:szCs w:val="22"/>
          <w:lang w:eastAsia="en-GB"/>
          <w14:ligatures w14:val="none"/>
        </w:rPr>
        <w:t xml:space="preserve"> Long rates are weighted averages of expected future short rates plus a term premium. So a single overnight rate, properly communicated about its future path, transmits across the entire yield curve. Woodford (2003) showed in a New Keynesian framework that what matters for output and inflation is the </w:t>
      </w:r>
      <w:r w:rsidRPr="001F2E56">
        <w:rPr>
          <w:rFonts w:ascii="Aptos" w:eastAsia="Times New Roman" w:hAnsi="Aptos" w:cs="Times New Roman"/>
          <w:i/>
          <w:iCs/>
          <w:kern w:val="0"/>
          <w:sz w:val="22"/>
          <w:szCs w:val="22"/>
          <w:lang w:eastAsia="en-GB"/>
          <w14:ligatures w14:val="none"/>
        </w:rPr>
        <w:t>expected path</w:t>
      </w:r>
      <w:r w:rsidRPr="001F2E56">
        <w:rPr>
          <w:rFonts w:ascii="Aptos" w:eastAsia="Times New Roman" w:hAnsi="Aptos" w:cs="Times New Roman"/>
          <w:kern w:val="0"/>
          <w:sz w:val="22"/>
          <w:szCs w:val="22"/>
          <w:lang w:eastAsia="en-GB"/>
          <w14:ligatures w14:val="none"/>
        </w:rPr>
        <w:t xml:space="preserve"> of real short rates, not the level today. The bank does not need a tool for every maturity — one short rate plus credible communication about the path suffices.</w:t>
      </w:r>
    </w:p>
    <w:p w14:paraId="5EBC2006"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Price-targeting vs quantity-targeting.</w:t>
      </w:r>
      <w:r w:rsidRPr="001F2E56">
        <w:rPr>
          <w:rFonts w:ascii="Aptos" w:eastAsia="Times New Roman" w:hAnsi="Aptos" w:cs="Times New Roman"/>
          <w:kern w:val="0"/>
          <w:sz w:val="22"/>
          <w:szCs w:val="22"/>
          <w:lang w:eastAsia="en-GB"/>
          <w14:ligatures w14:val="none"/>
        </w:rPr>
        <w:t xml:space="preserve"> Pre-1980s many central banks targeted money aggregates (M1, M2). The Volcker Fed shifted explicitly to a price target. The reason: financial innovation made the money-demand relation unstable, breaking the money-multiplier link. Price targeting is also more transparent and more accountable — markets can see what the bank is doing in real time.</w:t>
      </w:r>
    </w:p>
    <w:p w14:paraId="722564E3" w14:textId="77777777" w:rsidR="00363CC1" w:rsidRPr="001F2E56"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25304913">
          <v:rect id="_x0000_i1059" alt="" style="width:451.3pt;height:.05pt;mso-width-percent:0;mso-height-percent:0;mso-width-percent:0;mso-height-percent:0" o:hralign="center" o:hrstd="t" o:hr="t" fillcolor="#a0a0a0" stroked="f"/>
        </w:pict>
      </w:r>
    </w:p>
    <w:p w14:paraId="1F9C4916"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Canonical specifications and parameters</w:t>
      </w:r>
    </w:p>
    <w:p w14:paraId="49AC84C4"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policy rate is implemented operationally through a </w:t>
      </w:r>
      <w:r w:rsidRPr="001F2E56">
        <w:rPr>
          <w:rFonts w:ascii="Aptos" w:eastAsia="Times New Roman" w:hAnsi="Aptos" w:cs="Times New Roman"/>
          <w:i/>
          <w:iCs/>
          <w:kern w:val="0"/>
          <w:sz w:val="22"/>
          <w:szCs w:val="22"/>
          <w:lang w:eastAsia="en-GB"/>
          <w14:ligatures w14:val="none"/>
        </w:rPr>
        <w:t>corridor system</w:t>
      </w:r>
      <w:r w:rsidRPr="001F2E56">
        <w:rPr>
          <w:rFonts w:ascii="Aptos" w:eastAsia="Times New Roman" w:hAnsi="Aptos" w:cs="Times New Roman"/>
          <w:kern w:val="0"/>
          <w:sz w:val="22"/>
          <w:szCs w:val="22"/>
          <w:lang w:eastAsia="en-GB"/>
          <w14:ligatures w14:val="none"/>
        </w:rPr>
        <w:t>. Three rates define the corridor:</w:t>
      </w:r>
    </w:p>
    <w:p w14:paraId="7A6E40BF"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Floor:</w:t>
      </w:r>
      <w:r w:rsidRPr="001F2E56">
        <w:rPr>
          <w:rFonts w:ascii="Aptos" w:eastAsia="Times New Roman" w:hAnsi="Aptos" w:cs="Times New Roman"/>
          <w:kern w:val="0"/>
          <w:sz w:val="22"/>
          <w:szCs w:val="22"/>
          <w:lang w:eastAsia="en-GB"/>
          <w14:ligatures w14:val="none"/>
        </w:rPr>
        <w:t xml:space="preserve"> interest paid on reserves (Fed IORB, ECB deposit facility rate, SARB lower standing facility). Banks will not lend reserves below this; it is the lowest rate in the system.</w:t>
      </w:r>
    </w:p>
    <w:p w14:paraId="72B6CEA7"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Mid (or target):</w:t>
      </w:r>
      <w:r w:rsidRPr="001F2E56">
        <w:rPr>
          <w:rFonts w:ascii="Aptos" w:eastAsia="Times New Roman" w:hAnsi="Aptos" w:cs="Times New Roman"/>
          <w:kern w:val="0"/>
          <w:sz w:val="22"/>
          <w:szCs w:val="22"/>
          <w:lang w:eastAsia="en-GB"/>
          <w14:ligatures w14:val="none"/>
        </w:rPr>
        <w:t xml:space="preserve"> the announced policy rate. In normal times, the rate at which interbank lending clears.</w:t>
      </w:r>
    </w:p>
    <w:p w14:paraId="6A22D2D4"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Ceiling:</w:t>
      </w:r>
      <w:r w:rsidRPr="001F2E56">
        <w:rPr>
          <w:rFonts w:ascii="Aptos" w:eastAsia="Times New Roman" w:hAnsi="Aptos" w:cs="Times New Roman"/>
          <w:kern w:val="0"/>
          <w:sz w:val="22"/>
          <w:szCs w:val="22"/>
          <w:lang w:eastAsia="en-GB"/>
          <w14:ligatures w14:val="none"/>
        </w:rPr>
        <w:t xml:space="preserve"> the discount window or standing lending facility. Banks will not pay more than this for overnight liquidity.</w:t>
      </w:r>
    </w:p>
    <w:p w14:paraId="54FEFA16"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corridor width matters operationally. A narrow corridor pins overnight market rates tightly to the target. A wide corridor lets effective rates drift within the band. SARB runs a ±50bp corridor; </w:t>
      </w:r>
      <w:r w:rsidRPr="001F2E56">
        <w:rPr>
          <w:rFonts w:ascii="Aptos" w:eastAsia="Times New Roman" w:hAnsi="Aptos" w:cs="Times New Roman"/>
          <w:kern w:val="0"/>
          <w:sz w:val="22"/>
          <w:szCs w:val="22"/>
          <w:lang w:eastAsia="en-GB"/>
          <w14:ligatures w14:val="none"/>
        </w:rPr>
        <w:lastRenderedPageBreak/>
        <w:t>the Fed effectively runs a near-zero corridor in the post-2008 ample-reserves regime, with IORB and ON-RRP pinning the range.</w:t>
      </w:r>
    </w:p>
    <w:p w14:paraId="54CD0D7C"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There are two operational regimes. Pre-2008, banks ran </w:t>
      </w:r>
      <w:r w:rsidRPr="001F2E56">
        <w:rPr>
          <w:rFonts w:ascii="Aptos" w:eastAsia="Times New Roman" w:hAnsi="Aptos" w:cs="Times New Roman"/>
          <w:i/>
          <w:iCs/>
          <w:kern w:val="0"/>
          <w:sz w:val="22"/>
          <w:szCs w:val="22"/>
          <w:lang w:eastAsia="en-GB"/>
          <w14:ligatures w14:val="none"/>
        </w:rPr>
        <w:t>scarce-reserves</w:t>
      </w:r>
      <w:r w:rsidRPr="001F2E56">
        <w:rPr>
          <w:rFonts w:ascii="Aptos" w:eastAsia="Times New Roman" w:hAnsi="Aptos" w:cs="Times New Roman"/>
          <w:kern w:val="0"/>
          <w:sz w:val="22"/>
          <w:szCs w:val="22"/>
          <w:lang w:eastAsia="en-GB"/>
          <w14:ligatures w14:val="none"/>
        </w:rPr>
        <w:t xml:space="preserve"> systems where reserves were a binding constraint; the bank set the price by adjusting reserve quantities through open market operations. Post-2008, </w:t>
      </w:r>
      <w:r w:rsidRPr="001F2E56">
        <w:rPr>
          <w:rFonts w:ascii="Aptos" w:eastAsia="Times New Roman" w:hAnsi="Aptos" w:cs="Times New Roman"/>
          <w:i/>
          <w:iCs/>
          <w:kern w:val="0"/>
          <w:sz w:val="22"/>
          <w:szCs w:val="22"/>
          <w:lang w:eastAsia="en-GB"/>
          <w14:ligatures w14:val="none"/>
        </w:rPr>
        <w:t>abundant-reserves</w:t>
      </w:r>
      <w:r w:rsidRPr="001F2E56">
        <w:rPr>
          <w:rFonts w:ascii="Aptos" w:eastAsia="Times New Roman" w:hAnsi="Aptos" w:cs="Times New Roman"/>
          <w:kern w:val="0"/>
          <w:sz w:val="22"/>
          <w:szCs w:val="22"/>
          <w:lang w:eastAsia="en-GB"/>
          <w14:ligatures w14:val="none"/>
        </w:rPr>
        <w:t xml:space="preserve"> systems mean reserves are no longer scarce; the policy rate is set by the rate paid on reserves directly. Most DM banks now run abundant-reserves systems; many EM banks remain in scarce-reserves regimes.</w:t>
      </w:r>
    </w:p>
    <w:p w14:paraId="598B32AD"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other key parameter set: </w:t>
      </w:r>
      <w:r w:rsidRPr="001F2E56">
        <w:rPr>
          <w:rFonts w:ascii="Aptos" w:eastAsia="Times New Roman" w:hAnsi="Aptos" w:cs="Times New Roman"/>
          <w:i/>
          <w:iCs/>
          <w:kern w:val="0"/>
          <w:sz w:val="22"/>
          <w:szCs w:val="22"/>
          <w:lang w:eastAsia="en-GB"/>
          <w14:ligatures w14:val="none"/>
        </w:rPr>
        <w:t>pass-through coefficients.</w:t>
      </w:r>
      <w:r w:rsidRPr="001F2E56">
        <w:rPr>
          <w:rFonts w:ascii="Aptos" w:eastAsia="Times New Roman" w:hAnsi="Aptos" w:cs="Times New Roman"/>
          <w:kern w:val="0"/>
          <w:sz w:val="22"/>
          <w:szCs w:val="22"/>
          <w:lang w:eastAsia="en-GB"/>
          <w14:ligatures w14:val="none"/>
        </w:rPr>
        <w:t xml:space="preserve"> How much of a policy rate move passes through to interbank rates, deposit rates (the "deposit beta"), and lending rates. Pass-through is the empirical bridge between the policy rate and what borrowers and savers actually face. It varies across banks, loan types, and cycles.</w:t>
      </w:r>
    </w:p>
    <w:p w14:paraId="4C23EE83" w14:textId="77777777" w:rsidR="00363CC1" w:rsidRPr="001F2E56"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BA76B5D">
          <v:rect id="_x0000_i1058" alt="" style="width:451.3pt;height:.05pt;mso-width-percent:0;mso-height-percent:0;mso-width-percent:0;mso-height-percent:0" o:hralign="center" o:hrstd="t" o:hr="t" fillcolor="#a0a0a0" stroked="f"/>
        </w:pict>
      </w:r>
    </w:p>
    <w:p w14:paraId="1982055D"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Why this matters for asset prices</w:t>
      </w:r>
    </w:p>
    <w:p w14:paraId="2C14783C"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The policy rate is the foundation of every other interest rate, hence every other asset price. The transmission has two distinct channels.</w:t>
      </w:r>
    </w:p>
    <w:p w14:paraId="28555929"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mechanical channel — front end.</w:t>
      </w:r>
      <w:r w:rsidRPr="001F2E56">
        <w:rPr>
          <w:rFonts w:ascii="Aptos" w:eastAsia="Times New Roman" w:hAnsi="Aptos" w:cs="Times New Roman"/>
          <w:kern w:val="0"/>
          <w:sz w:val="22"/>
          <w:szCs w:val="22"/>
          <w:lang w:eastAsia="en-GB"/>
          <w14:ligatures w14:val="none"/>
        </w:rPr>
        <w:t xml:space="preserve"> The policy rate pins the very short end of the curve directly. A 25bp move re-prices 1-month, 3-month, 6-month rates almost instantly. This is automatic, fast, and effectively guaranteed if the corridor is functioning.</w:t>
      </w:r>
    </w:p>
    <w:p w14:paraId="6D4A38AF"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The expectations channel — the rest of the curve.</w:t>
      </w:r>
      <w:r w:rsidRPr="001F2E56">
        <w:rPr>
          <w:rFonts w:ascii="Aptos" w:eastAsia="Times New Roman" w:hAnsi="Aptos" w:cs="Times New Roman"/>
          <w:kern w:val="0"/>
          <w:sz w:val="22"/>
          <w:szCs w:val="22"/>
          <w:lang w:eastAsia="en-GB"/>
          <w14:ligatures w14:val="none"/>
        </w:rPr>
        <w:t xml:space="preserve"> The 2-year, 5-year, 10-year rates are weighted averages of expected future policy rates plus term premia. Markets infer the future path from the current decision plus communication. So a 25bp move at the front end is partly a level move and partly a </w:t>
      </w:r>
      <w:r w:rsidRPr="001F2E56">
        <w:rPr>
          <w:rFonts w:ascii="Aptos" w:eastAsia="Times New Roman" w:hAnsi="Aptos" w:cs="Times New Roman"/>
          <w:i/>
          <w:iCs/>
          <w:kern w:val="0"/>
          <w:sz w:val="22"/>
          <w:szCs w:val="22"/>
          <w:lang w:eastAsia="en-GB"/>
          <w14:ligatures w14:val="none"/>
        </w:rPr>
        <w:t>signal</w:t>
      </w:r>
      <w:r w:rsidRPr="001F2E56">
        <w:rPr>
          <w:rFonts w:ascii="Aptos" w:eastAsia="Times New Roman" w:hAnsi="Aptos" w:cs="Times New Roman"/>
          <w:kern w:val="0"/>
          <w:sz w:val="22"/>
          <w:szCs w:val="22"/>
          <w:lang w:eastAsia="en-GB"/>
          <w14:ligatures w14:val="none"/>
        </w:rPr>
        <w:t xml:space="preserve"> about the path ahead. The signal often does more work than the level — a hawkish hike (signalling more hikes) lifts the long end more than a dovish hike (signalling we are nearly done).</w:t>
      </w:r>
    </w:p>
    <w:p w14:paraId="536D73A8"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This is why the same nominal rate decision can have very different asset-price consequences depending on its communication. The mechanical effect is the level; the consequential effect is the path.</w:t>
      </w:r>
    </w:p>
    <w:p w14:paraId="28FAC508"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For EM specifically there is a third channel: </w:t>
      </w:r>
      <w:r w:rsidRPr="001F2E56">
        <w:rPr>
          <w:rFonts w:ascii="Aptos" w:eastAsia="Times New Roman" w:hAnsi="Aptos" w:cs="Times New Roman"/>
          <w:i/>
          <w:iCs/>
          <w:kern w:val="0"/>
          <w:sz w:val="22"/>
          <w:szCs w:val="22"/>
          <w:lang w:eastAsia="en-GB"/>
          <w14:ligatures w14:val="none"/>
        </w:rPr>
        <w:t>the FX/carry channel.</w:t>
      </w:r>
      <w:r w:rsidRPr="001F2E56">
        <w:rPr>
          <w:rFonts w:ascii="Aptos" w:eastAsia="Times New Roman" w:hAnsi="Aptos" w:cs="Times New Roman"/>
          <w:kern w:val="0"/>
          <w:sz w:val="22"/>
          <w:szCs w:val="22"/>
          <w:lang w:eastAsia="en-GB"/>
          <w14:ligatures w14:val="none"/>
        </w:rPr>
        <w:t xml:space="preserve"> Higher rates attract foreign capital seeking yield, strengthening the currency and easing inflation pressure independently of domestic demand. So in EM the policy rate is both a domestic-transmission tool and an FX tool, even when not framed as such.</w:t>
      </w:r>
    </w:p>
    <w:p w14:paraId="376584F2" w14:textId="77777777" w:rsidR="00363CC1" w:rsidRPr="001F2E56"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28E8A4F6">
          <v:rect id="_x0000_i1057" alt="" style="width:451.3pt;height:.05pt;mso-width-percent:0;mso-height-percent:0;mso-width-percent:0;mso-height-percent:0" o:hralign="center" o:hrstd="t" o:hr="t" fillcolor="#a0a0a0" stroked="f"/>
        </w:pict>
      </w:r>
    </w:p>
    <w:p w14:paraId="4CAA04DD"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Regime and EM variation</w:t>
      </w:r>
    </w:p>
    <w:p w14:paraId="31898108"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Three differences worth flagging across the panel.</w:t>
      </w:r>
    </w:p>
    <w:p w14:paraId="0327D538"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Corridor structure.</w:t>
      </w:r>
      <w:r w:rsidRPr="001F2E56">
        <w:rPr>
          <w:rFonts w:ascii="Aptos" w:eastAsia="Times New Roman" w:hAnsi="Aptos" w:cs="Times New Roman"/>
          <w:kern w:val="0"/>
          <w:sz w:val="22"/>
          <w:szCs w:val="22"/>
          <w:lang w:eastAsia="en-GB"/>
          <w14:ligatures w14:val="none"/>
        </w:rPr>
        <w:t xml:space="preserve"> DM banks typically run tight corridors; EM banks often run wider. SARB's ±50bp corridor is generous; BCB sets SELIC as a weighted average of all daily repo operations rather than a single point target. Wider corridors weaken the pin-down of overnight rates to the target and complicate pass-through measurement.</w:t>
      </w:r>
    </w:p>
    <w:p w14:paraId="2A2B797F"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Pass-through asymmetry.</w:t>
      </w:r>
      <w:r w:rsidRPr="001F2E56">
        <w:rPr>
          <w:rFonts w:ascii="Aptos" w:eastAsia="Times New Roman" w:hAnsi="Aptos" w:cs="Times New Roman"/>
          <w:kern w:val="0"/>
          <w:sz w:val="22"/>
          <w:szCs w:val="22"/>
          <w:lang w:eastAsia="en-GB"/>
          <w14:ligatures w14:val="none"/>
        </w:rPr>
        <w:t xml:space="preserve"> EM lending rates are often less responsive to policy rate changes than DM. Reasons: less bank competition, more fixed-rate loan structures, sometimes regulatory rate controls. The implication: EM banks may need to over-move to get domestic traction, and the rate is a blunter tool.</w:t>
      </w:r>
    </w:p>
    <w:p w14:paraId="60E0C0CC"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ELB constraint.</w:t>
      </w:r>
      <w:r w:rsidRPr="001F2E56">
        <w:rPr>
          <w:rFonts w:ascii="Aptos" w:eastAsia="Times New Roman" w:hAnsi="Aptos" w:cs="Times New Roman"/>
          <w:kern w:val="0"/>
          <w:sz w:val="22"/>
          <w:szCs w:val="22"/>
          <w:lang w:eastAsia="en-GB"/>
          <w14:ligatures w14:val="none"/>
        </w:rPr>
        <w:t xml:space="preserve"> For DM banks since 2008, the effective lower bound makes the policy rate a non-symmetric instrument — cuts are constrained, hikes are not. The policy rate loses primacy at the ELB and alternative instruments (balance sheet, forward guidance) take over. EM banks have generally not hit the ELB; their rate space has stayed conventionally usable.</w:t>
      </w:r>
    </w:p>
    <w:p w14:paraId="295143C7" w14:textId="77777777" w:rsidR="00363CC1" w:rsidRPr="001F2E56"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EE2F4FC">
          <v:rect id="_x0000_i1056" alt="" style="width:451.3pt;height:.05pt;mso-width-percent:0;mso-height-percent:0;mso-width-percent:0;mso-height-percent:0" o:hralign="center" o:hrstd="t" o:hr="t" fillcolor="#a0a0a0" stroked="f"/>
        </w:pict>
      </w:r>
    </w:p>
    <w:p w14:paraId="2DA1F1D3"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Empirical pitfalls</w:t>
      </w:r>
    </w:p>
    <w:p w14:paraId="38C6FEE6"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Which rate is "the" policy rate?</w:t>
      </w:r>
      <w:r w:rsidRPr="001F2E56">
        <w:rPr>
          <w:rFonts w:ascii="Aptos" w:eastAsia="Times New Roman" w:hAnsi="Aptos" w:cs="Times New Roman"/>
          <w:kern w:val="0"/>
          <w:sz w:val="22"/>
          <w:szCs w:val="22"/>
          <w:lang w:eastAsia="en-GB"/>
          <w14:ligatures w14:val="none"/>
        </w:rPr>
        <w:t xml:space="preserve"> Fed: midpoint of target range, or IORB, or effective fed funds? ECB: DFR, MRO, or MLF? For estimation, this choice matters — different rates give different answers, especially at regime breaks (2008 ample-reserves shift; 2022 ECB DFR-as-primary shift).</w:t>
      </w:r>
    </w:p>
    <w:p w14:paraId="452D8FD3"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Announced vs effective rate.</w:t>
      </w:r>
      <w:r w:rsidRPr="001F2E56">
        <w:rPr>
          <w:rFonts w:ascii="Aptos" w:eastAsia="Times New Roman" w:hAnsi="Aptos" w:cs="Times New Roman"/>
          <w:kern w:val="0"/>
          <w:sz w:val="22"/>
          <w:szCs w:val="22"/>
          <w:lang w:eastAsia="en-GB"/>
          <w14:ligatures w14:val="none"/>
        </w:rPr>
        <w:t xml:space="preserve"> The announced rate is the bank's decision; the effective rate is what actually trades in overnight markets. These can diverge meaningfully when the corridor is wide, when reserves are scarce, or when market stress drives rates to the floor or ceiling. €STR traded persistently below the announced ECB rate through 2015–2022; SOFR has occasionally spiked through the upper bound at quarter-ends.</w:t>
      </w:r>
    </w:p>
    <w:p w14:paraId="7FF37C6C"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Pass-through measurement.</w:t>
      </w:r>
      <w:r w:rsidRPr="001F2E56">
        <w:rPr>
          <w:rFonts w:ascii="Aptos" w:eastAsia="Times New Roman" w:hAnsi="Aptos" w:cs="Times New Roman"/>
          <w:kern w:val="0"/>
          <w:sz w:val="22"/>
          <w:szCs w:val="22"/>
          <w:lang w:eastAsia="en-GB"/>
          <w14:ligatures w14:val="none"/>
        </w:rPr>
        <w:t xml:space="preserve"> Deposit beta and loan beta require granular bank-level data. They are unstable across cycles — Drechsler, Savov &amp; Schnabl (2017) showed deposit beta varies systematically with bank market power, not just policy regime. Pre-2008 and post-2008 pass-through structures differ. Real-time identification is hard; ex-post estimation masks the dynamic adjustment.</w:t>
      </w:r>
    </w:p>
    <w:p w14:paraId="3AF93538" w14:textId="77777777" w:rsidR="00363CC1" w:rsidRPr="001F2E56"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ABBB83C">
          <v:rect id="_x0000_i1055" alt="" style="width:451.3pt;height:.05pt;mso-width-percent:0;mso-height-percent:0;mso-width-percent:0;mso-height-percent:0" o:hralign="center" o:hrstd="t" o:hr="t" fillcolor="#a0a0a0" stroked="f"/>
        </w:pict>
      </w:r>
    </w:p>
    <w:p w14:paraId="057B7419"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b/>
          <w:bCs/>
          <w:kern w:val="0"/>
          <w:sz w:val="22"/>
          <w:szCs w:val="22"/>
          <w:lang w:eastAsia="en-GB"/>
          <w14:ligatures w14:val="none"/>
        </w:rPr>
        <w:t>Sub-node: Where dissonance lives</w:t>
      </w:r>
    </w:p>
    <w:p w14:paraId="6C2192E2"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Within L3a, dissonance is multi-dimensional.</w:t>
      </w:r>
    </w:p>
    <w:p w14:paraId="5F0CE3F5"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Intra-node.</w:t>
      </w:r>
      <w:r w:rsidRPr="001F2E56">
        <w:rPr>
          <w:rFonts w:ascii="Aptos" w:eastAsia="Times New Roman" w:hAnsi="Aptos" w:cs="Times New Roman"/>
          <w:kern w:val="0"/>
          <w:sz w:val="22"/>
          <w:szCs w:val="22"/>
          <w:lang w:eastAsia="en-GB"/>
          <w14:ligatures w14:val="none"/>
        </w:rPr>
        <w:t xml:space="preserve"> Components of the rate node disagree. Announced rate vs effective overnight rate vs near-term FRA/OIS vs standing facility utilisation. Equilibrium: all pin to the same number. Dissonance fires when overnight rates drift from the announced target (corridor pinning failure), when standing facility usage spikes (banks cannot or will not fund at the policy rate), or when near-term FRAs price a path the bank has not signalled (market disbelieves the rule).</w:t>
      </w:r>
    </w:p>
    <w:p w14:paraId="0C921196"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upward, L1 → L3a.</w:t>
      </w:r>
      <w:r w:rsidRPr="001F2E56">
        <w:rPr>
          <w:rFonts w:ascii="Aptos" w:eastAsia="Times New Roman" w:hAnsi="Aptos" w:cs="Times New Roman"/>
          <w:kern w:val="0"/>
          <w:sz w:val="22"/>
          <w:szCs w:val="22"/>
          <w:lang w:eastAsia="en-GB"/>
          <w14:ligatures w14:val="none"/>
        </w:rPr>
        <w:t xml:space="preserve"> The Taylor residual ε_t = i_t − i*_t. The bank choosing not to follow its own rule. Already developed in detail.</w:t>
      </w:r>
    </w:p>
    <w:p w14:paraId="5AB96A54"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t>Vertical downward, L3a → L4a.</w:t>
      </w:r>
      <w:r w:rsidRPr="001F2E56">
        <w:rPr>
          <w:rFonts w:ascii="Aptos" w:eastAsia="Times New Roman" w:hAnsi="Aptos" w:cs="Times New Roman"/>
          <w:kern w:val="0"/>
          <w:sz w:val="22"/>
          <w:szCs w:val="22"/>
          <w:lang w:eastAsia="en-GB"/>
          <w14:ligatures w14:val="none"/>
        </w:rPr>
        <w:t xml:space="preserve"> The policy rate sets the front end; the curve embeds the inferred path. Dissonance fires when the front re-prices but the slope, curvature, or longer-dated expectations are inconsistent with the rule.</w:t>
      </w:r>
    </w:p>
    <w:p w14:paraId="1630F342" w14:textId="77777777" w:rsidR="00363CC1" w:rsidRPr="001F2E5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i/>
          <w:iCs/>
          <w:kern w:val="0"/>
          <w:sz w:val="22"/>
          <w:szCs w:val="22"/>
          <w:lang w:eastAsia="en-GB"/>
          <w14:ligatures w14:val="none"/>
        </w:rPr>
        <w:lastRenderedPageBreak/>
        <w:t>Vertical downward, L3a → L5a.</w:t>
      </w:r>
      <w:r w:rsidRPr="001F2E56">
        <w:rPr>
          <w:rFonts w:ascii="Aptos" w:eastAsia="Times New Roman" w:hAnsi="Aptos" w:cs="Times New Roman"/>
          <w:kern w:val="0"/>
          <w:sz w:val="22"/>
          <w:szCs w:val="22"/>
          <w:lang w:eastAsia="en-GB"/>
          <w14:ligatures w14:val="none"/>
        </w:rPr>
        <w:t xml:space="preserve"> Pass-through. The rate moves; bank lending rates should follow with stable beta. Dissonance fires when the spread between policy rate and effective borrowing rates widens significantly — transmission impaired through the bank lending channel.</w:t>
      </w:r>
    </w:p>
    <w:p w14:paraId="6EF0DD2D"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1F2E56">
        <w:rPr>
          <w:rFonts w:ascii="Aptos" w:eastAsia="Times New Roman" w:hAnsi="Aptos" w:cs="Times New Roman"/>
          <w:kern w:val="0"/>
          <w:sz w:val="22"/>
          <w:szCs w:val="22"/>
          <w:lang w:eastAsia="en-GB"/>
          <w14:ligatures w14:val="none"/>
        </w:rPr>
        <w:t xml:space="preserve">The L3a node is the </w:t>
      </w:r>
      <w:r w:rsidRPr="001F2E56">
        <w:rPr>
          <w:rFonts w:ascii="Aptos" w:eastAsia="Times New Roman" w:hAnsi="Aptos" w:cs="Times New Roman"/>
          <w:i/>
          <w:iCs/>
          <w:kern w:val="0"/>
          <w:sz w:val="22"/>
          <w:szCs w:val="22"/>
          <w:lang w:eastAsia="en-GB"/>
          <w14:ligatures w14:val="none"/>
        </w:rPr>
        <w:t>price of liquidity</w:t>
      </w:r>
      <w:r w:rsidRPr="001F2E56">
        <w:rPr>
          <w:rFonts w:ascii="Aptos" w:eastAsia="Times New Roman" w:hAnsi="Aptos" w:cs="Times New Roman"/>
          <w:kern w:val="0"/>
          <w:sz w:val="22"/>
          <w:szCs w:val="22"/>
          <w:lang w:eastAsia="en-GB"/>
          <w14:ligatures w14:val="none"/>
        </w:rPr>
        <w:t xml:space="preserve"> in the banking system. Dissonance at L3a means the bank has lost some control over that price, or that the price the bank set is not the price the system is operating on. Markets pricing through that loss of control is the asset-price consequence.</w:t>
      </w:r>
    </w:p>
    <w:p w14:paraId="2961FC0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3b — The Balance Sheet</w:t>
      </w:r>
    </w:p>
    <w:p w14:paraId="2F0DD1E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central bank balance sheet is the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xml:space="preserve"> of monetary policy — the set of assets the bank holds (government bonds, agency MBS, foreign reserves, repo positions) and the liabilities it issues (currency, bank reserves, reverse repo). Pre-2008, the balance sheet was passive: just large enough to meet currency demand and reserve requirements. Post-2008 it became active: the bank deliberately expands or contracts size and composition to influence monetary stance and market functioning. Three operating modes — quantitative easing (QE) expands; quantitative tightening (QT) contracts; yield curve control (YCC) commits to buy or sell whatever is needed to peg a specific yield at a specific maturity.</w:t>
      </w:r>
    </w:p>
    <w:p w14:paraId="4039C04A"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576A362">
          <v:rect id="_x0000_i1054" alt="" style="width:451.3pt;height:.05pt;mso-width-percent:0;mso-height-percent:0;mso-width-percent:0;mso-height-percent:0" o:hralign="center" o:hrstd="t" o:hr="t" fillcolor="#a0a0a0" stroked="f"/>
        </w:pict>
      </w:r>
    </w:p>
    <w:p w14:paraId="0292B40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110F53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balance sheet exists as a distinct instrument because the policy rate alone is insufficient under two conditions: when the rate is constrained, and when the bank wants to operate on parts of the curve the rate does not reach.</w:t>
      </w:r>
    </w:p>
    <w:p w14:paraId="129B165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(Tobin).</w:t>
      </w:r>
      <w:r w:rsidRPr="0032251D">
        <w:rPr>
          <w:rFonts w:ascii="Aptos" w:eastAsia="Times New Roman" w:hAnsi="Aptos" w:cs="Times New Roman"/>
          <w:kern w:val="0"/>
          <w:sz w:val="22"/>
          <w:szCs w:val="22"/>
          <w:lang w:eastAsia="en-GB"/>
          <w14:ligatures w14:val="none"/>
        </w:rPr>
        <w:t xml:space="preserve"> Investors hold portfolios across assets. When the bank removes a specific asset — long bonds — from private holdings, investors must rebalance. They demand more of substitute assets, bidding up their prices and lowering their yields. The balance sheet works through </w:t>
      </w:r>
      <w:r w:rsidRPr="0032251D">
        <w:rPr>
          <w:rFonts w:ascii="Aptos" w:eastAsia="Times New Roman" w:hAnsi="Aptos" w:cs="Times New Roman"/>
          <w:i/>
          <w:iCs/>
          <w:kern w:val="0"/>
          <w:sz w:val="22"/>
          <w:szCs w:val="22"/>
          <w:lang w:eastAsia="en-GB"/>
          <w14:ligatures w14:val="none"/>
        </w:rPr>
        <w:t>quantities and substitution</w:t>
      </w:r>
      <w:r w:rsidRPr="0032251D">
        <w:rPr>
          <w:rFonts w:ascii="Aptos" w:eastAsia="Times New Roman" w:hAnsi="Aptos" w:cs="Times New Roman"/>
          <w:kern w:val="0"/>
          <w:sz w:val="22"/>
          <w:szCs w:val="22"/>
          <w:lang w:eastAsia="en-GB"/>
          <w14:ligatures w14:val="none"/>
        </w:rPr>
        <w:t>, not through expected short rates. The mechanism is therefore additive to the policy rate, not redundant.</w:t>
      </w:r>
    </w:p>
    <w:p w14:paraId="62B4172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Preferred habitat (Modigliani-Sutch; Vayanos-Vila).</w:t>
      </w:r>
      <w:r w:rsidRPr="0032251D">
        <w:rPr>
          <w:rFonts w:ascii="Aptos" w:eastAsia="Times New Roman" w:hAnsi="Aptos" w:cs="Times New Roman"/>
          <w:kern w:val="0"/>
          <w:sz w:val="22"/>
          <w:szCs w:val="22"/>
          <w:lang w:eastAsia="en-GB"/>
          <w14:ligatures w14:val="none"/>
        </w:rPr>
        <w:t xml:space="preserve"> Different investors have preferred maturities — insurers want long, banks want short. Markets are partially segmented. The supply of bonds at each maturity matters because investors do not freely substitute across maturities. So when the bank absorbs duration from the market, it lowers term premia specifically at the targeted maturities. This is what makes a maturity-extension programme distinct from a same-size programme at the front end.</w:t>
      </w:r>
    </w:p>
    <w:p w14:paraId="31E8814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Signalling (Bauer-Rudebusch).</w:t>
      </w:r>
      <w:r w:rsidRPr="0032251D">
        <w:rPr>
          <w:rFonts w:ascii="Aptos" w:eastAsia="Times New Roman" w:hAnsi="Aptos" w:cs="Times New Roman"/>
          <w:kern w:val="0"/>
          <w:sz w:val="22"/>
          <w:szCs w:val="22"/>
          <w:lang w:eastAsia="en-GB"/>
          <w14:ligatures w14:val="none"/>
        </w:rPr>
        <w:t xml:space="preserve"> QE signals the bank's commitment to easing and to keeping rates low for longer. The balance sheet move is itself information about the policy path. This makes the balance sheet partly a forward guidance device, even before reaching the term premium channel.</w:t>
      </w:r>
    </w:p>
    <w:p w14:paraId="3FB3E89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rationale.</w:t>
      </w:r>
      <w:r w:rsidRPr="0032251D">
        <w:rPr>
          <w:rFonts w:ascii="Aptos" w:eastAsia="Times New Roman" w:hAnsi="Aptos" w:cs="Times New Roman"/>
          <w:kern w:val="0"/>
          <w:sz w:val="22"/>
          <w:szCs w:val="22"/>
          <w:lang w:eastAsia="en-GB"/>
          <w14:ligatures w14:val="none"/>
        </w:rPr>
        <w:t xml:space="preserve"> When the policy rate hits zero, the bank cannot cut further. The balance sheet provides an alternative instrument — quantity-based easing when price-based easing is exhausted. This is the Tinbergen logic: when one instrument is constrained, deploy another. The BoJ first ran QE 2001-2006; post-2008 it became standard across DM banks.</w:t>
      </w:r>
    </w:p>
    <w:p w14:paraId="73EECF5B"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BB30389">
          <v:rect id="_x0000_i1053" alt="" style="width:451.3pt;height:.05pt;mso-width-percent:0;mso-height-percent:0;mso-width-percent:0;mso-height-percent:0" o:hralign="center" o:hrstd="t" o:hr="t" fillcolor="#a0a0a0" stroked="f"/>
        </w:pict>
      </w:r>
    </w:p>
    <w:p w14:paraId="2B95C27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Canonical specifications and parameters</w:t>
      </w:r>
    </w:p>
    <w:p w14:paraId="2B52BC3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operational modes, each with distinct mechanics.</w:t>
      </w:r>
    </w:p>
    <w:p w14:paraId="200BEB3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QE (asset purchases).</w:t>
      </w:r>
      <w:r w:rsidRPr="0032251D">
        <w:rPr>
          <w:rFonts w:ascii="Aptos" w:eastAsia="Times New Roman" w:hAnsi="Aptos" w:cs="Times New Roman"/>
          <w:kern w:val="0"/>
          <w:sz w:val="22"/>
          <w:szCs w:val="22"/>
          <w:lang w:eastAsia="en-GB"/>
          <w14:ligatures w14:val="none"/>
        </w:rPr>
        <w:t xml:space="preserve"> Define purchases by:</w:t>
      </w:r>
    </w:p>
    <w:p w14:paraId="044B7746" w14:textId="77777777" w:rsidR="00363CC1" w:rsidRPr="0032251D" w:rsidRDefault="00363CC1" w:rsidP="00363C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Size</w:t>
      </w:r>
      <w:r w:rsidRPr="0032251D">
        <w:rPr>
          <w:rFonts w:ascii="Aptos" w:eastAsia="Times New Roman" w:hAnsi="Aptos" w:cs="Times New Roman"/>
          <w:kern w:val="0"/>
          <w:sz w:val="22"/>
          <w:szCs w:val="22"/>
          <w:lang w:eastAsia="en-GB"/>
          <w14:ligatures w14:val="none"/>
        </w:rPr>
        <w:t xml:space="preserve"> — announced flow ($80bn/month) or stock target (total holdings)</w:t>
      </w:r>
    </w:p>
    <w:p w14:paraId="5E2B672F" w14:textId="77777777" w:rsidR="00363CC1" w:rsidRPr="0032251D" w:rsidRDefault="00363CC1" w:rsidP="00363C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Composition</w:t>
      </w:r>
      <w:r w:rsidRPr="0032251D">
        <w:rPr>
          <w:rFonts w:ascii="Aptos" w:eastAsia="Times New Roman" w:hAnsi="Aptos" w:cs="Times New Roman"/>
          <w:kern w:val="0"/>
          <w:sz w:val="22"/>
          <w:szCs w:val="22"/>
          <w:lang w:eastAsia="en-GB"/>
          <w14:ligatures w14:val="none"/>
        </w:rPr>
        <w:t xml:space="preserve"> — Treasuries vs agency MBS vs corporate bonds; determines which spreads compress</w:t>
      </w:r>
    </w:p>
    <w:p w14:paraId="42225D1A" w14:textId="77777777" w:rsidR="00363CC1" w:rsidRPr="0032251D" w:rsidRDefault="00363CC1" w:rsidP="00363C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profile</w:t>
      </w:r>
      <w:r w:rsidRPr="0032251D">
        <w:rPr>
          <w:rFonts w:ascii="Aptos" w:eastAsia="Times New Roman" w:hAnsi="Aptos" w:cs="Times New Roman"/>
          <w:kern w:val="0"/>
          <w:sz w:val="22"/>
          <w:szCs w:val="22"/>
          <w:lang w:eastAsia="en-GB"/>
          <w14:ligatures w14:val="none"/>
        </w:rPr>
        <w:t xml:space="preserve"> — weighted average maturity of purchases; longer = more duration absorbed</w:t>
      </w:r>
    </w:p>
    <w:p w14:paraId="3B5A7EEB" w14:textId="77777777" w:rsidR="00363CC1" w:rsidRPr="0032251D" w:rsidRDefault="00363CC1" w:rsidP="00363C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Duration absorbed</w:t>
      </w:r>
      <w:r w:rsidRPr="0032251D">
        <w:rPr>
          <w:rFonts w:ascii="Aptos" w:eastAsia="Times New Roman" w:hAnsi="Aptos" w:cs="Times New Roman"/>
          <w:kern w:val="0"/>
          <w:sz w:val="22"/>
          <w:szCs w:val="22"/>
          <w:lang w:eastAsia="en-GB"/>
          <w14:ligatures w14:val="none"/>
        </w:rPr>
        <w:t xml:space="preserve"> — the key parameter. Purchases × bond duration = total duration removed from private hands. A $1tn purchase of 10-year bonds removes roughly $10tn of duration. This is what compresses term premia.</w:t>
      </w:r>
    </w:p>
    <w:p w14:paraId="19C3DA5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QT (balance sheet runoff or contraction).</w:t>
      </w:r>
      <w:r w:rsidRPr="0032251D">
        <w:rPr>
          <w:rFonts w:ascii="Aptos" w:eastAsia="Times New Roman" w:hAnsi="Aptos" w:cs="Times New Roman"/>
          <w:kern w:val="0"/>
          <w:sz w:val="22"/>
          <w:szCs w:val="22"/>
          <w:lang w:eastAsia="en-GB"/>
          <w14:ligatures w14:val="none"/>
        </w:rPr>
        <w:t xml:space="preserve"> Two flavours: </w:t>
      </w:r>
      <w:r w:rsidRPr="0032251D">
        <w:rPr>
          <w:rFonts w:ascii="Aptos" w:eastAsia="Times New Roman" w:hAnsi="Aptos" w:cs="Times New Roman"/>
          <w:i/>
          <w:iCs/>
          <w:kern w:val="0"/>
          <w:sz w:val="22"/>
          <w:szCs w:val="22"/>
          <w:lang w:eastAsia="en-GB"/>
          <w14:ligatures w14:val="none"/>
        </w:rPr>
        <w:t>passive QT</w:t>
      </w:r>
      <w:r w:rsidRPr="0032251D">
        <w:rPr>
          <w:rFonts w:ascii="Aptos" w:eastAsia="Times New Roman" w:hAnsi="Aptos" w:cs="Times New Roman"/>
          <w:kern w:val="0"/>
          <w:sz w:val="22"/>
          <w:szCs w:val="22"/>
          <w:lang w:eastAsia="en-GB"/>
          <w14:ligatures w14:val="none"/>
        </w:rPr>
        <w:t xml:space="preserve"> — bonds mature, proceeds not reinvested, caps on monthly runoff; </w:t>
      </w:r>
      <w:r w:rsidRPr="0032251D">
        <w:rPr>
          <w:rFonts w:ascii="Aptos" w:eastAsia="Times New Roman" w:hAnsi="Aptos" w:cs="Times New Roman"/>
          <w:i/>
          <w:iCs/>
          <w:kern w:val="0"/>
          <w:sz w:val="22"/>
          <w:szCs w:val="22"/>
          <w:lang w:eastAsia="en-GB"/>
          <w14:ligatures w14:val="none"/>
        </w:rPr>
        <w:t>active QT</w:t>
      </w:r>
      <w:r w:rsidRPr="0032251D">
        <w:rPr>
          <w:rFonts w:ascii="Aptos" w:eastAsia="Times New Roman" w:hAnsi="Aptos" w:cs="Times New Roman"/>
          <w:kern w:val="0"/>
          <w:sz w:val="22"/>
          <w:szCs w:val="22"/>
          <w:lang w:eastAsia="en-GB"/>
          <w14:ligatures w14:val="none"/>
        </w:rPr>
        <w:t xml:space="preserve"> — outright sales, more aggressive and rare in practice (the Fed has never done it). Pace matters: fast QT can produce market dysfunction; slow QT is orderly normalisation.</w:t>
      </w:r>
    </w:p>
    <w:p w14:paraId="099CBED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YCC (yield curve control).</w:t>
      </w:r>
      <w:r w:rsidRPr="0032251D">
        <w:rPr>
          <w:rFonts w:ascii="Aptos" w:eastAsia="Times New Roman" w:hAnsi="Aptos" w:cs="Times New Roman"/>
          <w:kern w:val="0"/>
          <w:sz w:val="22"/>
          <w:szCs w:val="22"/>
          <w:lang w:eastAsia="en-GB"/>
          <w14:ligatures w14:val="none"/>
        </w:rPr>
        <w:t xml:space="preserve"> The bank commits to defend a specific yield at a specific maturity by buying unlimited quantity at that price. BoJ ran YCC on the 10-year 2016-2024; RBA on the 3-year 2020-2021. Structurally, QE/QT target </w:t>
      </w:r>
      <w:r w:rsidRPr="0032251D">
        <w:rPr>
          <w:rFonts w:ascii="Aptos" w:eastAsia="Times New Roman" w:hAnsi="Aptos" w:cs="Times New Roman"/>
          <w:i/>
          <w:iCs/>
          <w:kern w:val="0"/>
          <w:sz w:val="22"/>
          <w:szCs w:val="22"/>
          <w:lang w:eastAsia="en-GB"/>
          <w14:ligatures w14:val="none"/>
        </w:rPr>
        <w:t>quantities</w:t>
      </w:r>
      <w:r w:rsidRPr="0032251D">
        <w:rPr>
          <w:rFonts w:ascii="Aptos" w:eastAsia="Times New Roman" w:hAnsi="Aptos" w:cs="Times New Roman"/>
          <w:kern w:val="0"/>
          <w:sz w:val="22"/>
          <w:szCs w:val="22"/>
          <w:lang w:eastAsia="en-GB"/>
          <w14:ligatures w14:val="none"/>
        </w:rPr>
        <w:t xml:space="preserve"> and hope for price effects; YCC targets </w:t>
      </w:r>
      <w:r w:rsidRPr="0032251D">
        <w:rPr>
          <w:rFonts w:ascii="Aptos" w:eastAsia="Times New Roman" w:hAnsi="Aptos" w:cs="Times New Roman"/>
          <w:i/>
          <w:iCs/>
          <w:kern w:val="0"/>
          <w:sz w:val="22"/>
          <w:szCs w:val="22"/>
          <w:lang w:eastAsia="en-GB"/>
          <w14:ligatures w14:val="none"/>
        </w:rPr>
        <w:t>prices</w:t>
      </w:r>
      <w:r w:rsidRPr="0032251D">
        <w:rPr>
          <w:rFonts w:ascii="Aptos" w:eastAsia="Times New Roman" w:hAnsi="Aptos" w:cs="Times New Roman"/>
          <w:kern w:val="0"/>
          <w:sz w:val="22"/>
          <w:szCs w:val="22"/>
          <w:lang w:eastAsia="en-GB"/>
          <w14:ligatures w14:val="none"/>
        </w:rPr>
        <w:t xml:space="preserve"> and lets quantities adjust. YCC is more powerful when credible (markets do the work) but more dangerous when challenged (defending the peg can require unlimited buying — the RBA's 2021 abandonment is the cautionary case).</w:t>
      </w:r>
    </w:p>
    <w:p w14:paraId="5D52C3A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most consequential operational label is </w:t>
      </w:r>
      <w:r w:rsidRPr="0032251D">
        <w:rPr>
          <w:rFonts w:ascii="Aptos" w:eastAsia="Times New Roman" w:hAnsi="Aptos" w:cs="Times New Roman"/>
          <w:i/>
          <w:iCs/>
          <w:kern w:val="0"/>
          <w:sz w:val="22"/>
          <w:szCs w:val="22"/>
          <w:lang w:eastAsia="en-GB"/>
          <w14:ligatures w14:val="none"/>
        </w:rPr>
        <w:t>monetary policy vs market functioning</w:t>
      </w:r>
      <w:r w:rsidRPr="0032251D">
        <w:rPr>
          <w:rFonts w:ascii="Aptos" w:eastAsia="Times New Roman" w:hAnsi="Aptos" w:cs="Times New Roman"/>
          <w:kern w:val="0"/>
          <w:sz w:val="22"/>
          <w:szCs w:val="22"/>
          <w:lang w:eastAsia="en-GB"/>
          <w14:ligatures w14:val="none"/>
        </w:rPr>
        <w:t xml:space="preserve">. The same operation can be framed either way. The 2020 Fed "unlimited QE" began as market functioning and then drifted to monetary stance; the 2019 Treasury bill purchases were explicitly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monetary policy (reserves management). The bank's own framing matters because it shapes market interpretation.</w:t>
      </w:r>
    </w:p>
    <w:p w14:paraId="4B29C82C"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6D7AA2E8">
          <v:rect id="_x0000_i1052" alt="" style="width:451.3pt;height:.05pt;mso-width-percent:0;mso-height-percent:0;mso-width-percent:0;mso-height-percent:0" o:hralign="center" o:hrstd="t" o:hr="t" fillcolor="#a0a0a0" stroked="f"/>
        </w:pict>
      </w:r>
    </w:p>
    <w:p w14:paraId="1CF1114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6730D41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balance sheet hits the discount rate through the </w:t>
      </w:r>
      <w:r w:rsidRPr="0032251D">
        <w:rPr>
          <w:rFonts w:ascii="Aptos" w:eastAsia="Times New Roman" w:hAnsi="Aptos" w:cs="Times New Roman"/>
          <w:i/>
          <w:iCs/>
          <w:kern w:val="0"/>
          <w:sz w:val="22"/>
          <w:szCs w:val="22"/>
          <w:lang w:eastAsia="en-GB"/>
          <w14:ligatures w14:val="none"/>
        </w:rPr>
        <w:t>term premium</w:t>
      </w:r>
      <w:r w:rsidRPr="0032251D">
        <w:rPr>
          <w:rFonts w:ascii="Aptos" w:eastAsia="Times New Roman" w:hAnsi="Aptos" w:cs="Times New Roman"/>
          <w:kern w:val="0"/>
          <w:sz w:val="22"/>
          <w:szCs w:val="22"/>
          <w:lang w:eastAsia="en-GB"/>
          <w14:ligatures w14:val="none"/>
        </w:rPr>
        <w:t xml:space="preserve"> component. Recall:</w:t>
      </w:r>
    </w:p>
    <w:p w14:paraId="5744730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 yield = Expected average short rate + Term premium</w:t>
      </w:r>
    </w:p>
    <w:p w14:paraId="77FCDD9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policy rate works through expected short rates. The balance sheet works through term premium. So even at the ELB, the balance sheet can move long-end yields independently of the rate. This is the central empirical point: the two instruments target different components of the same long yield.</w:t>
      </w:r>
    </w:p>
    <w:p w14:paraId="3ACE60E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Term premium moves flow through to every asset class with long-duration cash flows: government bonds directly; mortgage rates (long Treasuries + MBS spread); corporate bonds (long Treasuries + credit spread); equity valuations (long real rates discounting distant cash flows); FX (relative term premia driving long-term currency views).</w:t>
      </w:r>
    </w:p>
    <w:p w14:paraId="1A68061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long-duration assets specifically — growth equities, infrastructure, real estate — the term premium channel dominates the rate channel because cash flows sit far in the future. This is why post-2008 QE supported asset price inflation in long-duration sectors disproportionately.</w:t>
      </w:r>
    </w:p>
    <w:p w14:paraId="23BE4C1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signalling effect compounds the mechanical effect. A QE announcement tells markets simultaneously: (1) the bank is buying duration mechanically, (2) the bank is committed to easing on the policy stance dimension, and (3) the bank's reaction function now includes balance sheet operations going forward. All three flow into asset prices at once, which is why announcement effects often exceed implementation effects.</w:t>
      </w:r>
    </w:p>
    <w:p w14:paraId="567AD15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 specific consequence worth flagging: balance sheet expansion compresses risk premia alongside term premia. This is the financial-stability tension that became visible post-2008 — the value of safe assets falls relative to risk assets, which can build leverage. Macroprudential policy is partly a response to this side-effect.</w:t>
      </w:r>
    </w:p>
    <w:p w14:paraId="40BF0560"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64A060E1">
          <v:rect id="_x0000_i1051" alt="" style="width:451.3pt;height:.05pt;mso-width-percent:0;mso-height-percent:0;mso-width-percent:0;mso-height-percent:0" o:hralign="center" o:hrstd="t" o:hr="t" fillcolor="#a0a0a0" stroked="f"/>
        </w:pict>
      </w:r>
    </w:p>
    <w:p w14:paraId="7B3E01D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14DACB9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asymmetry in the framework. Most EM banks have not used QE in the policy-stance sense. Four reasons.</w:t>
      </w:r>
    </w:p>
    <w:p w14:paraId="28C111D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No ELB problem.</w:t>
      </w:r>
      <w:r w:rsidRPr="0032251D">
        <w:rPr>
          <w:rFonts w:ascii="Aptos" w:eastAsia="Times New Roman" w:hAnsi="Aptos" w:cs="Times New Roman"/>
          <w:kern w:val="0"/>
          <w:sz w:val="22"/>
          <w:szCs w:val="22"/>
          <w:lang w:eastAsia="en-GB"/>
          <w14:ligatures w14:val="none"/>
        </w:rPr>
        <w:t xml:space="preserve"> EM banks have generally not hit the lower bound, so the primary motivation for QE does not apply. Their rate space remains conventional.</w:t>
      </w:r>
    </w:p>
    <w:p w14:paraId="11D5F82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expectations less anchored.</w:t>
      </w:r>
      <w:r w:rsidRPr="0032251D">
        <w:rPr>
          <w:rFonts w:ascii="Aptos" w:eastAsia="Times New Roman" w:hAnsi="Aptos" w:cs="Times New Roman"/>
          <w:kern w:val="0"/>
          <w:sz w:val="22"/>
          <w:szCs w:val="22"/>
          <w:lang w:eastAsia="en-GB"/>
          <w14:ligatures w14:val="none"/>
        </w:rPr>
        <w:t xml:space="preserve"> EM banks expanding balance sheets risk being read as fiscal-monetary blurring or monetary financing of deficits. Inflation expectations in EM are more sensitive to balance sheet signals than to rate signals.</w:t>
      </w:r>
    </w:p>
    <w:p w14:paraId="589D35C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w:t>
      </w:r>
      <w:r w:rsidRPr="0032251D">
        <w:rPr>
          <w:rFonts w:ascii="Aptos" w:eastAsia="Times New Roman" w:hAnsi="Aptos" w:cs="Times New Roman"/>
          <w:kern w:val="0"/>
          <w:sz w:val="22"/>
          <w:szCs w:val="22"/>
          <w:lang w:eastAsia="en-GB"/>
          <w14:ligatures w14:val="none"/>
        </w:rPr>
        <w:t xml:space="preserve"> Balance sheet expansion in EM tends to weaken the currency more than in DM, because investors interpret it as potential monetisation. The portfolio-balance channel runs through FX rather than through term premium.</w:t>
      </w:r>
    </w:p>
    <w:p w14:paraId="2225C03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Smaller bond markets.</w:t>
      </w:r>
      <w:r w:rsidRPr="0032251D">
        <w:rPr>
          <w:rFonts w:ascii="Aptos" w:eastAsia="Times New Roman" w:hAnsi="Aptos" w:cs="Times New Roman"/>
          <w:kern w:val="0"/>
          <w:sz w:val="22"/>
          <w:szCs w:val="22"/>
          <w:lang w:eastAsia="en-GB"/>
          <w14:ligatures w14:val="none"/>
        </w:rPr>
        <w:t xml:space="preserve"> EM bond markets are smaller and less liquid. Balance sheet operations can dominate price formation, which the bank may not want.</w:t>
      </w:r>
    </w:p>
    <w:p w14:paraId="1D4B76B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IMF's Integrated Policy Framework (Adrian et al. 2020) formalises when balance sheet operations are appropriate in EM — typically when FX markets are dysfunctional, not as primary monetary stance.</w:t>
      </w:r>
    </w:p>
    <w:p w14:paraId="73160C9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SARB has never run an asset purchase programme in the monetary stance sense. In 2020 it conducted a small secondary-market purchase programme (around R10-12bn) explicitly labelled market functioning. SA is effectively </w:t>
      </w:r>
      <w:r w:rsidRPr="0032251D">
        <w:rPr>
          <w:rFonts w:ascii="Aptos" w:eastAsia="Times New Roman" w:hAnsi="Aptos" w:cs="Times New Roman"/>
          <w:i/>
          <w:iCs/>
          <w:kern w:val="0"/>
          <w:sz w:val="22"/>
          <w:szCs w:val="22"/>
          <w:lang w:eastAsia="en-GB"/>
          <w14:ligatures w14:val="none"/>
        </w:rPr>
        <w:t>not estimable</w:t>
      </w:r>
      <w:r w:rsidRPr="0032251D">
        <w:rPr>
          <w:rFonts w:ascii="Aptos" w:eastAsia="Times New Roman" w:hAnsi="Aptos" w:cs="Times New Roman"/>
          <w:kern w:val="0"/>
          <w:sz w:val="22"/>
          <w:szCs w:val="22"/>
          <w:lang w:eastAsia="en-GB"/>
          <w14:ligatures w14:val="none"/>
        </w:rPr>
        <w:t xml:space="preserve"> on monetary-stance L3b — which is itself an empirical result for the panel.</w:t>
      </w:r>
    </w:p>
    <w:p w14:paraId="2FECF87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the DM panel: balance sheet is co-equal with rate in the post-2008 regime. The Fed, ECB, BoE, BoJ have all run large QE; QT followed for most. The BoJ ran explicit YCC 2016-2024.</w:t>
      </w:r>
    </w:p>
    <w:p w14:paraId="31047BFE"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002FAE15">
          <v:rect id="_x0000_i1050" alt="" style="width:451.3pt;height:.05pt;mso-width-percent:0;mso-height-percent:0;mso-width-percent:0;mso-height-percent:0" o:hralign="center" o:hrstd="t" o:hr="t" fillcolor="#a0a0a0" stroked="f"/>
        </w:pict>
      </w:r>
    </w:p>
    <w:p w14:paraId="141590C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1A60AD9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What is "the" balance sheet stance?</w:t>
      </w:r>
      <w:r w:rsidRPr="0032251D">
        <w:rPr>
          <w:rFonts w:ascii="Aptos" w:eastAsia="Times New Roman" w:hAnsi="Aptos" w:cs="Times New Roman"/>
          <w:kern w:val="0"/>
          <w:sz w:val="22"/>
          <w:szCs w:val="22"/>
          <w:lang w:eastAsia="en-GB"/>
          <w14:ligatures w14:val="none"/>
        </w:rPr>
        <w:t xml:space="preserve"> Total size? Net flow? Duration absorbed? Announced vs realised? Each gives a different stance reading at the same point in time. The 2019 Fed Treasury bill purchases expanded size without absorbing duration — different metrics gave opposing stance signals.</w:t>
      </w:r>
    </w:p>
    <w:p w14:paraId="09EF43C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Stance vs market-functioning labelling.</w:t>
      </w:r>
      <w:r w:rsidRPr="0032251D">
        <w:rPr>
          <w:rFonts w:ascii="Aptos" w:eastAsia="Times New Roman" w:hAnsi="Aptos" w:cs="Times New Roman"/>
          <w:kern w:val="0"/>
          <w:sz w:val="22"/>
          <w:szCs w:val="22"/>
          <w:lang w:eastAsia="en-GB"/>
          <w14:ligatures w14:val="none"/>
        </w:rPr>
        <w:t xml:space="preserve"> The same operation can be either, depending on the bank's framing. The 2020 Fed unlimited QE was first one then the other. PEPP blended both. Measurement requires a labelling decision the bank itself sometimes blurs deliberately.</w:t>
      </w:r>
    </w:p>
    <w:p w14:paraId="3B081AA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Shadow rate construction.</w:t>
      </w:r>
      <w:r w:rsidRPr="0032251D">
        <w:rPr>
          <w:rFonts w:ascii="Aptos" w:eastAsia="Times New Roman" w:hAnsi="Aptos" w:cs="Times New Roman"/>
          <w:kern w:val="0"/>
          <w:sz w:val="22"/>
          <w:szCs w:val="22"/>
          <w:lang w:eastAsia="en-GB"/>
          <w14:ligatures w14:val="none"/>
        </w:rPr>
        <w:t xml:space="preserve"> To compare balance sheet stance to a rate-equivalent at the ELB, shadow rate models (Wu-Xia, Krippner) extrapolate a hypothetical negative rate consistent with observed yield curves. The shadow rate is sensitive to model specification — Wu-Xia and Krippner can differ by 100-200bp at the same date.</w:t>
      </w:r>
    </w:p>
    <w:p w14:paraId="40F3986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balance sheet shocks.</w:t>
      </w:r>
      <w:r w:rsidRPr="0032251D">
        <w:rPr>
          <w:rFonts w:ascii="Aptos" w:eastAsia="Times New Roman" w:hAnsi="Aptos" w:cs="Times New Roman"/>
          <w:kern w:val="0"/>
          <w:sz w:val="22"/>
          <w:szCs w:val="22"/>
          <w:lang w:eastAsia="en-GB"/>
          <w14:ligatures w14:val="none"/>
        </w:rPr>
        <w:t xml:space="preserve"> Rate decision surprises are clean (decision minus OIS-implied). Balance sheet surprises are harder. Event-study approaches (Krishnamurthy-Vissing-Jorgensen, Gagnon et al.) use daily yield changes around announcements; high-frequency identification (Bauer-Swanson) uses tight windows. Different approaches give different effect sizes — sometimes by factors of two or three.</w:t>
      </w:r>
    </w:p>
    <w:p w14:paraId="5C2AFE3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Stock vs flow effects.</w:t>
      </w:r>
      <w:r w:rsidRPr="0032251D">
        <w:rPr>
          <w:rFonts w:ascii="Aptos" w:eastAsia="Times New Roman" w:hAnsi="Aptos" w:cs="Times New Roman"/>
          <w:kern w:val="0"/>
          <w:sz w:val="22"/>
          <w:szCs w:val="22"/>
          <w:lang w:eastAsia="en-GB"/>
          <w14:ligatures w14:val="none"/>
        </w:rPr>
        <w:t xml:space="preserve"> Does the balance sheet level matter (stock) or the change (flow)? Empirically, both. Stock effects compress term premium persistently; flow effects produce concentrated impact at announcement.</w:t>
      </w:r>
    </w:p>
    <w:p w14:paraId="78683AEE"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158BE73">
          <v:rect id="_x0000_i1049" alt="" style="width:451.3pt;height:.05pt;mso-width-percent:0;mso-height-percent:0;mso-width-percent:0;mso-height-percent:0" o:hralign="center" o:hrstd="t" o:hr="t" fillcolor="#a0a0a0" stroked="f"/>
        </w:pict>
      </w:r>
    </w:p>
    <w:p w14:paraId="51A9B55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769DE42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L3b, dissonance has structural richness.</w:t>
      </w:r>
    </w:p>
    <w:p w14:paraId="224786F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Multiple stance readings disagree:</w:t>
      </w:r>
    </w:p>
    <w:p w14:paraId="2D1070F1" w14:textId="77777777" w:rsidR="00363CC1" w:rsidRPr="0032251D" w:rsidRDefault="00363CC1" w:rsidP="00363CC1">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Size vs composition.</w:t>
      </w:r>
      <w:r w:rsidRPr="0032251D">
        <w:rPr>
          <w:rFonts w:ascii="Aptos" w:eastAsia="Times New Roman" w:hAnsi="Aptos" w:cs="Times New Roman"/>
          <w:kern w:val="0"/>
          <w:sz w:val="22"/>
          <w:szCs w:val="22"/>
          <w:lang w:eastAsia="en-GB"/>
          <w14:ligatures w14:val="none"/>
        </w:rPr>
        <w:t xml:space="preserve"> Balance sheet expands but duration profile of holdings shortens (2019 Fed)</w:t>
      </w:r>
    </w:p>
    <w:p w14:paraId="6AC99987" w14:textId="77777777" w:rsidR="00363CC1" w:rsidRPr="0032251D" w:rsidRDefault="00363CC1" w:rsidP="00363CC1">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Announced vs realised pace.</w:t>
      </w:r>
      <w:r w:rsidRPr="0032251D">
        <w:rPr>
          <w:rFonts w:ascii="Aptos" w:eastAsia="Times New Roman" w:hAnsi="Aptos" w:cs="Times New Roman"/>
          <w:kern w:val="0"/>
          <w:sz w:val="22"/>
          <w:szCs w:val="22"/>
          <w:lang w:eastAsia="en-GB"/>
          <w14:ligatures w14:val="none"/>
        </w:rPr>
        <w:t xml:space="preserve"> Bank says it will buy $X/month; actual purchases differ</w:t>
      </w:r>
    </w:p>
    <w:p w14:paraId="5313B0ED" w14:textId="77777777" w:rsidR="00363CC1" w:rsidRPr="0032251D" w:rsidRDefault="00363CC1" w:rsidP="00363CC1">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Monetary vs market-functioning label.</w:t>
      </w:r>
      <w:r w:rsidRPr="0032251D">
        <w:rPr>
          <w:rFonts w:ascii="Aptos" w:eastAsia="Times New Roman" w:hAnsi="Aptos" w:cs="Times New Roman"/>
          <w:kern w:val="0"/>
          <w:sz w:val="22"/>
          <w:szCs w:val="22"/>
          <w:lang w:eastAsia="en-GB"/>
          <w14:ligatures w14:val="none"/>
        </w:rPr>
        <w:t xml:space="preserve"> Stated purpose changes but actual operations do not, or vice versa</w:t>
      </w:r>
    </w:p>
    <w:p w14:paraId="357748B1" w14:textId="77777777" w:rsidR="00363CC1" w:rsidRPr="0032251D" w:rsidRDefault="00363CC1" w:rsidP="00363CC1">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Purpose-effect gap.</w:t>
      </w:r>
      <w:r w:rsidRPr="0032251D">
        <w:rPr>
          <w:rFonts w:ascii="Aptos" w:eastAsia="Times New Roman" w:hAnsi="Aptos" w:cs="Times New Roman"/>
          <w:kern w:val="0"/>
          <w:sz w:val="22"/>
          <w:szCs w:val="22"/>
          <w:lang w:eastAsia="en-GB"/>
          <w14:ligatures w14:val="none"/>
        </w:rPr>
        <w:t xml:space="preserve"> Announced monetary stance does not produce term-premium move, or stated market-functioning operations produce stance-like signals</w:t>
      </w:r>
    </w:p>
    <w:p w14:paraId="3C2C8AE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L3b.</w:t>
      </w:r>
      <w:r w:rsidRPr="0032251D">
        <w:rPr>
          <w:rFonts w:ascii="Aptos" w:eastAsia="Times New Roman" w:hAnsi="Aptos" w:cs="Times New Roman"/>
          <w:kern w:val="0"/>
          <w:sz w:val="22"/>
          <w:szCs w:val="22"/>
          <w:lang w:eastAsia="en-GB"/>
          <w14:ligatures w14:val="none"/>
        </w:rPr>
        <w:t xml:space="preserve"> At the ELB, the loss function activates balance sheet because the rate is constrained. Dissonance fires when ELB binds but balance sheet remains dormant — the bank refusing to deploy available tools.</w:t>
      </w:r>
    </w:p>
    <w:p w14:paraId="13D9F9F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L3b.</w:t>
      </w:r>
      <w:r w:rsidRPr="0032251D">
        <w:rPr>
          <w:rFonts w:ascii="Aptos" w:eastAsia="Times New Roman" w:hAnsi="Aptos" w:cs="Times New Roman"/>
          <w:kern w:val="0"/>
          <w:sz w:val="22"/>
          <w:szCs w:val="22"/>
          <w:lang w:eastAsia="en-GB"/>
          <w14:ligatures w14:val="none"/>
        </w:rPr>
        <w:t xml:space="preserve"> For banks that have integrated balance sheet into their reaction function (post-2008 DM), the rule prescribes a balance sheet stance alongside the rate. Dissonance fires when balance sheet operations contradict the rule's implied stance.</w:t>
      </w:r>
    </w:p>
    <w:p w14:paraId="2C57531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L4a.</w:t>
      </w:r>
      <w:r w:rsidRPr="0032251D">
        <w:rPr>
          <w:rFonts w:ascii="Aptos" w:eastAsia="Times New Roman" w:hAnsi="Aptos" w:cs="Times New Roman"/>
          <w:kern w:val="0"/>
          <w:sz w:val="22"/>
          <w:szCs w:val="22"/>
          <w:lang w:eastAsia="en-GB"/>
          <w14:ligatures w14:val="none"/>
        </w:rPr>
        <w:t xml:space="preserve"> The balance sheet should compress (in QE) or lift (in QT) term premium. Dissonance fires when operations do not produce the expected term-premium </w:t>
      </w:r>
      <w:r w:rsidRPr="0032251D">
        <w:rPr>
          <w:rFonts w:ascii="Aptos" w:eastAsia="Times New Roman" w:hAnsi="Aptos" w:cs="Times New Roman"/>
          <w:kern w:val="0"/>
          <w:sz w:val="22"/>
          <w:szCs w:val="22"/>
          <w:lang w:eastAsia="en-GB"/>
          <w14:ligatures w14:val="none"/>
        </w:rPr>
        <w:lastRenderedPageBreak/>
        <w:t>response. The 2022-2023 QT did not lift term premium as much as models predicted — possibly because abundant private demand absorbed the supply.</w:t>
      </w:r>
    </w:p>
    <w:p w14:paraId="2D1B9BC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L8 (convenience yield).</w:t>
      </w:r>
      <w:r w:rsidRPr="0032251D">
        <w:rPr>
          <w:rFonts w:ascii="Aptos" w:eastAsia="Times New Roman" w:hAnsi="Aptos" w:cs="Times New Roman"/>
          <w:kern w:val="0"/>
          <w:sz w:val="22"/>
          <w:szCs w:val="22"/>
          <w:lang w:eastAsia="en-GB"/>
          <w14:ligatures w14:val="none"/>
        </w:rPr>
        <w:t xml:space="preserve"> Balance sheet operations directly affect the convenience yield by changing the supply of safe assets in private hands. QE compresses convenience yield; QT widens it. Dissonance fires when this channel is disrupted (debt ceiling episodes, dealer balance sheet constraints).</w:t>
      </w:r>
    </w:p>
    <w:p w14:paraId="173510B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L3b node is the bank's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Pre-2008 passive; post-2008 actively deployed in DM. Dissonance at L3b means the bank's quantity actions do not match its stated quantity intent, or that the quantity stance is inconsistent with the price stance set by L3a.</w:t>
      </w:r>
    </w:p>
    <w:p w14:paraId="69D019D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3c — Forward Guidance</w:t>
      </w:r>
    </w:p>
    <w:p w14:paraId="6F7D597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Forward guidance is communication by the central bank about the future path of policy. It is the practice of using words to move markets when actions alone are insufficient or constrained. Pre-2008 it was largely implicit (the cryptic Greenspan era). Post-2008 it became explicit and was elevated to a third major instrument — the policy rate moves the front of the curve, the balance sheet moves the back, and forward guidance moves the belly. It comes in several forms: open-ended qualitative ("extended period"); calendar-based ("through at least 2024"); state-contingent threshold-based ("until unemployment falls below 6.5%"); state-contingent outcome-based ("until inflation reaches 2% on a sustained basis"); and quantitative path projections (the Fed dot plot, BoE fan charts, Riksbank repo path).</w:t>
      </w:r>
    </w:p>
    <w:p w14:paraId="36DE7284"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2B287B4C">
          <v:rect id="_x0000_i1048" alt="" style="width:451.3pt;height:.05pt;mso-width-percent:0;mso-height-percent:0;mso-width-percent:0;mso-height-percent:0" o:hralign="center" o:hrstd="t" o:hr="t" fillcolor="#a0a0a0" stroked="f"/>
        </w:pict>
      </w:r>
    </w:p>
    <w:p w14:paraId="0EDBF9A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28059BB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deep theoretical foundation: monetary policy operates with long lags and through the expected path, not the current level. Woodford (2003) showed in a New Keynesian framework that what matters for output and inflation is the </w:t>
      </w:r>
      <w:r w:rsidRPr="0032251D">
        <w:rPr>
          <w:rFonts w:ascii="Aptos" w:eastAsia="Times New Roman" w:hAnsi="Aptos" w:cs="Times New Roman"/>
          <w:i/>
          <w:iCs/>
          <w:kern w:val="0"/>
          <w:sz w:val="22"/>
          <w:szCs w:val="22"/>
          <w:lang w:eastAsia="en-GB"/>
          <w14:ligatures w14:val="none"/>
        </w:rPr>
        <w:t>expected path</w:t>
      </w:r>
      <w:r w:rsidRPr="0032251D">
        <w:rPr>
          <w:rFonts w:ascii="Aptos" w:eastAsia="Times New Roman" w:hAnsi="Aptos" w:cs="Times New Roman"/>
          <w:kern w:val="0"/>
          <w:sz w:val="22"/>
          <w:szCs w:val="22"/>
          <w:lang w:eastAsia="en-GB"/>
          <w14:ligatures w14:val="none"/>
        </w:rPr>
        <w:t xml:space="preserve"> of real short rates, not the rate today. So the bank's ability to shape expectations of future policy is structurally equivalent to setting policy itself. Guidance is not a substitute for action — it is action through a different channel.</w:t>
      </w:r>
    </w:p>
    <w:p w14:paraId="7A3394B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vs Odyssean (Campbell, Evans, Fisher, Justiniano 2012).</w:t>
      </w:r>
      <w:r w:rsidRPr="0032251D">
        <w:rPr>
          <w:rFonts w:ascii="Aptos" w:eastAsia="Times New Roman" w:hAnsi="Aptos" w:cs="Times New Roman"/>
          <w:kern w:val="0"/>
          <w:sz w:val="22"/>
          <w:szCs w:val="22"/>
          <w:lang w:eastAsia="en-GB"/>
          <w14:ligatures w14:val="none"/>
        </w:rPr>
        <w:t xml:space="preserve"> The foundational distinction.</w:t>
      </w:r>
    </w:p>
    <w:p w14:paraId="27DD3D7F" w14:textId="77777777" w:rsidR="00363CC1" w:rsidRPr="0032251D" w:rsidRDefault="00363CC1" w:rsidP="00363CC1">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guidance:</w:t>
      </w:r>
      <w:r w:rsidRPr="0032251D">
        <w:rPr>
          <w:rFonts w:ascii="Aptos" w:eastAsia="Times New Roman" w:hAnsi="Aptos" w:cs="Times New Roman"/>
          <w:kern w:val="0"/>
          <w:sz w:val="22"/>
          <w:szCs w:val="22"/>
          <w:lang w:eastAsia="en-GB"/>
          <w14:ligatures w14:val="none"/>
        </w:rPr>
        <w:t xml:space="preserve"> the bank shares its forecast. "We expect rates at 5% next year given our outlook." This is information about the economy, not a commitment. If the outlook changes, the path changes.</w:t>
      </w:r>
    </w:p>
    <w:p w14:paraId="6D8D0521" w14:textId="77777777" w:rsidR="00363CC1" w:rsidRPr="0032251D" w:rsidRDefault="00363CC1" w:rsidP="00363CC1">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Odyssean guidance:</w:t>
      </w:r>
      <w:r w:rsidRPr="0032251D">
        <w:rPr>
          <w:rFonts w:ascii="Aptos" w:eastAsia="Times New Roman" w:hAnsi="Aptos" w:cs="Times New Roman"/>
          <w:kern w:val="0"/>
          <w:sz w:val="22"/>
          <w:szCs w:val="22"/>
          <w:lang w:eastAsia="en-GB"/>
          <w14:ligatures w14:val="none"/>
        </w:rPr>
        <w:t xml:space="preserve"> the bank commits to a path. "We will hold rates here through 2025 even if inflation rises." This is a binding pledge — like Odysseus tied to the mast. The bank commits to deviate from what data alone would prescribe.</w:t>
      </w:r>
    </w:p>
    <w:p w14:paraId="560AB49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two transmit through different channels. Delphic operates through the information effect — markets learn what the bank knows about the economy. Odyssean operates through the commitment effect — markets learn what the bank will do regardless of incoming data. Odyssean guidance is more powerful when believed, but only works if the bank's credibility supports the commitment.</w:t>
      </w:r>
    </w:p>
    <w:p w14:paraId="73BE79B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The ELB rationale.</w:t>
      </w:r>
      <w:r w:rsidRPr="0032251D">
        <w:rPr>
          <w:rFonts w:ascii="Aptos" w:eastAsia="Times New Roman" w:hAnsi="Aptos" w:cs="Times New Roman"/>
          <w:kern w:val="0"/>
          <w:sz w:val="22"/>
          <w:szCs w:val="22"/>
          <w:lang w:eastAsia="en-GB"/>
          <w14:ligatures w14:val="none"/>
        </w:rPr>
        <w:t xml:space="preserve"> When the policy rate is constrained, the bank can still ease by promising to keep rates low for longer. Eggertsson-Woodford (2003) showed that at the ELB, the </w:t>
      </w:r>
      <w:r w:rsidRPr="0032251D">
        <w:rPr>
          <w:rFonts w:ascii="Aptos" w:eastAsia="Times New Roman" w:hAnsi="Aptos" w:cs="Times New Roman"/>
          <w:i/>
          <w:iCs/>
          <w:kern w:val="0"/>
          <w:sz w:val="22"/>
          <w:szCs w:val="22"/>
          <w:lang w:eastAsia="en-GB"/>
          <w14:ligatures w14:val="none"/>
        </w:rPr>
        <w:t>optimal</w:t>
      </w:r>
      <w:r w:rsidRPr="0032251D">
        <w:rPr>
          <w:rFonts w:ascii="Aptos" w:eastAsia="Times New Roman" w:hAnsi="Aptos" w:cs="Times New Roman"/>
          <w:kern w:val="0"/>
          <w:sz w:val="22"/>
          <w:szCs w:val="22"/>
          <w:lang w:eastAsia="en-GB"/>
          <w14:ligatures w14:val="none"/>
        </w:rPr>
        <w:t xml:space="preserve"> policy is to promise future easing — explicitly committing to deviation from the rule after the constraint releases. This lowers long rates today via the expectations hypothesis, providing easing without cutting the current rate.</w:t>
      </w:r>
    </w:p>
    <w:p w14:paraId="6D4F52A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credibility constraint.</w:t>
      </w:r>
      <w:r w:rsidRPr="0032251D">
        <w:rPr>
          <w:rFonts w:ascii="Aptos" w:eastAsia="Times New Roman" w:hAnsi="Aptos" w:cs="Times New Roman"/>
          <w:kern w:val="0"/>
          <w:sz w:val="22"/>
          <w:szCs w:val="22"/>
          <w:lang w:eastAsia="en-GB"/>
          <w14:ligatures w14:val="none"/>
        </w:rPr>
        <w:t xml:space="preserve"> Forward guidance only works if markets believe it. A bank that has reneged on past guidance loses the ability to use it. The Fed's 2020-2021 inflation guidance under FAIT is the modern cautionary case: outcome-based guidance promising no hikes until inflation showed sustained progress, then a pivot to aggressive hiking as inflation surprised upward. The 2022 pivot damaged the credibility of subsequent guidance.</w:t>
      </w:r>
    </w:p>
    <w:p w14:paraId="17233C05"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3767BFF8">
          <v:rect id="_x0000_i1047" alt="" style="width:451.3pt;height:.05pt;mso-width-percent:0;mso-height-percent:0;mso-width-percent:0;mso-height-percent:0" o:hralign="center" o:hrstd="t" o:hr="t" fillcolor="#a0a0a0" stroked="f"/>
        </w:pict>
      </w:r>
    </w:p>
    <w:p w14:paraId="3DC253D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63168E7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Five operational forms, with increasing specificity:</w:t>
      </w:r>
    </w:p>
    <w:p w14:paraId="7364F3C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Open-ended qualitative.</w:t>
      </w:r>
      <w:r w:rsidRPr="0032251D">
        <w:rPr>
          <w:rFonts w:ascii="Aptos" w:eastAsia="Times New Roman" w:hAnsi="Aptos" w:cs="Times New Roman"/>
          <w:kern w:val="0"/>
          <w:sz w:val="22"/>
          <w:szCs w:val="22"/>
          <w:lang w:eastAsia="en-GB"/>
          <w14:ligatures w14:val="none"/>
        </w:rPr>
        <w:t xml:space="preserve"> Words like "patient," "considerable time," "extended period." Vague by design. Move markets through tone interpretation. Common pre-2008 and still used.</w:t>
      </w:r>
    </w:p>
    <w:p w14:paraId="02E9E7A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Calendar-based.</w:t>
      </w:r>
      <w:r w:rsidRPr="0032251D">
        <w:rPr>
          <w:rFonts w:ascii="Aptos" w:eastAsia="Times New Roman" w:hAnsi="Aptos" w:cs="Times New Roman"/>
          <w:kern w:val="0"/>
          <w:sz w:val="22"/>
          <w:szCs w:val="22"/>
          <w:lang w:eastAsia="en-GB"/>
          <w14:ligatures w14:val="none"/>
        </w:rPr>
        <w:t xml:space="preserve"> Time-specific commitments. "Through mid-2013." Mechanically powerful if believed (markets price the calendar) but inflexible — incoming data may make the calendar wrong.</w:t>
      </w:r>
    </w:p>
    <w:p w14:paraId="6267AB0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threshold-based.</w:t>
      </w:r>
      <w:r w:rsidRPr="0032251D">
        <w:rPr>
          <w:rFonts w:ascii="Aptos" w:eastAsia="Times New Roman" w:hAnsi="Aptos" w:cs="Times New Roman"/>
          <w:kern w:val="0"/>
          <w:sz w:val="22"/>
          <w:szCs w:val="22"/>
          <w:lang w:eastAsia="en-GB"/>
          <w14:ligatures w14:val="none"/>
        </w:rPr>
        <w:t xml:space="preserve"> Tied to observable variables. The Fed's 2012 "Evans rule" — hold rates until unemployment below 6.5% OR inflation above 2.5%. Easier to evaluate ex-post; allows markets to forecast the regime change.</w:t>
      </w:r>
    </w:p>
    <w:p w14:paraId="3E193DC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outcome-based.</w:t>
      </w:r>
      <w:r w:rsidRPr="0032251D">
        <w:rPr>
          <w:rFonts w:ascii="Aptos" w:eastAsia="Times New Roman" w:hAnsi="Aptos" w:cs="Times New Roman"/>
          <w:kern w:val="0"/>
          <w:sz w:val="22"/>
          <w:szCs w:val="22"/>
          <w:lang w:eastAsia="en-GB"/>
          <w14:ligatures w14:val="none"/>
        </w:rPr>
        <w:t xml:space="preserve"> Tied to less observable outcomes. The Fed's 2020 FAIT framework — hold until inflation reaches 2% AND is "on track to moderately exceed for some time." Conceptually flexible but harder to monitor in real time. More vulnerable to credibility loss when the bank decides the condition is met.</w:t>
      </w:r>
    </w:p>
    <w:p w14:paraId="6964E7E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Quantitative path projections.</w:t>
      </w:r>
      <w:r w:rsidRPr="0032251D">
        <w:rPr>
          <w:rFonts w:ascii="Aptos" w:eastAsia="Times New Roman" w:hAnsi="Aptos" w:cs="Times New Roman"/>
          <w:kern w:val="0"/>
          <w:sz w:val="22"/>
          <w:szCs w:val="22"/>
          <w:lang w:eastAsia="en-GB"/>
          <w14:ligatures w14:val="none"/>
        </w:rPr>
        <w:t xml:space="preserve"> The Fed Summary of Economic Projections (SEP) and "dot plot" — each member's forecast of the policy rate three years out and longer run. The median dot is often treated as guidance, but </w:t>
      </w:r>
      <w:r w:rsidRPr="0032251D">
        <w:rPr>
          <w:rFonts w:ascii="Aptos" w:eastAsia="Times New Roman" w:hAnsi="Aptos" w:cs="Times New Roman"/>
          <w:i/>
          <w:iCs/>
          <w:kern w:val="0"/>
          <w:sz w:val="22"/>
          <w:szCs w:val="22"/>
          <w:lang w:eastAsia="en-GB"/>
          <w14:ligatures w14:val="none"/>
        </w:rPr>
        <w:t>dot dispersion</w:t>
      </w:r>
      <w:r w:rsidRPr="0032251D">
        <w:rPr>
          <w:rFonts w:ascii="Aptos" w:eastAsia="Times New Roman" w:hAnsi="Aptos" w:cs="Times New Roman"/>
          <w:kern w:val="0"/>
          <w:sz w:val="22"/>
          <w:szCs w:val="22"/>
          <w:lang w:eastAsia="en-GB"/>
          <w14:ligatures w14:val="none"/>
        </w:rPr>
        <w:t xml:space="preserve"> matters as much. Wide dispersion indicates committee disagreement, weakening the dot's force as a commitment.</w:t>
      </w:r>
    </w:p>
    <w:p w14:paraId="5F2110C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in any guidance regime: </w:t>
      </w:r>
      <w:r w:rsidRPr="0032251D">
        <w:rPr>
          <w:rFonts w:ascii="Aptos" w:eastAsia="Times New Roman" w:hAnsi="Aptos" w:cs="Times New Roman"/>
          <w:i/>
          <w:iCs/>
          <w:kern w:val="0"/>
          <w:sz w:val="22"/>
          <w:szCs w:val="22"/>
          <w:lang w:eastAsia="en-GB"/>
          <w14:ligatures w14:val="none"/>
        </w:rPr>
        <w:t>horizon</w:t>
      </w:r>
      <w:r w:rsidRPr="0032251D">
        <w:rPr>
          <w:rFonts w:ascii="Aptos" w:eastAsia="Times New Roman" w:hAnsi="Aptos" w:cs="Times New Roman"/>
          <w:kern w:val="0"/>
          <w:sz w:val="22"/>
          <w:szCs w:val="22"/>
          <w:lang w:eastAsia="en-GB"/>
          <w14:ligatures w14:val="none"/>
        </w:rPr>
        <w:t xml:space="preserve"> (how far out), </w:t>
      </w:r>
      <w:r w:rsidRPr="0032251D">
        <w:rPr>
          <w:rFonts w:ascii="Aptos" w:eastAsia="Times New Roman" w:hAnsi="Aptos" w:cs="Times New Roman"/>
          <w:i/>
          <w:iCs/>
          <w:kern w:val="0"/>
          <w:sz w:val="22"/>
          <w:szCs w:val="22"/>
          <w:lang w:eastAsia="en-GB"/>
          <w14:ligatures w14:val="none"/>
        </w:rPr>
        <w:t>bindingness</w:t>
      </w:r>
      <w:r w:rsidRPr="0032251D">
        <w:rPr>
          <w:rFonts w:ascii="Aptos" w:eastAsia="Times New Roman" w:hAnsi="Aptos" w:cs="Times New Roman"/>
          <w:kern w:val="0"/>
          <w:sz w:val="22"/>
          <w:szCs w:val="22"/>
          <w:lang w:eastAsia="en-GB"/>
          <w14:ligatures w14:val="none"/>
        </w:rPr>
        <w:t xml:space="preserve"> (conditional vs unconditional), </w:t>
      </w:r>
      <w:r w:rsidRPr="0032251D">
        <w:rPr>
          <w:rFonts w:ascii="Aptos" w:eastAsia="Times New Roman" w:hAnsi="Aptos" w:cs="Times New Roman"/>
          <w:i/>
          <w:iCs/>
          <w:kern w:val="0"/>
          <w:sz w:val="22"/>
          <w:szCs w:val="22"/>
          <w:lang w:eastAsia="en-GB"/>
          <w14:ligatures w14:val="none"/>
        </w:rPr>
        <w:t>specificity</w:t>
      </w:r>
      <w:r w:rsidRPr="0032251D">
        <w:rPr>
          <w:rFonts w:ascii="Aptos" w:eastAsia="Times New Roman" w:hAnsi="Aptos" w:cs="Times New Roman"/>
          <w:kern w:val="0"/>
          <w:sz w:val="22"/>
          <w:szCs w:val="22"/>
          <w:lang w:eastAsia="en-GB"/>
          <w14:ligatures w14:val="none"/>
        </w:rPr>
        <w:t xml:space="preserve"> (words vs numbers vs paths), and </w:t>
      </w:r>
      <w:r w:rsidRPr="0032251D">
        <w:rPr>
          <w:rFonts w:ascii="Aptos" w:eastAsia="Times New Roman" w:hAnsi="Aptos" w:cs="Times New Roman"/>
          <w:i/>
          <w:iCs/>
          <w:kern w:val="0"/>
          <w:sz w:val="22"/>
          <w:szCs w:val="22"/>
          <w:lang w:eastAsia="en-GB"/>
          <w14:ligatures w14:val="none"/>
        </w:rPr>
        <w:t>committee unanimity</w:t>
      </w:r>
      <w:r w:rsidRPr="0032251D">
        <w:rPr>
          <w:rFonts w:ascii="Aptos" w:eastAsia="Times New Roman" w:hAnsi="Aptos" w:cs="Times New Roman"/>
          <w:kern w:val="0"/>
          <w:sz w:val="22"/>
          <w:szCs w:val="22"/>
          <w:lang w:eastAsia="en-GB"/>
          <w14:ligatures w14:val="none"/>
        </w:rPr>
        <w:t xml:space="preserve"> (dispersion). These are what an empirical NLP measurement should capture.</w:t>
      </w:r>
    </w:p>
    <w:p w14:paraId="128DCBA2"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7992EC4">
          <v:rect id="_x0000_i1046" alt="" style="width:451.3pt;height:.05pt;mso-width-percent:0;mso-height-percent:0;mso-width-percent:0;mso-height-percent:0" o:hralign="center" o:hrstd="t" o:hr="t" fillcolor="#a0a0a0" stroked="f"/>
        </w:pict>
      </w:r>
    </w:p>
    <w:p w14:paraId="64C9CCC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2CC2FB9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Forward guidance moves the </w:t>
      </w:r>
      <w:r w:rsidRPr="0032251D">
        <w:rPr>
          <w:rFonts w:ascii="Aptos" w:eastAsia="Times New Roman" w:hAnsi="Aptos" w:cs="Times New Roman"/>
          <w:i/>
          <w:iCs/>
          <w:kern w:val="0"/>
          <w:sz w:val="22"/>
          <w:szCs w:val="22"/>
          <w:lang w:eastAsia="en-GB"/>
          <w14:ligatures w14:val="none"/>
        </w:rPr>
        <w:t>belly</w:t>
      </w:r>
      <w:r w:rsidRPr="0032251D">
        <w:rPr>
          <w:rFonts w:ascii="Aptos" w:eastAsia="Times New Roman" w:hAnsi="Aptos" w:cs="Times New Roman"/>
          <w:kern w:val="0"/>
          <w:sz w:val="22"/>
          <w:szCs w:val="22"/>
          <w:lang w:eastAsia="en-GB"/>
          <w14:ligatures w14:val="none"/>
        </w:rPr>
        <w:t xml:space="preserve"> of the curve — the 1-5 year region where pricing depends most on expected future policy rates. Mechanically: the 2-year yield should equal the average expected policy rate over 24 months plus a small term premium. So a credible commitment to hold rates flat for 24 months mechanically pins the 2-year yield close to the current policy rate, </w:t>
      </w:r>
      <w:r w:rsidRPr="0032251D">
        <w:rPr>
          <w:rFonts w:ascii="Aptos" w:eastAsia="Times New Roman" w:hAnsi="Aptos" w:cs="Times New Roman"/>
          <w:kern w:val="0"/>
          <w:sz w:val="22"/>
          <w:szCs w:val="22"/>
          <w:lang w:eastAsia="en-GB"/>
          <w14:ligatures w14:val="none"/>
        </w:rPr>
        <w:lastRenderedPageBreak/>
        <w:t>regardless of where data points. This is how guidance compresses long rates without touching the policy rate.</w:t>
      </w:r>
    </w:p>
    <w:p w14:paraId="4F399F6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Asset price consequences:</w:t>
      </w:r>
    </w:p>
    <w:p w14:paraId="70A4EEF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w:t>
      </w:r>
      <w:r w:rsidRPr="0032251D">
        <w:rPr>
          <w:rFonts w:ascii="Aptos" w:eastAsia="Times New Roman" w:hAnsi="Aptos" w:cs="Times New Roman"/>
          <w:kern w:val="0"/>
          <w:sz w:val="22"/>
          <w:szCs w:val="22"/>
          <w:lang w:eastAsia="en-GB"/>
          <w14:ligatures w14:val="none"/>
        </w:rPr>
        <w:t xml:space="preserve"> Guidance about future rates is the primary determinant of the 2-10 slope. Hawkish guidance (signalling more or longer tightening) flattens; dovish steepens. The slope is therefore a direct read on perceived guidance, even when no explicit numeric guidance exists.</w:t>
      </w:r>
    </w:p>
    <w:p w14:paraId="0270243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compression.</w:t>
      </w:r>
      <w:r w:rsidRPr="0032251D">
        <w:rPr>
          <w:rFonts w:ascii="Aptos" w:eastAsia="Times New Roman" w:hAnsi="Aptos" w:cs="Times New Roman"/>
          <w:kern w:val="0"/>
          <w:sz w:val="22"/>
          <w:szCs w:val="22"/>
          <w:lang w:eastAsia="en-GB"/>
          <w14:ligatures w14:val="none"/>
        </w:rPr>
        <w:t xml:space="preserve"> Clear guidance compresses near-dated rates vol because markets have less to debate. The 2020-2021 period of explicit guidance saw extreme rates vol compression; the 2022 guidance pivot saw vol explode.</w:t>
      </w:r>
    </w:p>
    <w:p w14:paraId="232A2B8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asset support.</w:t>
      </w:r>
      <w:r w:rsidRPr="0032251D">
        <w:rPr>
          <w:rFonts w:ascii="Aptos" w:eastAsia="Times New Roman" w:hAnsi="Aptos" w:cs="Times New Roman"/>
          <w:kern w:val="0"/>
          <w:sz w:val="22"/>
          <w:szCs w:val="22"/>
          <w:lang w:eastAsia="en-GB"/>
          <w14:ligatures w14:val="none"/>
        </w:rPr>
        <w:t xml:space="preserve"> Lower expected long rates support discount rates for long-duration assets. Equity multiples, real estate, infrastructure — all benefit from credible dovish guidance independently of the current rate.</w:t>
      </w:r>
    </w:p>
    <w:p w14:paraId="23D4697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consequences.</w:t>
      </w:r>
      <w:r w:rsidRPr="0032251D">
        <w:rPr>
          <w:rFonts w:ascii="Aptos" w:eastAsia="Times New Roman" w:hAnsi="Aptos" w:cs="Times New Roman"/>
          <w:kern w:val="0"/>
          <w:sz w:val="22"/>
          <w:szCs w:val="22"/>
          <w:lang w:eastAsia="en-GB"/>
          <w14:ligatures w14:val="none"/>
        </w:rPr>
        <w:t xml:space="preserve"> Dovish guidance weakens the currency (lower expected carry); hawkish guidance strengthens. The FX market is particularly attuned to guidance because exchange rates depend on relative future paths, not current spot rate differentials.</w:t>
      </w:r>
    </w:p>
    <w:p w14:paraId="26DF6E3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r w:rsidRPr="0032251D">
        <w:rPr>
          <w:rFonts w:ascii="Aptos" w:eastAsia="Times New Roman" w:hAnsi="Aptos" w:cs="Times New Roman"/>
          <w:i/>
          <w:iCs/>
          <w:kern w:val="0"/>
          <w:sz w:val="22"/>
          <w:szCs w:val="22"/>
          <w:lang w:eastAsia="en-GB"/>
          <w14:ligatures w14:val="none"/>
        </w:rPr>
        <w:t>Bauer-Swanson decomposition</w:t>
      </w:r>
      <w:r w:rsidRPr="0032251D">
        <w:rPr>
          <w:rFonts w:ascii="Aptos" w:eastAsia="Times New Roman" w:hAnsi="Aptos" w:cs="Times New Roman"/>
          <w:kern w:val="0"/>
          <w:sz w:val="22"/>
          <w:szCs w:val="22"/>
          <w:lang w:eastAsia="en-GB"/>
          <w14:ligatures w14:val="none"/>
        </w:rPr>
        <w:t xml:space="preserve"> operationalises this: monetary policy surprises split into a target factor (the rate decision itself) and a path factor (the implied future path inferred from guidance). The path factor often has larger effects on longer-dated assets than the target factor. This is why FOMC meetings can move markets violently even when the rate decision is fully expected — the guidance moves the path factor.</w:t>
      </w:r>
    </w:p>
    <w:p w14:paraId="64935E30"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0BF3C6A">
          <v:rect id="_x0000_i1045" alt="" style="width:451.3pt;height:.05pt;mso-width-percent:0;mso-height-percent:0;mso-width-percent:0;mso-height-percent:0" o:hralign="center" o:hrstd="t" o:hr="t" fillcolor="#a0a0a0" stroked="f"/>
        </w:pict>
      </w:r>
    </w:p>
    <w:p w14:paraId="0491321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13BE10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Forward guidance is more challenging in EM for four reasons.</w:t>
      </w:r>
    </w:p>
    <w:p w14:paraId="0135356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deficit.</w:t>
      </w:r>
      <w:r w:rsidRPr="0032251D">
        <w:rPr>
          <w:rFonts w:ascii="Aptos" w:eastAsia="Times New Roman" w:hAnsi="Aptos" w:cs="Times New Roman"/>
          <w:kern w:val="0"/>
          <w:sz w:val="22"/>
          <w:szCs w:val="22"/>
          <w:lang w:eastAsia="en-GB"/>
          <w14:ligatures w14:val="none"/>
        </w:rPr>
        <w:t xml:space="preserve"> EM banks have less credibility than DM banks on average, so guidance is discounted more. The market does not assume the bank will follow through. This is the binding constraint on EM Odyssean guidance — without credibility stock, commitment guidance is just words.</w:t>
      </w:r>
    </w:p>
    <w:p w14:paraId="714F1C3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Reaction function instability.</w:t>
      </w:r>
      <w:r w:rsidRPr="0032251D">
        <w:rPr>
          <w:rFonts w:ascii="Aptos" w:eastAsia="Times New Roman" w:hAnsi="Aptos" w:cs="Times New Roman"/>
          <w:kern w:val="0"/>
          <w:sz w:val="22"/>
          <w:szCs w:val="22"/>
          <w:lang w:eastAsia="en-GB"/>
          <w14:ligatures w14:val="none"/>
        </w:rPr>
        <w:t xml:space="preserve"> EM reaction functions are more likely to drift (political pressure, fiscal dominance episodes). Guidance presupposes a stable rule. When the rule itself is suspected to be unstable, guidance about future actions is structurally weak.</w:t>
      </w:r>
    </w:p>
    <w:p w14:paraId="02FA5BB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 constraints.</w:t>
      </w:r>
      <w:r w:rsidRPr="0032251D">
        <w:rPr>
          <w:rFonts w:ascii="Aptos" w:eastAsia="Times New Roman" w:hAnsi="Aptos" w:cs="Times New Roman"/>
          <w:kern w:val="0"/>
          <w:sz w:val="22"/>
          <w:szCs w:val="22"/>
          <w:lang w:eastAsia="en-GB"/>
          <w14:ligatures w14:val="none"/>
        </w:rPr>
        <w:t xml:space="preserve"> EM banks respond to global conditions. Guidance about the domestic path conflicts with the bank's actual responsiveness to Fed policy. So EM banks rarely give long-horizon Odyssean guidance — they cannot credibly promise a path that depends on what the Fed does.</w:t>
      </w:r>
    </w:p>
    <w:p w14:paraId="599DA33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Communication infrastructure.</w:t>
      </w:r>
      <w:r w:rsidRPr="0032251D">
        <w:rPr>
          <w:rFonts w:ascii="Aptos" w:eastAsia="Times New Roman" w:hAnsi="Aptos" w:cs="Times New Roman"/>
          <w:kern w:val="0"/>
          <w:sz w:val="22"/>
          <w:szCs w:val="22"/>
          <w:lang w:eastAsia="en-GB"/>
          <w14:ligatures w14:val="none"/>
        </w:rPr>
        <w:t xml:space="preserve"> Many EM banks have less developed communication architecture — no dot plots, less frequent press conferences, statements only in local languages, no fan charts. Even when guidance is intended, the technology for transmitting it is thinner.</w:t>
      </w:r>
    </w:p>
    <w:p w14:paraId="0F8C75F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SA specifically: SARB does not publish a dot plot or formal forward guidance. The MPC statement contains qualitative guidance ("the MPC remains data-dependent"; "risks remain to the upside") and the Governor's press conference adds tonal guidance. But there is no commitment-based guidance like the Fed offers. SARB guidance is purely Delphic in Campbell et al.'s sense — information about the bank's reading of the economy, not commitment to a path.</w:t>
      </w:r>
    </w:p>
    <w:p w14:paraId="1A96598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BCB publishes quarterly inflation reports with explicit policy paths — closer to DM practice. Banxico provides forward-looking statements but no quantitative paths. The DM panel varies: Fed dot plot since 2012, ECB qualitative state-contingent, BoE fan charts, BoJ explicit YCC as a form of price-level guidance, Riksbank explicit repo path projections.</w:t>
      </w:r>
    </w:p>
    <w:p w14:paraId="14F64161"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561AD83">
          <v:rect id="_x0000_i1044" alt="" style="width:451.3pt;height:.05pt;mso-width-percent:0;mso-height-percent:0;mso-width-percent:0;mso-height-percent:0" o:hralign="center" o:hrstd="t" o:hr="t" fillcolor="#a0a0a0" stroked="f"/>
        </w:pict>
      </w:r>
    </w:p>
    <w:p w14:paraId="4636E0D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425C26D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the guidance component.</w:t>
      </w:r>
      <w:r w:rsidRPr="0032251D">
        <w:rPr>
          <w:rFonts w:ascii="Aptos" w:eastAsia="Times New Roman" w:hAnsi="Aptos" w:cs="Times New Roman"/>
          <w:kern w:val="0"/>
          <w:sz w:val="22"/>
          <w:szCs w:val="22"/>
          <w:lang w:eastAsia="en-GB"/>
          <w14:ligatures w14:val="none"/>
        </w:rPr>
        <w:t xml:space="preserve"> Rate decisions and forward guidance often come together. The Bauer-Swanson / GSS approach uses high-frequency identification — yield changes in a 30-minute window around the FOMC decision are decomposed into target and path factors via principal components. But this requires deep, liquid OIS markets. For many EM banks, this identification is structurally impossible — the OIS market does not have enough liquidity to register a clean window response.</w:t>
      </w:r>
    </w:p>
    <w:p w14:paraId="644BE42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NLP measurement.</w:t>
      </w:r>
      <w:r w:rsidRPr="0032251D">
        <w:rPr>
          <w:rFonts w:ascii="Aptos" w:eastAsia="Times New Roman" w:hAnsi="Aptos" w:cs="Times New Roman"/>
          <w:kern w:val="0"/>
          <w:sz w:val="22"/>
          <w:szCs w:val="22"/>
          <w:lang w:eastAsia="en-GB"/>
          <w14:ligatures w14:val="none"/>
        </w:rPr>
        <w:t xml:space="preserve"> When there is no explicit numeric guidance, researchers use natural language processing to extract sentiment from statements and press conferences. Tools include LDA topic models, dictionary-based scores (Loughran-McDonald financial sentiment), and increasingly LLM-based extraction. All are noisy and method-dependent. Two studies of the same statement can disagree on whether it was hawkish or dovish.</w:t>
      </w:r>
    </w:p>
    <w:p w14:paraId="4E7D377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Source disagreement.</w:t>
      </w:r>
      <w:r w:rsidRPr="0032251D">
        <w:rPr>
          <w:rFonts w:ascii="Aptos" w:eastAsia="Times New Roman" w:hAnsi="Aptos" w:cs="Times New Roman"/>
          <w:kern w:val="0"/>
          <w:sz w:val="22"/>
          <w:szCs w:val="22"/>
          <w:lang w:eastAsia="en-GB"/>
          <w14:ligatures w14:val="none"/>
        </w:rPr>
        <w:t xml:space="preserve"> When statement, press conference, and dot plot send different signals, which is "guidance"? Markets integrate all three but the empirical decomposition is hard. Some researchers use the press conference because it generates the largest intraday market response; others use the statement because it is the official policy document.</w:t>
      </w:r>
    </w:p>
    <w:p w14:paraId="34C49A2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variation.</w:t>
      </w:r>
      <w:r w:rsidRPr="0032251D">
        <w:rPr>
          <w:rFonts w:ascii="Aptos" w:eastAsia="Times New Roman" w:hAnsi="Aptos" w:cs="Times New Roman"/>
          <w:kern w:val="0"/>
          <w:sz w:val="22"/>
          <w:szCs w:val="22"/>
          <w:lang w:eastAsia="en-GB"/>
          <w14:ligatures w14:val="none"/>
        </w:rPr>
        <w:t xml:space="preserve"> Guidance has different effects depending on the bank's credibility stock. Estimating average effects across regimes masks regime-dependence. A high-credibility regime episode and a low-credibility regime episode of the same guidance type can produce opposite asset price responses.</w:t>
      </w:r>
    </w:p>
    <w:p w14:paraId="755ABB8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Selection bias.</w:t>
      </w:r>
      <w:r w:rsidRPr="0032251D">
        <w:rPr>
          <w:rFonts w:ascii="Aptos" w:eastAsia="Times New Roman" w:hAnsi="Aptos" w:cs="Times New Roman"/>
          <w:kern w:val="0"/>
          <w:sz w:val="22"/>
          <w:szCs w:val="22"/>
          <w:lang w:eastAsia="en-GB"/>
          <w14:ligatures w14:val="none"/>
        </w:rPr>
        <w:t xml:space="preserve"> Banks give explicit guidance when they want to or need to. The episodes when guidance is given are not randomly chosen. The Fed gave heaviest guidance during the ELB period — a regime when its credibility was particularly tested.</w:t>
      </w:r>
    </w:p>
    <w:p w14:paraId="34D949CB"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053A7D56">
          <v:rect id="_x0000_i1043" alt="" style="width:451.3pt;height:.05pt;mso-width-percent:0;mso-height-percent:0;mso-width-percent:0;mso-height-percent:0" o:hralign="center" o:hrstd="t" o:hr="t" fillcolor="#a0a0a0" stroked="f"/>
        </w:pict>
      </w:r>
    </w:p>
    <w:p w14:paraId="0EF0AE1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2545F4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L3c:</w:t>
      </w:r>
    </w:p>
    <w:p w14:paraId="39D92C3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Intra-node.</w:t>
      </w:r>
      <w:r w:rsidRPr="0032251D">
        <w:rPr>
          <w:rFonts w:ascii="Aptos" w:eastAsia="Times New Roman" w:hAnsi="Aptos" w:cs="Times New Roman"/>
          <w:kern w:val="0"/>
          <w:sz w:val="22"/>
          <w:szCs w:val="22"/>
          <w:lang w:eastAsia="en-GB"/>
          <w14:ligatures w14:val="none"/>
        </w:rPr>
        <w:t xml:space="preserve"> Tone vs content mismatch. NLP-extracted sentiment from statements should agree with explicit projections (dot plot, repo path) and press conference signals. Dissonance fires when:</w:t>
      </w:r>
    </w:p>
    <w:p w14:paraId="5B81537A" w14:textId="77777777" w:rsidR="00363CC1" w:rsidRPr="0032251D" w:rsidRDefault="00363CC1" w:rsidP="00363CC1">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Hawkish statement, dovish presser (the modal case of dot-plot/press-conference divergence)</w:t>
      </w:r>
    </w:p>
    <w:p w14:paraId="0B6C5CF2" w14:textId="77777777" w:rsidR="00363CC1" w:rsidRPr="0032251D" w:rsidRDefault="00363CC1" w:rsidP="00363CC1">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Dovish median dot, but wide dot dispersion with hawkish outliers (committee not unanimous)</w:t>
      </w:r>
    </w:p>
    <w:p w14:paraId="5736596C" w14:textId="77777777" w:rsidR="00363CC1" w:rsidRPr="0032251D" w:rsidRDefault="00363CC1" w:rsidP="00363CC1">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Statement says "data-dependent," but Governor's speeches lock in a specific path</w:t>
      </w:r>
    </w:p>
    <w:p w14:paraId="5B117633" w14:textId="77777777" w:rsidR="00363CC1" w:rsidRPr="0032251D" w:rsidRDefault="00363CC1" w:rsidP="00363CC1">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Outcome-based guidance issued but conditions monitored selectively</w:t>
      </w:r>
    </w:p>
    <w:p w14:paraId="47F066E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L3c.</w:t>
      </w:r>
      <w:r w:rsidRPr="0032251D">
        <w:rPr>
          <w:rFonts w:ascii="Aptos" w:eastAsia="Times New Roman" w:hAnsi="Aptos" w:cs="Times New Roman"/>
          <w:kern w:val="0"/>
          <w:sz w:val="22"/>
          <w:szCs w:val="22"/>
          <w:lang w:eastAsia="en-GB"/>
          <w14:ligatures w14:val="none"/>
        </w:rPr>
        <w:t xml:space="preserve"> Rule-implied path vs communicated path. Guidance should reflect the rule given the bank's state forecasts. Dissonance fires when guidance is off-rule — Delphic (the bank's state forecast differs from the rule's implied state) or Odyssean (deliberate commitment to deviate).</w:t>
      </w:r>
    </w:p>
    <w:p w14:paraId="6CA9A19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L3c.</w:t>
      </w:r>
      <w:r w:rsidRPr="0032251D">
        <w:rPr>
          <w:rFonts w:ascii="Aptos" w:eastAsia="Times New Roman" w:hAnsi="Aptos" w:cs="Times New Roman"/>
          <w:kern w:val="0"/>
          <w:sz w:val="22"/>
          <w:szCs w:val="22"/>
          <w:lang w:eastAsia="en-GB"/>
          <w14:ligatures w14:val="none"/>
        </w:rPr>
        <w:t xml:space="preserve"> Odyssean guidance is the commitment device to override the loss function under future state realisations. Dissonance fires when guidance promises a path inconsistent with the bank's underlying loss function — credibility risk on future revisions.</w:t>
      </w:r>
    </w:p>
    <w:p w14:paraId="42A8CB4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L4a.</w:t>
      </w:r>
      <w:r w:rsidRPr="0032251D">
        <w:rPr>
          <w:rFonts w:ascii="Aptos" w:eastAsia="Times New Roman" w:hAnsi="Aptos" w:cs="Times New Roman"/>
          <w:kern w:val="0"/>
          <w:sz w:val="22"/>
          <w:szCs w:val="22"/>
          <w:lang w:eastAsia="en-GB"/>
          <w14:ligatures w14:val="none"/>
        </w:rPr>
        <w:t xml:space="preserve"> Guidance should move the belly of the curve. Dissonance fires when guidance shifts but the belly does not follow — markets do not believe the guidance.</w:t>
      </w:r>
    </w:p>
    <w:p w14:paraId="608AA60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L4d (volatility surface).</w:t>
      </w:r>
      <w:r w:rsidRPr="0032251D">
        <w:rPr>
          <w:rFonts w:ascii="Aptos" w:eastAsia="Times New Roman" w:hAnsi="Aptos" w:cs="Times New Roman"/>
          <w:kern w:val="0"/>
          <w:sz w:val="22"/>
          <w:szCs w:val="22"/>
          <w:lang w:eastAsia="en-GB"/>
          <w14:ligatures w14:val="none"/>
        </w:rPr>
        <w:t xml:space="preserve"> Clear guidance compresses near-term rates vol. Dissonance fires when guidance is issued but vol stays elevated — market reads the guidance as uncertain.</w:t>
      </w:r>
    </w:p>
    <w:p w14:paraId="4210287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L6 (expectations).</w:t>
      </w:r>
      <w:r w:rsidRPr="0032251D">
        <w:rPr>
          <w:rFonts w:ascii="Aptos" w:eastAsia="Times New Roman" w:hAnsi="Aptos" w:cs="Times New Roman"/>
          <w:kern w:val="0"/>
          <w:sz w:val="22"/>
          <w:szCs w:val="22"/>
          <w:lang w:eastAsia="en-GB"/>
          <w14:ligatures w14:val="none"/>
        </w:rPr>
        <w:t xml:space="preserve"> Direct mapping — guidance is meant to shape expectations. Dissonance fires when stated guidance is not reflected in expectations data — the credibility deficit made operational.</w:t>
      </w:r>
    </w:p>
    <w:p w14:paraId="00ED59D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L3c node is the bank's </w:t>
      </w:r>
      <w:r w:rsidRPr="0032251D">
        <w:rPr>
          <w:rFonts w:ascii="Aptos" w:eastAsia="Times New Roman" w:hAnsi="Aptos" w:cs="Times New Roman"/>
          <w:i/>
          <w:iCs/>
          <w:kern w:val="0"/>
          <w:sz w:val="22"/>
          <w:szCs w:val="22"/>
          <w:lang w:eastAsia="en-GB"/>
          <w14:ligatures w14:val="none"/>
        </w:rPr>
        <w:t>expectations management instrument</w:t>
      </w:r>
      <w:r w:rsidRPr="0032251D">
        <w:rPr>
          <w:rFonts w:ascii="Aptos" w:eastAsia="Times New Roman" w:hAnsi="Aptos" w:cs="Times New Roman"/>
          <w:kern w:val="0"/>
          <w:sz w:val="22"/>
          <w:szCs w:val="22"/>
          <w:lang w:eastAsia="en-GB"/>
          <w14:ligatures w14:val="none"/>
        </w:rPr>
        <w:t>. Without credibility it does not work; with it, it can substitute for the policy rate and the balance sheet entirely. Dissonance at L3c means the bank is saying one thing while markets price another — a direct, immediate credibility signal that often precedes regime change.</w:t>
      </w:r>
    </w:p>
    <w:p w14:paraId="2C9C433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3d — FX Intervention</w:t>
      </w:r>
    </w:p>
    <w:p w14:paraId="01CB014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FX intervention is the central bank buying or selling foreign currency against the domestic currency to influence the exchange rate. Unlike the policy rate, which affects FX indirectly through rate differentials, intervention operates on the exchange rate directly. Three operational distinctions matter. </w:t>
      </w:r>
      <w:r w:rsidRPr="0032251D">
        <w:rPr>
          <w:rFonts w:ascii="Aptos" w:eastAsia="Times New Roman" w:hAnsi="Aptos" w:cs="Times New Roman"/>
          <w:i/>
          <w:iCs/>
          <w:kern w:val="0"/>
          <w:sz w:val="22"/>
          <w:szCs w:val="22"/>
          <w:lang w:eastAsia="en-GB"/>
          <w14:ligatures w14:val="none"/>
        </w:rPr>
        <w:t>Sterilised vs unsterilised</w:t>
      </w:r>
      <w:r w:rsidRPr="0032251D">
        <w:rPr>
          <w:rFonts w:ascii="Aptos" w:eastAsia="Times New Roman" w:hAnsi="Aptos" w:cs="Times New Roman"/>
          <w:kern w:val="0"/>
          <w:sz w:val="22"/>
          <w:szCs w:val="22"/>
          <w:lang w:eastAsia="en-GB"/>
          <w14:ligatures w14:val="none"/>
        </w:rPr>
        <w:t xml:space="preserve">: sterilised intervention offsets the liquidity effect via a domestic operation, leaving bank reserves unchanged — pure FX channel, no monetary stance change. Unsterilised intervention changes both FX and domestic liquidity simultaneously. </w:t>
      </w: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forward intervention uses derivative books (NDFs or onshore forwards) and does not immediately affect reserves. </w:t>
      </w:r>
      <w:r w:rsidRPr="0032251D">
        <w:rPr>
          <w:rFonts w:ascii="Aptos" w:eastAsia="Times New Roman" w:hAnsi="Aptos" w:cs="Times New Roman"/>
          <w:i/>
          <w:iCs/>
          <w:kern w:val="0"/>
          <w:sz w:val="22"/>
          <w:szCs w:val="22"/>
          <w:lang w:eastAsia="en-GB"/>
          <w14:ligatures w14:val="none"/>
        </w:rPr>
        <w:t>Direction</w:t>
      </w:r>
      <w:r w:rsidRPr="0032251D">
        <w:rPr>
          <w:rFonts w:ascii="Aptos" w:eastAsia="Times New Roman" w:hAnsi="Aptos" w:cs="Times New Roman"/>
          <w:kern w:val="0"/>
          <w:sz w:val="22"/>
          <w:szCs w:val="22"/>
          <w:lang w:eastAsia="en-GB"/>
          <w14:ligatures w14:val="none"/>
        </w:rPr>
        <w:t xml:space="preserve">: buying foreign currency weakens the domestic currency; selling foreign currency strengthens it. The adjacent instrument is </w:t>
      </w:r>
      <w:r w:rsidRPr="0032251D">
        <w:rPr>
          <w:rFonts w:ascii="Aptos" w:eastAsia="Times New Roman" w:hAnsi="Aptos" w:cs="Times New Roman"/>
          <w:i/>
          <w:iCs/>
          <w:kern w:val="0"/>
          <w:sz w:val="22"/>
          <w:szCs w:val="22"/>
          <w:lang w:eastAsia="en-GB"/>
          <w14:ligatures w14:val="none"/>
        </w:rPr>
        <w:t>capital flow management (CFM)</w:t>
      </w:r>
      <w:r w:rsidRPr="0032251D">
        <w:rPr>
          <w:rFonts w:ascii="Aptos" w:eastAsia="Times New Roman" w:hAnsi="Aptos" w:cs="Times New Roman"/>
          <w:kern w:val="0"/>
          <w:sz w:val="22"/>
          <w:szCs w:val="22"/>
          <w:lang w:eastAsia="en-GB"/>
          <w14:ligatures w14:val="none"/>
        </w:rPr>
        <w:t xml:space="preserve"> — administrative controls on cross-border flows that target the same axis through a different mechanism.</w:t>
      </w:r>
    </w:p>
    <w:p w14:paraId="63FCC889"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0C30D20E">
          <v:rect id="_x0000_i1042" alt="" style="width:451.3pt;height:.05pt;mso-width-percent:0;mso-height-percent:0;mso-width-percent:0;mso-height-percent:0" o:hralign="center" o:hrstd="t" o:hr="t" fillcolor="#a0a0a0" stroked="f"/>
        </w:pict>
      </w:r>
    </w:p>
    <w:p w14:paraId="73A619C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Theory</w:t>
      </w:r>
    </w:p>
    <w:p w14:paraId="4637027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exists as a separate instrument because of two structural problems the policy rate cannot solve alone.</w:t>
      </w:r>
    </w:p>
    <w:p w14:paraId="4765702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trilemma (Mundell-Fleming).</w:t>
      </w:r>
      <w:r w:rsidRPr="0032251D">
        <w:rPr>
          <w:rFonts w:ascii="Aptos" w:eastAsia="Times New Roman" w:hAnsi="Aptos" w:cs="Times New Roman"/>
          <w:kern w:val="0"/>
          <w:sz w:val="22"/>
          <w:szCs w:val="22"/>
          <w:lang w:eastAsia="en-GB"/>
          <w14:ligatures w14:val="none"/>
        </w:rPr>
        <w:t xml:space="preserve"> You cannot simultaneously have capital mobility, an exchange rate target, and independent monetary policy. Free float + capital mobility = no FX target. Fixed FX + capital mobility = no monetary independence. Capital controls + fixed FX = monetary independence preserved. Most EMs operate somewhere in the middle — managed float with selective capital flow management — and FX intervention is the instrument that mediates the trade-off in real time. The trilemma says you must give up one corner; intervention is the tool used to partially "buy back" the corner you nominally gave up.</w:t>
      </w:r>
    </w:p>
    <w:p w14:paraId="198C96D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dilemma (Rey 2013).</w:t>
      </w:r>
      <w:r w:rsidRPr="0032251D">
        <w:rPr>
          <w:rFonts w:ascii="Aptos" w:eastAsia="Times New Roman" w:hAnsi="Aptos" w:cs="Times New Roman"/>
          <w:kern w:val="0"/>
          <w:sz w:val="22"/>
          <w:szCs w:val="22"/>
          <w:lang w:eastAsia="en-GB"/>
          <w14:ligatures w14:val="none"/>
        </w:rPr>
        <w:t xml:space="preserve"> Even with floating FX, the global financial cycle constrains monetary autonomy. Dollar-denominated debt, USD-funded portfolio flows, and global risk appetite transmit shocks regardless of the domestic FX regime. So intervention may be needed even in floating regimes — not to maintain a peg, but to manage the cycle's transmission through the exchange rate.</w:t>
      </w:r>
    </w:p>
    <w:p w14:paraId="41833D3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channel for FX.</w:t>
      </w:r>
      <w:r w:rsidRPr="0032251D">
        <w:rPr>
          <w:rFonts w:ascii="Aptos" w:eastAsia="Times New Roman" w:hAnsi="Aptos" w:cs="Times New Roman"/>
          <w:kern w:val="0"/>
          <w:sz w:val="22"/>
          <w:szCs w:val="22"/>
          <w:lang w:eastAsia="en-GB"/>
          <w14:ligatures w14:val="none"/>
        </w:rPr>
        <w:t xml:space="preserve"> The same logic as QE applied to currencies. Intervention changes the relative supply of domestic vs foreign assets in private hands, affecting the relative price (the exchange rate). The mechanism works through quantities and substitution, not through expected short rates.</w:t>
      </w:r>
    </w:p>
    <w:p w14:paraId="62D0975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Signalling channel.</w:t>
      </w:r>
      <w:r w:rsidRPr="0032251D">
        <w:rPr>
          <w:rFonts w:ascii="Aptos" w:eastAsia="Times New Roman" w:hAnsi="Aptos" w:cs="Times New Roman"/>
          <w:kern w:val="0"/>
          <w:sz w:val="22"/>
          <w:szCs w:val="22"/>
          <w:lang w:eastAsia="en-GB"/>
          <w14:ligatures w14:val="none"/>
        </w:rPr>
        <w:t xml:space="preserve"> Intervention communicates the bank's view of FX. Even if it is mechanically ineffective on the portfolio channel, markets read intervention as commitment. The 1985 Plaza Accord moved FX significantly despite modest actual intervention because the </w:t>
      </w:r>
      <w:r w:rsidRPr="0032251D">
        <w:rPr>
          <w:rFonts w:ascii="Aptos" w:eastAsia="Times New Roman" w:hAnsi="Aptos" w:cs="Times New Roman"/>
          <w:i/>
          <w:iCs/>
          <w:kern w:val="0"/>
          <w:sz w:val="22"/>
          <w:szCs w:val="22"/>
          <w:lang w:eastAsia="en-GB"/>
          <w14:ligatures w14:val="none"/>
        </w:rPr>
        <w:t>announcement</w:t>
      </w:r>
      <w:r w:rsidRPr="0032251D">
        <w:rPr>
          <w:rFonts w:ascii="Aptos" w:eastAsia="Times New Roman" w:hAnsi="Aptos" w:cs="Times New Roman"/>
          <w:kern w:val="0"/>
          <w:sz w:val="22"/>
          <w:szCs w:val="22"/>
          <w:lang w:eastAsia="en-GB"/>
          <w14:ligatures w14:val="none"/>
        </w:rPr>
        <w:t xml:space="preserve"> was credible.</w:t>
      </w:r>
    </w:p>
    <w:p w14:paraId="774B949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Fear of floating (Calvo-Reinhart 2002).</w:t>
      </w:r>
      <w:r w:rsidRPr="0032251D">
        <w:rPr>
          <w:rFonts w:ascii="Aptos" w:eastAsia="Times New Roman" w:hAnsi="Aptos" w:cs="Times New Roman"/>
          <w:kern w:val="0"/>
          <w:sz w:val="22"/>
          <w:szCs w:val="22"/>
          <w:lang w:eastAsia="en-GB"/>
          <w14:ligatures w14:val="none"/>
        </w:rPr>
        <w:t xml:space="preserve"> Most EMs do not let their currency float freely even when they claim to. They intervene to smooth volatility because FX moves matter for inflation (pass-through), corporate balance sheets (currency mismatch), and sovereign solvency (FX-denominated debt). The de jure regime and the de facto regime differ — sometimes substantially.</w:t>
      </w:r>
    </w:p>
    <w:p w14:paraId="29903B79"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31BFB54">
          <v:rect id="_x0000_i1041" alt="" style="width:451.3pt;height:.05pt;mso-width-percent:0;mso-height-percent:0;mso-width-percent:0;mso-height-percent:0" o:hralign="center" o:hrstd="t" o:hr="t" fillcolor="#a0a0a0" stroked="f"/>
        </w:pict>
      </w:r>
    </w:p>
    <w:p w14:paraId="1D4669E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3159675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Operational dimensions:</w:t>
      </w:r>
    </w:p>
    <w:p w14:paraId="4DDE0C5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Sterilisation status.</w:t>
      </w:r>
      <w:r w:rsidRPr="0032251D">
        <w:rPr>
          <w:rFonts w:ascii="Aptos" w:eastAsia="Times New Roman" w:hAnsi="Aptos" w:cs="Times New Roman"/>
          <w:kern w:val="0"/>
          <w:sz w:val="22"/>
          <w:szCs w:val="22"/>
          <w:lang w:eastAsia="en-GB"/>
          <w14:ligatures w14:val="none"/>
        </w:rPr>
        <w:t xml:space="preserve"> Sterilised intervention involves offsetting open market operations — when the bank buys USD, it issues domestic bonds or repos to absorb the liquidity created, leaving bank reserves unchanged. Most EM intervention is sterilised because EM banks do not want FX operations to muddle the monetary stance. The cost is </w:t>
      </w:r>
      <w:r w:rsidRPr="0032251D">
        <w:rPr>
          <w:rFonts w:ascii="Aptos" w:eastAsia="Times New Roman" w:hAnsi="Aptos" w:cs="Times New Roman"/>
          <w:i/>
          <w:iCs/>
          <w:kern w:val="0"/>
          <w:sz w:val="22"/>
          <w:szCs w:val="22"/>
          <w:lang w:eastAsia="en-GB"/>
          <w14:ligatures w14:val="none"/>
        </w:rPr>
        <w:t>negative carry</w:t>
      </w:r>
      <w:r w:rsidRPr="0032251D">
        <w:rPr>
          <w:rFonts w:ascii="Aptos" w:eastAsia="Times New Roman" w:hAnsi="Aptos" w:cs="Times New Roman"/>
          <w:kern w:val="0"/>
          <w:sz w:val="22"/>
          <w:szCs w:val="22"/>
          <w:lang w:eastAsia="en-GB"/>
          <w14:ligatures w14:val="none"/>
        </w:rPr>
        <w:t xml:space="preserve"> — the bank pays domestic rates on sterilisation instruments while earning lower foreign rates on reserves. For high-rate EMs, this can be expensive.</w:t>
      </w:r>
    </w:p>
    <w:p w14:paraId="5A8CEF2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Spot vs forward.</w:t>
      </w:r>
      <w:r w:rsidRPr="0032251D">
        <w:rPr>
          <w:rFonts w:ascii="Aptos" w:eastAsia="Times New Roman" w:hAnsi="Aptos" w:cs="Times New Roman"/>
          <w:kern w:val="0"/>
          <w:sz w:val="22"/>
          <w:szCs w:val="22"/>
          <w:lang w:eastAsia="en-GB"/>
          <w14:ligatures w14:val="none"/>
        </w:rPr>
        <w:t xml:space="preserve"> Spot intervention uses gross reserves directly. Forward intervention uses derivatives — BCB has run a forward book exceeding $70bn at peaks; Banxico has used FX </w:t>
      </w:r>
      <w:r w:rsidRPr="0032251D">
        <w:rPr>
          <w:rFonts w:ascii="Aptos" w:eastAsia="Times New Roman" w:hAnsi="Aptos" w:cs="Times New Roman"/>
          <w:kern w:val="0"/>
          <w:sz w:val="22"/>
          <w:szCs w:val="22"/>
          <w:lang w:eastAsia="en-GB"/>
          <w14:ligatures w14:val="none"/>
        </w:rPr>
        <w:lastRenderedPageBreak/>
        <w:t>hedges; Indonesia uses domestic NDFs. The forward book is itself a leveraged FX position that does not appear in gross reserves. This matters for empirical measurement.</w:t>
      </w:r>
    </w:p>
    <w:p w14:paraId="6BBF7AD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Rules-based vs discretionary.</w:t>
      </w:r>
      <w:r w:rsidRPr="0032251D">
        <w:rPr>
          <w:rFonts w:ascii="Aptos" w:eastAsia="Times New Roman" w:hAnsi="Aptos" w:cs="Times New Roman"/>
          <w:kern w:val="0"/>
          <w:sz w:val="22"/>
          <w:szCs w:val="22"/>
          <w:lang w:eastAsia="en-GB"/>
          <w14:ligatures w14:val="none"/>
        </w:rPr>
        <w:t xml:space="preserve"> BCB has used explicit auction rules ("we will sell up to $X per day if conditions Y hold"). Most EMs intervene discretionarily. Rules provide transparency but allow market positioning against the bank.</w:t>
      </w:r>
    </w:p>
    <w:p w14:paraId="2BD780F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Pre-announced vs surprise.</w:t>
      </w:r>
      <w:r w:rsidRPr="0032251D">
        <w:rPr>
          <w:rFonts w:ascii="Aptos" w:eastAsia="Times New Roman" w:hAnsi="Aptos" w:cs="Times New Roman"/>
          <w:kern w:val="0"/>
          <w:sz w:val="22"/>
          <w:szCs w:val="22"/>
          <w:lang w:eastAsia="en-GB"/>
          <w14:ligatures w14:val="none"/>
        </w:rPr>
        <w:t xml:space="preserve"> Pre-announced provides clarity but can be front-run. Surprise intervention is more disruptive but communicates less.</w:t>
      </w:r>
    </w:p>
    <w:p w14:paraId="057C345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Key parameters:</w:t>
      </w:r>
    </w:p>
    <w:p w14:paraId="08EFC911" w14:textId="77777777" w:rsidR="00363CC1" w:rsidRPr="0032251D" w:rsidRDefault="00363CC1" w:rsidP="00363CC1">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Magnitude</w:t>
      </w:r>
      <w:r w:rsidRPr="0032251D">
        <w:rPr>
          <w:rFonts w:ascii="Aptos" w:eastAsia="Times New Roman" w:hAnsi="Aptos" w:cs="Times New Roman"/>
          <w:kern w:val="0"/>
          <w:sz w:val="22"/>
          <w:szCs w:val="22"/>
          <w:lang w:eastAsia="en-GB"/>
          <w14:ligatures w14:val="none"/>
        </w:rPr>
        <w:t>: typically measured as fraction of FX reserves, or fraction of daily FX turnover</w:t>
      </w:r>
    </w:p>
    <w:p w14:paraId="72014925" w14:textId="77777777" w:rsidR="00363CC1" w:rsidRPr="0032251D" w:rsidRDefault="00363CC1" w:rsidP="00363CC1">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adequacy</w:t>
      </w:r>
      <w:r w:rsidRPr="0032251D">
        <w:rPr>
          <w:rFonts w:ascii="Aptos" w:eastAsia="Times New Roman" w:hAnsi="Aptos" w:cs="Times New Roman"/>
          <w:kern w:val="0"/>
          <w:sz w:val="22"/>
          <w:szCs w:val="22"/>
          <w:lang w:eastAsia="en-GB"/>
          <w14:ligatures w14:val="none"/>
        </w:rPr>
        <w:t>: IMF ARA metric assesses reserves vs short-term external debt, M2, and current account. The binding constraint on intervention capacity</w:t>
      </w:r>
    </w:p>
    <w:p w14:paraId="36600495" w14:textId="77777777" w:rsidR="00363CC1" w:rsidRPr="0032251D" w:rsidRDefault="00363CC1" w:rsidP="00363CC1">
      <w:pPr>
        <w:numPr>
          <w:ilvl w:val="0"/>
          <w:numId w:val="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Sterilisation cost</w:t>
      </w:r>
      <w:r w:rsidRPr="0032251D">
        <w:rPr>
          <w:rFonts w:ascii="Aptos" w:eastAsia="Times New Roman" w:hAnsi="Aptos" w:cs="Times New Roman"/>
          <w:kern w:val="0"/>
          <w:sz w:val="22"/>
          <w:szCs w:val="22"/>
          <w:lang w:eastAsia="en-GB"/>
          <w14:ligatures w14:val="none"/>
        </w:rPr>
        <w:t>: negative carry that accumulates over time</w:t>
      </w:r>
    </w:p>
    <w:p w14:paraId="1C9C907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CFM toolkit is adjacent: inflow taxes (Brazil's IOF, Korea 2010), reserve requirements on FX positions (Chile's encaje), currency-specific position limits, and outright outflow restrictions in crisis (Cyprus 2013, Iceland 2008). The IMF formally legitimised CFM as a policy tool in 2012 under specific conditions.</w:t>
      </w:r>
    </w:p>
    <w:p w14:paraId="3D5DD707"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7D4B12DB">
          <v:rect id="_x0000_i1040" alt="" style="width:451.3pt;height:.05pt;mso-width-percent:0;mso-height-percent:0;mso-width-percent:0;mso-height-percent:0" o:hralign="center" o:hrstd="t" o:hr="t" fillcolor="#a0a0a0" stroked="f"/>
        </w:pict>
      </w:r>
    </w:p>
    <w:p w14:paraId="540F062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5F6CD5F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FX intervention affects asset prices through six channels, roughly ordered by directness.</w:t>
      </w:r>
    </w:p>
    <w:p w14:paraId="6D5A75D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Direct spot effect.</w:t>
      </w:r>
      <w:r w:rsidRPr="0032251D">
        <w:rPr>
          <w:rFonts w:ascii="Aptos" w:eastAsia="Times New Roman" w:hAnsi="Aptos" w:cs="Times New Roman"/>
          <w:kern w:val="0"/>
          <w:sz w:val="22"/>
          <w:szCs w:val="22"/>
          <w:lang w:eastAsia="en-GB"/>
          <w14:ligatures w14:val="none"/>
        </w:rPr>
        <w:t xml:space="preserve"> The exchange rate moves on the intervention itself.</w:t>
      </w:r>
    </w:p>
    <w:p w14:paraId="4266DF7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Carry trade.</w:t>
      </w:r>
      <w:r w:rsidRPr="0032251D">
        <w:rPr>
          <w:rFonts w:ascii="Aptos" w:eastAsia="Times New Roman" w:hAnsi="Aptos" w:cs="Times New Roman"/>
          <w:kern w:val="0"/>
          <w:sz w:val="22"/>
          <w:szCs w:val="22"/>
          <w:lang w:eastAsia="en-GB"/>
          <w14:ligatures w14:val="none"/>
        </w:rPr>
        <w:t xml:space="preserve"> The differential between domestic and foreign rates is the basis of carry. Intervention can support carry (by stabilising the currency) or undermine it (by signalling FX policy uncertainty).</w:t>
      </w:r>
    </w:p>
    <w:p w14:paraId="7F98B55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pass-through.</w:t>
      </w:r>
      <w:r w:rsidRPr="0032251D">
        <w:rPr>
          <w:rFonts w:ascii="Aptos" w:eastAsia="Times New Roman" w:hAnsi="Aptos" w:cs="Times New Roman"/>
          <w:kern w:val="0"/>
          <w:sz w:val="22"/>
          <w:szCs w:val="22"/>
          <w:lang w:eastAsia="en-GB"/>
          <w14:ligatures w14:val="none"/>
        </w:rPr>
        <w:t xml:space="preserve"> FX moves affect import prices, which affect domestic inflation, which affects the policy rate path. Intervention indirectly affects rates expectations through this channel.</w:t>
      </w:r>
    </w:p>
    <w:p w14:paraId="2070EEB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Sovereign credit.</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Heavy intervention without sufficient reserves can spike sovereign CDS even when fundamentals are unchanged — the bank running through its constraint is itself a signal.</w:t>
      </w:r>
    </w:p>
    <w:p w14:paraId="2783D4B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Corporate balance sheets.</w:t>
      </w:r>
      <w:r w:rsidRPr="0032251D">
        <w:rPr>
          <w:rFonts w:ascii="Aptos" w:eastAsia="Times New Roman" w:hAnsi="Aptos" w:cs="Times New Roman"/>
          <w:kern w:val="0"/>
          <w:sz w:val="22"/>
          <w:szCs w:val="22"/>
          <w:lang w:eastAsia="en-GB"/>
          <w14:ligatures w14:val="none"/>
        </w:rPr>
        <w:t xml:space="preserve"> Currency mismatch means FX moves stress corporate solvency. Intervention smoothing supports corporate credit valuations.</w:t>
      </w:r>
    </w:p>
    <w:p w14:paraId="0783C38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portfolio flows.</w:t>
      </w:r>
      <w:r w:rsidRPr="0032251D">
        <w:rPr>
          <w:rFonts w:ascii="Aptos" w:eastAsia="Times New Roman" w:hAnsi="Aptos" w:cs="Times New Roman"/>
          <w:kern w:val="0"/>
          <w:sz w:val="22"/>
          <w:szCs w:val="22"/>
          <w:lang w:eastAsia="en-GB"/>
          <w14:ligatures w14:val="none"/>
        </w:rPr>
        <w:t xml:space="preserve"> Stable FX attracts foreign portfolio investment; volatile FX repels it. So intervention has a self-reinforcing flow consequence — successful intervention attracts the flows that further support the currency.</w:t>
      </w:r>
    </w:p>
    <w:p w14:paraId="64F0C61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EM FX is the cleanest read on central bank credibility — more so than rates, because it integrates the rule, the FX </w:t>
      </w:r>
      <w:r w:rsidRPr="0032251D">
        <w:rPr>
          <w:rFonts w:ascii="Aptos" w:eastAsia="Times New Roman" w:hAnsi="Aptos" w:cs="Times New Roman"/>
          <w:kern w:val="0"/>
          <w:sz w:val="22"/>
          <w:szCs w:val="22"/>
          <w:lang w:eastAsia="en-GB"/>
          <w14:ligatures w14:val="none"/>
        </w:rPr>
        <w:lastRenderedPageBreak/>
        <w:t>instrument, and the bank's reserve constraint into a single price. Second, intervention magnitude relative to reserves is a signal of bank intent and resolve — small intervention is smoothing, large is defence, exhaustive is regime change. Third, the forward book size matters separately and is often overlooked — BCB's forward book is a leveraged FX position that can amplify the bank's exposure to currency moves.</w:t>
      </w:r>
    </w:p>
    <w:p w14:paraId="03ED4FF5"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0EEE0DF8">
          <v:rect id="_x0000_i1039" alt="" style="width:451.3pt;height:.05pt;mso-width-percent:0;mso-height-percent:0;mso-width-percent:0;mso-height-percent:0" o:hralign="center" o:hrstd="t" o:hr="t" fillcolor="#a0a0a0" stroked="f"/>
        </w:pict>
      </w:r>
    </w:p>
    <w:p w14:paraId="4221226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0C3280D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country asymmetry in the instrument set.</w:t>
      </w:r>
    </w:p>
    <w:p w14:paraId="0884CE3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banks: largely do not intervene.</w:t>
      </w:r>
    </w:p>
    <w:p w14:paraId="69E89462" w14:textId="77777777" w:rsidR="00363CC1" w:rsidRPr="0032251D" w:rsidRDefault="00363CC1" w:rsidP="00363CC1">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Fed: officially free float, no intervention since 2000. Coordinated interventions are rare (Plaza 1985, post-Brexit 2016 communications without spot operations).</w:t>
      </w:r>
    </w:p>
    <w:p w14:paraId="1A916379" w14:textId="77777777" w:rsidR="00363CC1" w:rsidRPr="0032251D" w:rsidRDefault="00363CC1" w:rsidP="00363CC1">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ECB: very rare; some euro-buying during 2000-2001 weakness.</w:t>
      </w:r>
    </w:p>
    <w:p w14:paraId="56A1D3B3" w14:textId="77777777" w:rsidR="00363CC1" w:rsidRPr="0032251D" w:rsidRDefault="00363CC1" w:rsidP="00363CC1">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BoJ: famously intervenes. September 2022 intervention to defend yen was the largest single-day intervention by a G10 bank.</w:t>
      </w:r>
    </w:p>
    <w:p w14:paraId="19436374" w14:textId="77777777" w:rsidR="00363CC1" w:rsidRPr="0032251D" w:rsidRDefault="00363CC1" w:rsidP="00363CC1">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SNB: famously intervened to enforce the 1.20 EUR/CHF floor 2011-2015, then abandoned. Now holds a massive FX-denominated balance sheet.</w:t>
      </w:r>
    </w:p>
    <w:p w14:paraId="494B226C" w14:textId="77777777" w:rsidR="00363CC1" w:rsidRPr="0032251D" w:rsidRDefault="00363CC1" w:rsidP="00363CC1">
      <w:pPr>
        <w:numPr>
          <w:ilvl w:val="0"/>
          <w:numId w:val="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Bank of Israel: explicit reserve accumulation programme.</w:t>
      </w:r>
    </w:p>
    <w:p w14:paraId="6274556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banks: intervene routinely.</w:t>
      </w:r>
    </w:p>
    <w:p w14:paraId="23FE791D"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BCB: routine spot and forward auctions, sometimes daily. Large forward book is its signature instrument.</w:t>
      </w:r>
    </w:p>
    <w:p w14:paraId="747915B0"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Banxico: forward intervention via hedges; less spot.</w:t>
      </w:r>
    </w:p>
    <w:p w14:paraId="6441FE11"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BoK: managed float with active intervention.</w:t>
      </w:r>
    </w:p>
    <w:p w14:paraId="52BCB90D"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RBI: very active, persistent reserve accumulation.</w:t>
      </w:r>
    </w:p>
    <w:p w14:paraId="2D1410A0"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BSP (Philippines), Bank Indonesia: managed float with intervention.</w:t>
      </w:r>
    </w:p>
    <w:p w14:paraId="75CE88FD"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TCMB (Turkey): burned through reserves dramatically since 2018; classic case of intervention against an unsustainable position.</w:t>
      </w:r>
    </w:p>
    <w:p w14:paraId="0F6A3AF7" w14:textId="77777777" w:rsidR="00363CC1" w:rsidRPr="0032251D" w:rsidRDefault="00363CC1" w:rsidP="00363CC1">
      <w:pPr>
        <w:numPr>
          <w:ilvl w:val="0"/>
          <w:numId w:val="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Argentina: explicit FX rationing and multiple parallel exchange rates — the failure mode where intervention cannot stabilise.</w:t>
      </w:r>
    </w:p>
    <w:p w14:paraId="7964BC2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SARB specifically.</w:t>
      </w:r>
      <w:r w:rsidRPr="0032251D">
        <w:rPr>
          <w:rFonts w:ascii="Aptos" w:eastAsia="Times New Roman" w:hAnsi="Aptos" w:cs="Times New Roman"/>
          <w:kern w:val="0"/>
          <w:sz w:val="22"/>
          <w:szCs w:val="22"/>
          <w:lang w:eastAsia="en-GB"/>
          <w14:ligatures w14:val="none"/>
        </w:rPr>
        <w:t xml:space="preserve"> Free-float regime de jure and largely de facto. Does not target FX. Rare interventions, typically small and sterilised. Reserves accumulate mainly through Treasury debt-management operations rather than active CB intervention. The 2008 and 2015-16 stress episodes saw volatility but no major intervention campaigns. SA's FX risk lives in offshore investor positioning and bond outflows, not in central bank intervention. L3d is </w:t>
      </w:r>
      <w:r w:rsidRPr="0032251D">
        <w:rPr>
          <w:rFonts w:ascii="Aptos" w:eastAsia="Times New Roman" w:hAnsi="Aptos" w:cs="Times New Roman"/>
          <w:i/>
          <w:iCs/>
          <w:kern w:val="0"/>
          <w:sz w:val="22"/>
          <w:szCs w:val="22"/>
          <w:lang w:eastAsia="en-GB"/>
          <w14:ligatures w14:val="none"/>
        </w:rPr>
        <w:t>barely active</w:t>
      </w:r>
      <w:r w:rsidRPr="0032251D">
        <w:rPr>
          <w:rFonts w:ascii="Aptos" w:eastAsia="Times New Roman" w:hAnsi="Aptos" w:cs="Times New Roman"/>
          <w:kern w:val="0"/>
          <w:sz w:val="22"/>
          <w:szCs w:val="22"/>
          <w:lang w:eastAsia="en-GB"/>
          <w14:ligatures w14:val="none"/>
        </w:rPr>
        <w:t xml:space="preserve"> for SA — which is itself the empirical result.</w:t>
      </w:r>
    </w:p>
    <w:p w14:paraId="28939E6E"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0744313">
          <v:rect id="_x0000_i1038" alt="" style="width:451.3pt;height:.05pt;mso-width-percent:0;mso-height-percent:0;mso-width-percent:0;mso-height-percent:0" o:hralign="center" o:hrstd="t" o:hr="t" fillcolor="#a0a0a0" stroked="f"/>
        </w:pict>
      </w:r>
    </w:p>
    <w:p w14:paraId="4231AF8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07270E5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intervention.</w:t>
      </w:r>
      <w:r w:rsidRPr="0032251D">
        <w:rPr>
          <w:rFonts w:ascii="Aptos" w:eastAsia="Times New Roman" w:hAnsi="Aptos" w:cs="Times New Roman"/>
          <w:kern w:val="0"/>
          <w:sz w:val="22"/>
          <w:szCs w:val="22"/>
          <w:lang w:eastAsia="en-GB"/>
          <w14:ligatures w14:val="none"/>
        </w:rPr>
        <w:t xml:space="preserve"> Most CBs do not publish daily intervention. The empirical proxy is changes in gross reserves, decomposed as Δreserves = NI + valuation effects + interest income + SDR transactions. The decomposition is non-trivial — valuation changes from EUR-USD or </w:t>
      </w:r>
      <w:r w:rsidRPr="0032251D">
        <w:rPr>
          <w:rFonts w:ascii="Aptos" w:eastAsia="Times New Roman" w:hAnsi="Aptos" w:cs="Times New Roman"/>
          <w:kern w:val="0"/>
          <w:sz w:val="22"/>
          <w:szCs w:val="22"/>
          <w:lang w:eastAsia="en-GB"/>
          <w14:ligatures w14:val="none"/>
        </w:rPr>
        <w:lastRenderedPageBreak/>
        <w:t>gold price moves can dominate small intervention flows. BCB publishes daily auction details (the cleanest data in EM). SARB publishes monthly reserves with limited decomposition.</w:t>
      </w:r>
    </w:p>
    <w:p w14:paraId="005E83C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Sterilised vs unsterilised classification.</w:t>
      </w:r>
      <w:r w:rsidRPr="0032251D">
        <w:rPr>
          <w:rFonts w:ascii="Aptos" w:eastAsia="Times New Roman" w:hAnsi="Aptos" w:cs="Times New Roman"/>
          <w:kern w:val="0"/>
          <w:sz w:val="22"/>
          <w:szCs w:val="22"/>
          <w:lang w:eastAsia="en-GB"/>
          <w14:ligatures w14:val="none"/>
        </w:rPr>
        <w:t xml:space="preserve"> Look at monetary base changes alongside reserves changes. If Δbase ≈ Δreserves, the intervention is unsterilised. If Δbase does not track Δreserves, sterilisation operations are present. The classification is sometimes ambiguous when domestic operations have multiple purposes.</w:t>
      </w:r>
    </w:p>
    <w:p w14:paraId="44F1AD5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Forward book invisibility.</w:t>
      </w:r>
      <w:r w:rsidRPr="0032251D">
        <w:rPr>
          <w:rFonts w:ascii="Aptos" w:eastAsia="Times New Roman" w:hAnsi="Aptos" w:cs="Times New Roman"/>
          <w:kern w:val="0"/>
          <w:sz w:val="22"/>
          <w:szCs w:val="22"/>
          <w:lang w:eastAsia="en-GB"/>
          <w14:ligatures w14:val="none"/>
        </w:rPr>
        <w:t xml:space="preserve"> BCB and Banxico's forward books are not reflected in gross reserves. Empirical measurement requires the bank's separate disclosure of forward positions. For banks that do not disclose, the forward book is unmeasurable and intervention magnitude is systematically underestimated.</w:t>
      </w:r>
    </w:p>
    <w:p w14:paraId="0694238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Counterfactual problem.</w:t>
      </w:r>
      <w:r w:rsidRPr="0032251D">
        <w:rPr>
          <w:rFonts w:ascii="Aptos" w:eastAsia="Times New Roman" w:hAnsi="Aptos" w:cs="Times New Roman"/>
          <w:kern w:val="0"/>
          <w:sz w:val="22"/>
          <w:szCs w:val="22"/>
          <w:lang w:eastAsia="en-GB"/>
          <w14:ligatures w14:val="none"/>
        </w:rPr>
        <w:t xml:space="preserve"> Was the FX move caused by intervention, or would it have happened anyway? Hard to identify cleanly. Event studies around announcements provide some lift, but the bank usually intervenes in response to FX pressure, making the simultaneity hard to break.</w:t>
      </w:r>
    </w:p>
    <w:p w14:paraId="7C248F8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composition effects.</w:t>
      </w:r>
      <w:r w:rsidRPr="0032251D">
        <w:rPr>
          <w:rFonts w:ascii="Aptos" w:eastAsia="Times New Roman" w:hAnsi="Aptos" w:cs="Times New Roman"/>
          <w:kern w:val="0"/>
          <w:sz w:val="22"/>
          <w:szCs w:val="22"/>
          <w:lang w:eastAsia="en-GB"/>
          <w14:ligatures w14:val="none"/>
        </w:rPr>
        <w:t xml:space="preserve"> Changes in reserve currency composition (USD vs EUR vs gold) appear as valuation changes but may also reflect strategic positioning. Distinguishing these requires bank-specific disclosure.</w:t>
      </w:r>
    </w:p>
    <w:p w14:paraId="21A2BD1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CFM measurement.</w:t>
      </w:r>
      <w:r w:rsidRPr="0032251D">
        <w:rPr>
          <w:rFonts w:ascii="Aptos" w:eastAsia="Times New Roman" w:hAnsi="Aptos" w:cs="Times New Roman"/>
          <w:kern w:val="0"/>
          <w:sz w:val="22"/>
          <w:szCs w:val="22"/>
          <w:lang w:eastAsia="en-GB"/>
          <w14:ligatures w14:val="none"/>
        </w:rPr>
        <w:t xml:space="preserve"> The IMF iMaPP database tracks CFM actions, but coverage varies across countries and there is self-reporting bias.</w:t>
      </w:r>
    </w:p>
    <w:p w14:paraId="7B3D7BEA"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7535884">
          <v:rect id="_x0000_i1037" alt="" style="width:451.3pt;height:.05pt;mso-width-percent:0;mso-height-percent:0;mso-width-percent:0;mso-height-percent:0" o:hralign="center" o:hrstd="t" o:hr="t" fillcolor="#a0a0a0" stroked="f"/>
        </w:pict>
      </w:r>
    </w:p>
    <w:p w14:paraId="00C7A85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0690B28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L3d:</w:t>
      </w:r>
    </w:p>
    <w:p w14:paraId="781E622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Reserve flows, declared regime, sterilisation mix, and forward book should be jointly consistent. Dissonance fires when:</w:t>
      </w:r>
    </w:p>
    <w:p w14:paraId="40A84779" w14:textId="77777777" w:rsidR="00363CC1" w:rsidRPr="0032251D" w:rsidRDefault="00363CC1" w:rsidP="00363CC1">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bank denies a managed float, but reserves data show persistent intervention (de jure ≠ de facto)</w:t>
      </w:r>
    </w:p>
    <w:p w14:paraId="12CAD230" w14:textId="77777777" w:rsidR="00363CC1" w:rsidRPr="0032251D" w:rsidRDefault="00363CC1" w:rsidP="00363CC1">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Sterilised intervention combined with unsterilised — confused liquidity signal</w:t>
      </w:r>
    </w:p>
    <w:p w14:paraId="09EE3E21" w14:textId="77777777" w:rsidR="00363CC1" w:rsidRPr="0032251D" w:rsidRDefault="00363CC1" w:rsidP="00363CC1">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Spot reserves stable, but forward book ballooning — bank running quiet FX defence outside of headline reserve data</w:t>
      </w:r>
    </w:p>
    <w:p w14:paraId="13D21E6E" w14:textId="77777777" w:rsidR="00363CC1" w:rsidRPr="0032251D" w:rsidRDefault="00363CC1" w:rsidP="00363CC1">
      <w:pPr>
        <w:numPr>
          <w:ilvl w:val="0"/>
          <w:numId w:val="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Reserve composition shifts that look like strategic positioning rather than passive accumulation</w:t>
      </w:r>
    </w:p>
    <w:p w14:paraId="7EE61C6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L3d.</w:t>
      </w:r>
      <w:r w:rsidRPr="0032251D">
        <w:rPr>
          <w:rFonts w:ascii="Aptos" w:eastAsia="Times New Roman" w:hAnsi="Aptos" w:cs="Times New Roman"/>
          <w:kern w:val="0"/>
          <w:sz w:val="22"/>
          <w:szCs w:val="22"/>
          <w:lang w:eastAsia="en-GB"/>
          <w14:ligatures w14:val="none"/>
        </w:rPr>
        <w:t xml:space="preserve"> For banks with FX in the rule, intervention should track FX deviations from target consistent with the rule's δ coefficient. Dissonance fires when intervention is conducted without rule justification, or FX moves without rule response — instrument off-rule.</w:t>
      </w:r>
    </w:p>
    <w:p w14:paraId="5CDC8F5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L3d.</w:t>
      </w:r>
      <w:r w:rsidRPr="0032251D">
        <w:rPr>
          <w:rFonts w:ascii="Aptos" w:eastAsia="Times New Roman" w:hAnsi="Aptos" w:cs="Times New Roman"/>
          <w:kern w:val="0"/>
          <w:sz w:val="22"/>
          <w:szCs w:val="22"/>
          <w:lang w:eastAsia="en-GB"/>
          <w14:ligatures w14:val="none"/>
        </w:rPr>
        <w:t xml:space="preserve"> FX reserves are a hard constraint on intervention capacity. Dissonance fires when intervention pace is unsustainable given reserves — the bank running into a binding constraint. Turkey 2018-2022 is the modern textbook case.</w:t>
      </w:r>
    </w:p>
    <w:p w14:paraId="147389B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L3d.</w:t>
      </w:r>
      <w:r w:rsidRPr="0032251D">
        <w:rPr>
          <w:rFonts w:ascii="Aptos" w:eastAsia="Times New Roman" w:hAnsi="Aptos" w:cs="Times New Roman"/>
          <w:kern w:val="0"/>
          <w:sz w:val="22"/>
          <w:szCs w:val="22"/>
          <w:lang w:eastAsia="en-GB"/>
          <w14:ligatures w14:val="none"/>
        </w:rPr>
        <w:t xml:space="preserve"> Already developed: rate and intervention should jointly support the FX regime, with sterilisation as the conditioning variable.</w:t>
      </w:r>
    </w:p>
    <w:p w14:paraId="2F77298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Vertical downward, L3d → L4b (FX).</w:t>
      </w:r>
      <w:r w:rsidRPr="0032251D">
        <w:rPr>
          <w:rFonts w:ascii="Aptos" w:eastAsia="Times New Roman" w:hAnsi="Aptos" w:cs="Times New Roman"/>
          <w:kern w:val="0"/>
          <w:sz w:val="22"/>
          <w:szCs w:val="22"/>
          <w:lang w:eastAsia="en-GB"/>
          <w14:ligatures w14:val="none"/>
        </w:rPr>
        <w:t xml:space="preserve"> Direct mapping. Dissonance fires when intervention fails to move FX (overwhelming flows) or moves it disproportionately (signalling channel dominant, mechanical channel weak).</w:t>
      </w:r>
    </w:p>
    <w:p w14:paraId="0980865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L4c (inflation-linked).</w:t>
      </w:r>
      <w:r w:rsidRPr="0032251D">
        <w:rPr>
          <w:rFonts w:ascii="Aptos" w:eastAsia="Times New Roman" w:hAnsi="Aptos" w:cs="Times New Roman"/>
          <w:kern w:val="0"/>
          <w:sz w:val="22"/>
          <w:szCs w:val="22"/>
          <w:lang w:eastAsia="en-GB"/>
          <w14:ligatures w14:val="none"/>
        </w:rPr>
        <w:t xml:space="preserve"> FX intervention affects expected pass-through to inflation. Dissonance fires when BEIs do not respond to FX moves — pass-through expectations decoupling from FX, often a sign of credibility holding even under pressure.</w:t>
      </w:r>
    </w:p>
    <w:p w14:paraId="22AEAC3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L3d → L5e (sovereign).</w:t>
      </w:r>
      <w:r w:rsidRPr="0032251D">
        <w:rPr>
          <w:rFonts w:ascii="Aptos" w:eastAsia="Times New Roman" w:hAnsi="Aptos" w:cs="Times New Roman"/>
          <w:kern w:val="0"/>
          <w:sz w:val="22"/>
          <w:szCs w:val="22"/>
          <w:lang w:eastAsia="en-GB"/>
          <w14:ligatures w14:val="none"/>
        </w:rPr>
        <w:t xml:space="preserve"> Intervention burns reserves, affecting the sovereign external balance sheet. Dissonance fires when reserves are declining fast but sovereign CDS is not pricing the stress — typically a leading indicator that one of the two is mispriced.</w:t>
      </w:r>
    </w:p>
    <w:p w14:paraId="2210C5E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L3d node is the bank's </w:t>
      </w:r>
      <w:r w:rsidRPr="0032251D">
        <w:rPr>
          <w:rFonts w:ascii="Aptos" w:eastAsia="Times New Roman" w:hAnsi="Aptos" w:cs="Times New Roman"/>
          <w:i/>
          <w:iCs/>
          <w:kern w:val="0"/>
          <w:sz w:val="22"/>
          <w:szCs w:val="22"/>
          <w:lang w:eastAsia="en-GB"/>
          <w14:ligatures w14:val="none"/>
        </w:rPr>
        <w:t>direct FX management instrument</w:t>
      </w:r>
      <w:r w:rsidRPr="0032251D">
        <w:rPr>
          <w:rFonts w:ascii="Aptos" w:eastAsia="Times New Roman" w:hAnsi="Aptos" w:cs="Times New Roman"/>
          <w:kern w:val="0"/>
          <w:sz w:val="22"/>
          <w:szCs w:val="22"/>
          <w:lang w:eastAsia="en-GB"/>
          <w14:ligatures w14:val="none"/>
        </w:rPr>
        <w:t>. It operates on a different axis from the rate (price of liquidity) and the balance sheet (quantity of safe assets) — it operates on the relative price of currencies. Dissonance at L3d means the bank's stated FX regime and actual FX behaviour have diverged, or that the bank is approaching the binding constraint on intervention capacity. Both are early signals of regime change.</w:t>
      </w:r>
    </w:p>
    <w:p w14:paraId="7885945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3e — Macroprudential Policy</w:t>
      </w:r>
    </w:p>
    <w:p w14:paraId="3798FB3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Macroprudential policy is the use of regulatory instruments to address system-wide financial stability risks, distinct from both </w:t>
      </w:r>
      <w:r w:rsidRPr="0032251D">
        <w:rPr>
          <w:rFonts w:ascii="Aptos" w:eastAsia="Times New Roman" w:hAnsi="Aptos" w:cs="Times New Roman"/>
          <w:i/>
          <w:iCs/>
          <w:kern w:val="0"/>
          <w:sz w:val="22"/>
          <w:szCs w:val="22"/>
          <w:lang w:eastAsia="en-GB"/>
          <w14:ligatures w14:val="none"/>
        </w:rPr>
        <w:t>microprudential</w:t>
      </w:r>
      <w:r w:rsidRPr="0032251D">
        <w:rPr>
          <w:rFonts w:ascii="Aptos" w:eastAsia="Times New Roman" w:hAnsi="Aptos" w:cs="Times New Roman"/>
          <w:kern w:val="0"/>
          <w:sz w:val="22"/>
          <w:szCs w:val="22"/>
          <w:lang w:eastAsia="en-GB"/>
          <w14:ligatures w14:val="none"/>
        </w:rPr>
        <w:t xml:space="preserve"> supervision (which targets individual institution safety) and </w:t>
      </w:r>
      <w:r w:rsidRPr="0032251D">
        <w:rPr>
          <w:rFonts w:ascii="Aptos" w:eastAsia="Times New Roman" w:hAnsi="Aptos" w:cs="Times New Roman"/>
          <w:i/>
          <w:iCs/>
          <w:kern w:val="0"/>
          <w:sz w:val="22"/>
          <w:szCs w:val="22"/>
          <w:lang w:eastAsia="en-GB"/>
          <w14:ligatures w14:val="none"/>
        </w:rPr>
        <w:t>monetary policy</w:t>
      </w:r>
      <w:r w:rsidRPr="0032251D">
        <w:rPr>
          <w:rFonts w:ascii="Aptos" w:eastAsia="Times New Roman" w:hAnsi="Aptos" w:cs="Times New Roman"/>
          <w:kern w:val="0"/>
          <w:sz w:val="22"/>
          <w:szCs w:val="22"/>
          <w:lang w:eastAsia="en-GB"/>
          <w14:ligatures w14:val="none"/>
        </w:rPr>
        <w:t xml:space="preserve"> (which targets price stability). The core toolkit: countercyclical capital buffer (CCyB), loan-to-value (LTV) caps, debt-service-to-income (DSTI) caps, reserve requirements, sectoral risk weights, liquidity ratios (LCR, NSFR), concentration limits, and systemic surcharges (G-SIB, D-SIB). The unifying feature: these tools target </w:t>
      </w:r>
      <w:r w:rsidRPr="0032251D">
        <w:rPr>
          <w:rFonts w:ascii="Aptos" w:eastAsia="Times New Roman" w:hAnsi="Aptos" w:cs="Times New Roman"/>
          <w:i/>
          <w:iCs/>
          <w:kern w:val="0"/>
          <w:sz w:val="22"/>
          <w:szCs w:val="22"/>
          <w:lang w:eastAsia="en-GB"/>
          <w14:ligatures w14:val="none"/>
        </w:rPr>
        <w:t>credit conditions, leverage, and systemic risk</w:t>
      </w:r>
      <w:r w:rsidRPr="0032251D">
        <w:rPr>
          <w:rFonts w:ascii="Aptos" w:eastAsia="Times New Roman" w:hAnsi="Aptos" w:cs="Times New Roman"/>
          <w:kern w:val="0"/>
          <w:sz w:val="22"/>
          <w:szCs w:val="22"/>
          <w:lang w:eastAsia="en-GB"/>
          <w14:ligatures w14:val="none"/>
        </w:rPr>
        <w:t xml:space="preserve"> through quantity and price restrictions, rather than through the overnight cost of money. Pre-2008 financial regulation was largely microprudential. Post-2008, macroprudential policy emerged as the explicit response to systemic risk that builds in the aggregate even when individual institutions look fine.</w:t>
      </w:r>
    </w:p>
    <w:p w14:paraId="02EA4194"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0692553">
          <v:rect id="_x0000_i1036" alt="" style="width:451.3pt;height:.05pt;mso-width-percent:0;mso-height-percent:0;mso-width-percent:0;mso-height-percent:0" o:hralign="center" o:hrstd="t" o:hr="t" fillcolor="#a0a0a0" stroked="f"/>
        </w:pict>
      </w:r>
    </w:p>
    <w:p w14:paraId="6FE2810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5F7C3D6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exists because the policy rate alone cannot address financial stability.</w:t>
      </w:r>
    </w:p>
    <w:p w14:paraId="3C4CD68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Tinbergen's principle.</w:t>
      </w:r>
      <w:r w:rsidRPr="0032251D">
        <w:rPr>
          <w:rFonts w:ascii="Aptos" w:eastAsia="Times New Roman" w:hAnsi="Aptos" w:cs="Times New Roman"/>
          <w:kern w:val="0"/>
          <w:sz w:val="22"/>
          <w:szCs w:val="22"/>
          <w:lang w:eastAsia="en-GB"/>
          <w14:ligatures w14:val="none"/>
        </w:rPr>
        <w:t xml:space="preserve"> You need at least as many instruments as objectives. The central bank has multiple objectives — price stability </w:t>
      </w:r>
      <w:r w:rsidRPr="0032251D">
        <w:rPr>
          <w:rFonts w:ascii="Aptos" w:eastAsia="Times New Roman" w:hAnsi="Aptos" w:cs="Times New Roman"/>
          <w:i/>
          <w:iCs/>
          <w:kern w:val="0"/>
          <w:sz w:val="22"/>
          <w:szCs w:val="22"/>
          <w:lang w:eastAsia="en-GB"/>
          <w14:ligatures w14:val="none"/>
        </w:rPr>
        <w:t>and</w:t>
      </w:r>
      <w:r w:rsidRPr="0032251D">
        <w:rPr>
          <w:rFonts w:ascii="Aptos" w:eastAsia="Times New Roman" w:hAnsi="Aptos" w:cs="Times New Roman"/>
          <w:kern w:val="0"/>
          <w:sz w:val="22"/>
          <w:szCs w:val="22"/>
          <w:lang w:eastAsia="en-GB"/>
          <w14:ligatures w14:val="none"/>
        </w:rPr>
        <w:t xml:space="preserve"> financial stability — and the policy rate alone cannot hit both. Macropru is the dedicated instrument for financial stability, with the policy rate left to target price stability. This is the post-2008 settlement, formalised across the BIS, IMF/FSB, and national architectures (FSOC in the US, FPC in the UK, ESRB in the EU).</w:t>
      </w:r>
    </w:p>
    <w:p w14:paraId="6ACE329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Externalities (Shleifer-Vishny; He-Krishnamurthy).</w:t>
      </w:r>
      <w:r w:rsidRPr="0032251D">
        <w:rPr>
          <w:rFonts w:ascii="Aptos" w:eastAsia="Times New Roman" w:hAnsi="Aptos" w:cs="Times New Roman"/>
          <w:kern w:val="0"/>
          <w:sz w:val="22"/>
          <w:szCs w:val="22"/>
          <w:lang w:eastAsia="en-GB"/>
          <w14:ligatures w14:val="none"/>
        </w:rPr>
        <w:t xml:space="preserve"> Individual banks do not internalise system-wide effects of their lending and risk-taking. Fire-sale externalities, funding spirals, and network contagion are not priced in by individual decisions. Macropru addresses these externalities directly with quantity-based instruments — capital surcharges, position limits, liquidity buffers.</w:t>
      </w:r>
    </w:p>
    <w:p w14:paraId="03786E6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Financial cycle distinct from business cycle (Borio 2014).</w:t>
      </w:r>
      <w:r w:rsidRPr="0032251D">
        <w:rPr>
          <w:rFonts w:ascii="Aptos" w:eastAsia="Times New Roman" w:hAnsi="Aptos" w:cs="Times New Roman"/>
          <w:kern w:val="0"/>
          <w:sz w:val="22"/>
          <w:szCs w:val="22"/>
          <w:lang w:eastAsia="en-GB"/>
          <w14:ligatures w14:val="none"/>
        </w:rPr>
        <w:t xml:space="preserve"> Financial cycles — credit growth, asset prices, leverage — are longer and larger than business cycles. Inflation-targeting monetary policy, calibrated to the business cycle, does not lean against the financial cycle hard </w:t>
      </w:r>
      <w:r w:rsidRPr="0032251D">
        <w:rPr>
          <w:rFonts w:ascii="Aptos" w:eastAsia="Times New Roman" w:hAnsi="Aptos" w:cs="Times New Roman"/>
          <w:kern w:val="0"/>
          <w:sz w:val="22"/>
          <w:szCs w:val="22"/>
          <w:lang w:eastAsia="en-GB"/>
          <w14:ligatures w14:val="none"/>
        </w:rPr>
        <w:lastRenderedPageBreak/>
        <w:t>enough. Macropru is needed because monetary policy systematically under-weights leverage build-up. This is the BIS view; it is contested but has shaped the global macropru framework.</w:t>
      </w:r>
    </w:p>
    <w:p w14:paraId="3E30364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procyclicality problem.</w:t>
      </w:r>
      <w:r w:rsidRPr="0032251D">
        <w:rPr>
          <w:rFonts w:ascii="Aptos" w:eastAsia="Times New Roman" w:hAnsi="Aptos" w:cs="Times New Roman"/>
          <w:kern w:val="0"/>
          <w:sz w:val="22"/>
          <w:szCs w:val="22"/>
          <w:lang w:eastAsia="en-GB"/>
          <w14:ligatures w14:val="none"/>
        </w:rPr>
        <w:t xml:space="preserve"> Banks' risk-taking is procyclical. They lend aggressively in booms (collateral values rising) and tighten in busts (collateral collapsing). This amplifies the cycle. Time-varying macropru — particularly the CCyB — is designed to deliberately counteract this: tighten in booms when banks would not, loosen in busts when banks would refuse.</w:t>
      </w:r>
    </w:p>
    <w:p w14:paraId="5A9EA82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role.</w:t>
      </w:r>
      <w:r w:rsidRPr="0032251D">
        <w:rPr>
          <w:rFonts w:ascii="Aptos" w:eastAsia="Times New Roman" w:hAnsi="Aptos" w:cs="Times New Roman"/>
          <w:kern w:val="0"/>
          <w:sz w:val="22"/>
          <w:szCs w:val="22"/>
          <w:lang w:eastAsia="en-GB"/>
          <w14:ligatures w14:val="none"/>
        </w:rPr>
        <w:t xml:space="preserve"> When monetary policy is constrained at the ELB, macropru becomes the active instrument for managing financial stability. Loose monetary + tight macropru is the post-2008 DM playbook. Macropru is the substitute monetary instrument when monetary instruments are exhausted.</w:t>
      </w:r>
    </w:p>
    <w:p w14:paraId="13A64ED1"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18242A07">
          <v:rect id="_x0000_i1035" alt="" style="width:451.3pt;height:.05pt;mso-width-percent:0;mso-height-percent:0;mso-width-percent:0;mso-height-percent:0" o:hralign="center" o:hrstd="t" o:hr="t" fillcolor="#a0a0a0" stroked="f"/>
        </w:pict>
      </w:r>
    </w:p>
    <w:p w14:paraId="6E2A6F8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6D068D4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macropru toolkit divides into five families.</w:t>
      </w:r>
    </w:p>
    <w:p w14:paraId="2F67A06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Capital-based tools.</w:t>
      </w:r>
      <w:r w:rsidRPr="0032251D">
        <w:rPr>
          <w:rFonts w:ascii="Aptos" w:eastAsia="Times New Roman" w:hAnsi="Aptos" w:cs="Times New Roman"/>
          <w:kern w:val="0"/>
          <w:sz w:val="22"/>
          <w:szCs w:val="22"/>
          <w:lang w:eastAsia="en-GB"/>
          <w14:ligatures w14:val="none"/>
        </w:rPr>
        <w:t xml:space="preserve"> The most active set.</w:t>
      </w:r>
    </w:p>
    <w:p w14:paraId="3581A31A" w14:textId="77777777" w:rsidR="00363CC1" w:rsidRPr="0032251D" w:rsidRDefault="00363CC1" w:rsidP="00363CC1">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CCyB</w:t>
      </w:r>
      <w:r w:rsidRPr="0032251D">
        <w:rPr>
          <w:rFonts w:ascii="Aptos" w:eastAsia="Times New Roman" w:hAnsi="Aptos" w:cs="Times New Roman"/>
          <w:kern w:val="0"/>
          <w:sz w:val="22"/>
          <w:szCs w:val="22"/>
          <w:lang w:eastAsia="en-GB"/>
          <w14:ligatures w14:val="none"/>
        </w:rPr>
        <w:t>: time-varying, 0-2.5% of risk-weighted assets, set by national authorities. Triggered by credit-to-GDP gap (Basel III reference) or broader stability indicators.</w:t>
      </w:r>
    </w:p>
    <w:p w14:paraId="495AF6CF" w14:textId="77777777" w:rsidR="00363CC1" w:rsidRPr="0032251D" w:rsidRDefault="00363CC1" w:rsidP="00363CC1">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Systemic risk buffer</w:t>
      </w:r>
      <w:r w:rsidRPr="0032251D">
        <w:rPr>
          <w:rFonts w:ascii="Aptos" w:eastAsia="Times New Roman" w:hAnsi="Aptos" w:cs="Times New Roman"/>
          <w:kern w:val="0"/>
          <w:sz w:val="22"/>
          <w:szCs w:val="22"/>
          <w:lang w:eastAsia="en-GB"/>
          <w14:ligatures w14:val="none"/>
        </w:rPr>
        <w:t>: structural surcharge for system-wide risk.</w:t>
      </w:r>
    </w:p>
    <w:p w14:paraId="41BB3F49" w14:textId="77777777" w:rsidR="00363CC1" w:rsidRPr="0032251D" w:rsidRDefault="00363CC1" w:rsidP="00363CC1">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G-SIB / D-SIB surcharges</w:t>
      </w:r>
      <w:r w:rsidRPr="0032251D">
        <w:rPr>
          <w:rFonts w:ascii="Aptos" w:eastAsia="Times New Roman" w:hAnsi="Aptos" w:cs="Times New Roman"/>
          <w:kern w:val="0"/>
          <w:sz w:val="22"/>
          <w:szCs w:val="22"/>
          <w:lang w:eastAsia="en-GB"/>
          <w14:ligatures w14:val="none"/>
        </w:rPr>
        <w:t>: for systemically important institutions.</w:t>
      </w:r>
    </w:p>
    <w:p w14:paraId="4777B66D" w14:textId="77777777" w:rsidR="00363CC1" w:rsidRPr="0032251D" w:rsidRDefault="00363CC1" w:rsidP="00363CC1">
      <w:pPr>
        <w:numPr>
          <w:ilvl w:val="0"/>
          <w:numId w:val="10"/>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Sectoral risk weights</w:t>
      </w:r>
      <w:r w:rsidRPr="0032251D">
        <w:rPr>
          <w:rFonts w:ascii="Aptos" w:eastAsia="Times New Roman" w:hAnsi="Aptos" w:cs="Times New Roman"/>
          <w:kern w:val="0"/>
          <w:sz w:val="22"/>
          <w:szCs w:val="22"/>
          <w:lang w:eastAsia="en-GB"/>
          <w14:ligatures w14:val="none"/>
        </w:rPr>
        <w:t>: differentiated capital requirements for specific exposures (e.g., higher RWAs for commercial real estate, FX lending, or high-LTV mortgages).</w:t>
      </w:r>
    </w:p>
    <w:p w14:paraId="569E447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Borrower-based tools.</w:t>
      </w:r>
      <w:r w:rsidRPr="0032251D">
        <w:rPr>
          <w:rFonts w:ascii="Aptos" w:eastAsia="Times New Roman" w:hAnsi="Aptos" w:cs="Times New Roman"/>
          <w:kern w:val="0"/>
          <w:sz w:val="22"/>
          <w:szCs w:val="22"/>
          <w:lang w:eastAsia="en-GB"/>
          <w14:ligatures w14:val="none"/>
        </w:rPr>
        <w:t xml:space="preserve"> Direct constraints on loan terms.</w:t>
      </w:r>
    </w:p>
    <w:p w14:paraId="10B4A2E2" w14:textId="77777777" w:rsidR="00363CC1" w:rsidRPr="0032251D" w:rsidRDefault="00363CC1" w:rsidP="00363CC1">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LTV cap</w:t>
      </w:r>
      <w:r w:rsidRPr="0032251D">
        <w:rPr>
          <w:rFonts w:ascii="Aptos" w:eastAsia="Times New Roman" w:hAnsi="Aptos" w:cs="Times New Roman"/>
          <w:kern w:val="0"/>
          <w:sz w:val="22"/>
          <w:szCs w:val="22"/>
          <w:lang w:eastAsia="en-GB"/>
          <w14:ligatures w14:val="none"/>
        </w:rPr>
        <w:t>: maximum loan-to-value ratio. NZ used 80% LTV for owner-occupiers in Auckland during housing booms.</w:t>
      </w:r>
    </w:p>
    <w:p w14:paraId="7CD966EE" w14:textId="77777777" w:rsidR="00363CC1" w:rsidRPr="0032251D" w:rsidRDefault="00363CC1" w:rsidP="00363CC1">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DSTI cap</w:t>
      </w:r>
      <w:r w:rsidRPr="0032251D">
        <w:rPr>
          <w:rFonts w:ascii="Aptos" w:eastAsia="Times New Roman" w:hAnsi="Aptos" w:cs="Times New Roman"/>
          <w:kern w:val="0"/>
          <w:sz w:val="22"/>
          <w:szCs w:val="22"/>
          <w:lang w:eastAsia="en-GB"/>
          <w14:ligatures w14:val="none"/>
        </w:rPr>
        <w:t>: maximum debt-service-to-income ratio.</w:t>
      </w:r>
    </w:p>
    <w:p w14:paraId="3B4EA675" w14:textId="77777777" w:rsidR="00363CC1" w:rsidRPr="0032251D" w:rsidRDefault="00363CC1" w:rsidP="00363CC1">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DTI cap</w:t>
      </w:r>
      <w:r w:rsidRPr="0032251D">
        <w:rPr>
          <w:rFonts w:ascii="Aptos" w:eastAsia="Times New Roman" w:hAnsi="Aptos" w:cs="Times New Roman"/>
          <w:kern w:val="0"/>
          <w:sz w:val="22"/>
          <w:szCs w:val="22"/>
          <w:lang w:eastAsia="en-GB"/>
          <w14:ligatures w14:val="none"/>
        </w:rPr>
        <w:t>: maximum debt-to-income ratio.</w:t>
      </w:r>
    </w:p>
    <w:p w14:paraId="5354A2DB" w14:textId="77777777" w:rsidR="00363CC1" w:rsidRPr="0032251D" w:rsidRDefault="00363CC1" w:rsidP="00363CC1">
      <w:pPr>
        <w:numPr>
          <w:ilvl w:val="0"/>
          <w:numId w:val="1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caps</w:t>
      </w:r>
      <w:r w:rsidRPr="0032251D">
        <w:rPr>
          <w:rFonts w:ascii="Aptos" w:eastAsia="Times New Roman" w:hAnsi="Aptos" w:cs="Times New Roman"/>
          <w:kern w:val="0"/>
          <w:sz w:val="22"/>
          <w:szCs w:val="22"/>
          <w:lang w:eastAsia="en-GB"/>
          <w14:ligatures w14:val="none"/>
        </w:rPr>
        <w:t>: restrict gaming through extended amortisation.</w:t>
      </w:r>
    </w:p>
    <w:p w14:paraId="70F888E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Liquidity-based tools.</w:t>
      </w:r>
    </w:p>
    <w:p w14:paraId="09A985A7" w14:textId="77777777" w:rsidR="00363CC1" w:rsidRPr="0032251D" w:rsidRDefault="00363CC1" w:rsidP="00363CC1">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LCR</w:t>
      </w:r>
      <w:r w:rsidRPr="0032251D">
        <w:rPr>
          <w:rFonts w:ascii="Aptos" w:eastAsia="Times New Roman" w:hAnsi="Aptos" w:cs="Times New Roman"/>
          <w:kern w:val="0"/>
          <w:sz w:val="22"/>
          <w:szCs w:val="22"/>
          <w:lang w:eastAsia="en-GB"/>
          <w14:ligatures w14:val="none"/>
        </w:rPr>
        <w:t>: 30-day stress liquidity (Basel III).</w:t>
      </w:r>
    </w:p>
    <w:p w14:paraId="477908E5" w14:textId="77777777" w:rsidR="00363CC1" w:rsidRPr="0032251D" w:rsidRDefault="00363CC1" w:rsidP="00363CC1">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NSFR</w:t>
      </w:r>
      <w:r w:rsidRPr="0032251D">
        <w:rPr>
          <w:rFonts w:ascii="Aptos" w:eastAsia="Times New Roman" w:hAnsi="Aptos" w:cs="Times New Roman"/>
          <w:kern w:val="0"/>
          <w:sz w:val="22"/>
          <w:szCs w:val="22"/>
          <w:lang w:eastAsia="en-GB"/>
          <w14:ligatures w14:val="none"/>
        </w:rPr>
        <w:t>: structural funding stability (Basel III).</w:t>
      </w:r>
    </w:p>
    <w:p w14:paraId="09571FFF" w14:textId="77777777" w:rsidR="00363CC1" w:rsidRPr="0032251D" w:rsidRDefault="00363CC1" w:rsidP="00363CC1">
      <w:pPr>
        <w:numPr>
          <w:ilvl w:val="0"/>
          <w:numId w:val="1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Loan-to-deposit ratio caps</w:t>
      </w:r>
      <w:r w:rsidRPr="0032251D">
        <w:rPr>
          <w:rFonts w:ascii="Aptos" w:eastAsia="Times New Roman" w:hAnsi="Aptos" w:cs="Times New Roman"/>
          <w:kern w:val="0"/>
          <w:sz w:val="22"/>
          <w:szCs w:val="22"/>
          <w:lang w:eastAsia="en-GB"/>
          <w14:ligatures w14:val="none"/>
        </w:rPr>
        <w:t>: used in several EMs.</w:t>
      </w:r>
    </w:p>
    <w:p w14:paraId="6E73353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Reserve requirements.</w:t>
      </w:r>
      <w:r w:rsidRPr="0032251D">
        <w:rPr>
          <w:rFonts w:ascii="Aptos" w:eastAsia="Times New Roman" w:hAnsi="Aptos" w:cs="Times New Roman"/>
          <w:kern w:val="0"/>
          <w:sz w:val="22"/>
          <w:szCs w:val="22"/>
          <w:lang w:eastAsia="en-GB"/>
          <w14:ligatures w14:val="none"/>
        </w:rPr>
        <w:t xml:space="preserve"> Particularly important in EM. Required reserves on deposit liabilities, often differentiated by currency, maturity, or counterparty. RR has both monetary AND macropru dimensions — they affect money supply and credit allocation simultaneously.</w:t>
      </w:r>
    </w:p>
    <w:p w14:paraId="54CCF53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and structural measures.</w:t>
      </w:r>
      <w:r w:rsidRPr="0032251D">
        <w:rPr>
          <w:rFonts w:ascii="Aptos" w:eastAsia="Times New Roman" w:hAnsi="Aptos" w:cs="Times New Roman"/>
          <w:kern w:val="0"/>
          <w:sz w:val="22"/>
          <w:szCs w:val="22"/>
          <w:lang w:eastAsia="en-GB"/>
          <w14:ligatures w14:val="none"/>
        </w:rPr>
        <w:t xml:space="preserve"> Concentration limits, foreign currency lending restrictions (relevant for FX mismatch in CEE), real estate-specific measures, ring-fencing, total loss-absorbing capacity (TLAC).</w:t>
      </w:r>
    </w:p>
    <w:p w14:paraId="55E90DD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Key parameters: </w:t>
      </w:r>
      <w:r w:rsidRPr="0032251D">
        <w:rPr>
          <w:rFonts w:ascii="Aptos" w:eastAsia="Times New Roman" w:hAnsi="Aptos" w:cs="Times New Roman"/>
          <w:i/>
          <w:iCs/>
          <w:kern w:val="0"/>
          <w:sz w:val="22"/>
          <w:szCs w:val="22"/>
          <w:lang w:eastAsia="en-GB"/>
          <w14:ligatures w14:val="none"/>
        </w:rPr>
        <w:t>calibration</w:t>
      </w:r>
      <w:r w:rsidRPr="0032251D">
        <w:rPr>
          <w:rFonts w:ascii="Aptos" w:eastAsia="Times New Roman" w:hAnsi="Aptos" w:cs="Times New Roman"/>
          <w:kern w:val="0"/>
          <w:sz w:val="22"/>
          <w:szCs w:val="22"/>
          <w:lang w:eastAsia="en-GB"/>
          <w14:ligatures w14:val="none"/>
        </w:rPr>
        <w:t xml:space="preserve"> (how much capital, what LTV); </w:t>
      </w:r>
      <w:r w:rsidRPr="0032251D">
        <w:rPr>
          <w:rFonts w:ascii="Aptos" w:eastAsia="Times New Roman" w:hAnsi="Aptos" w:cs="Times New Roman"/>
          <w:i/>
          <w:iCs/>
          <w:kern w:val="0"/>
          <w:sz w:val="22"/>
          <w:szCs w:val="22"/>
          <w:lang w:eastAsia="en-GB"/>
          <w14:ligatures w14:val="none"/>
        </w:rPr>
        <w:t>cyclical vs structural</w:t>
      </w:r>
      <w:r w:rsidRPr="0032251D">
        <w:rPr>
          <w:rFonts w:ascii="Aptos" w:eastAsia="Times New Roman" w:hAnsi="Aptos" w:cs="Times New Roman"/>
          <w:kern w:val="0"/>
          <w:sz w:val="22"/>
          <w:szCs w:val="22"/>
          <w:lang w:eastAsia="en-GB"/>
          <w14:ligatures w14:val="none"/>
        </w:rPr>
        <w:t xml:space="preserve"> (time-varying CCyB vs permanent G-SIB); </w:t>
      </w:r>
      <w:r w:rsidRPr="0032251D">
        <w:rPr>
          <w:rFonts w:ascii="Aptos" w:eastAsia="Times New Roman" w:hAnsi="Aptos" w:cs="Times New Roman"/>
          <w:i/>
          <w:iCs/>
          <w:kern w:val="0"/>
          <w:sz w:val="22"/>
          <w:szCs w:val="22"/>
          <w:lang w:eastAsia="en-GB"/>
          <w14:ligatures w14:val="none"/>
        </w:rPr>
        <w:t>sectoral vs broad-based</w:t>
      </w:r>
      <w:r w:rsidRPr="0032251D">
        <w:rPr>
          <w:rFonts w:ascii="Aptos" w:eastAsia="Times New Roman" w:hAnsi="Aptos" w:cs="Times New Roman"/>
          <w:kern w:val="0"/>
          <w:sz w:val="22"/>
          <w:szCs w:val="22"/>
          <w:lang w:eastAsia="en-GB"/>
          <w14:ligatures w14:val="none"/>
        </w:rPr>
        <w:t xml:space="preserve">; </w:t>
      </w: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(months for capital, faster for borrower-based). The IMF iMaPP (Integrated Macroprudential Policy) database — Alam et al. 2019 — codifies macropru actions across categories for 134 countries.</w:t>
      </w:r>
    </w:p>
    <w:p w14:paraId="68C49B10"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17C0E77F">
          <v:rect id="_x0000_i1034" alt="" style="width:451.3pt;height:.05pt;mso-width-percent:0;mso-height-percent:0;mso-width-percent:0;mso-height-percent:0" o:hralign="center" o:hrstd="t" o:hr="t" fillcolor="#a0a0a0" stroked="f"/>
        </w:pict>
      </w:r>
    </w:p>
    <w:p w14:paraId="597DAA3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44F83EB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affects asset prices through six channels.</w:t>
      </w:r>
    </w:p>
    <w:p w14:paraId="028C10C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spreads.</w:t>
      </w:r>
      <w:r w:rsidRPr="0032251D">
        <w:rPr>
          <w:rFonts w:ascii="Aptos" w:eastAsia="Times New Roman" w:hAnsi="Aptos" w:cs="Times New Roman"/>
          <w:kern w:val="0"/>
          <w:sz w:val="22"/>
          <w:szCs w:val="22"/>
          <w:lang w:eastAsia="en-GB"/>
          <w14:ligatures w14:val="none"/>
        </w:rPr>
        <w:t xml:space="preserve"> Tightening capital requirements raises bank cost of capital, which is passed to borrowers. Credit spreads widen on aggregate tightening; the reverse on loosening.</w:t>
      </w:r>
    </w:p>
    <w:p w14:paraId="526BC77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Higher capital requirements compress bank ROE (more equity for the same profit). Bank stocks systematically de-rate on capital requirement tightening; G-SIB surcharge announcements are a clean event-study setting.</w:t>
      </w:r>
    </w:p>
    <w:p w14:paraId="0BD08DD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estate prices.</w:t>
      </w:r>
      <w:r w:rsidRPr="0032251D">
        <w:rPr>
          <w:rFonts w:ascii="Aptos" w:eastAsia="Times New Roman" w:hAnsi="Aptos" w:cs="Times New Roman"/>
          <w:kern w:val="0"/>
          <w:sz w:val="22"/>
          <w:szCs w:val="22"/>
          <w:lang w:eastAsia="en-GB"/>
          <w14:ligatures w14:val="none"/>
        </w:rPr>
        <w:t xml:space="preserve"> LTV and DSTI caps directly constrain mortgage lending, which constrains housing demand. Effective borrower-based tools cool housing prices — but housing markets often substitute through cash buyers or alternative financing, so effectiveness varies.</w:t>
      </w:r>
    </w:p>
    <w:p w14:paraId="5ADDEE2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asset prices.</w:t>
      </w:r>
      <w:r w:rsidRPr="0032251D">
        <w:rPr>
          <w:rFonts w:ascii="Aptos" w:eastAsia="Times New Roman" w:hAnsi="Aptos" w:cs="Times New Roman"/>
          <w:kern w:val="0"/>
          <w:sz w:val="22"/>
          <w:szCs w:val="22"/>
          <w:lang w:eastAsia="en-GB"/>
          <w14:ligatures w14:val="none"/>
        </w:rPr>
        <w:t xml:space="preserve"> Sectoral risk weights affect lending to specific sectors. Higher CRE risk weights compress that asset class through reduced credit availability.</w:t>
      </w:r>
    </w:p>
    <w:p w14:paraId="0F0757B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w:t>
      </w:r>
      <w:r w:rsidRPr="0032251D">
        <w:rPr>
          <w:rFonts w:ascii="Aptos" w:eastAsia="Times New Roman" w:hAnsi="Aptos" w:cs="Times New Roman"/>
          <w:kern w:val="0"/>
          <w:sz w:val="22"/>
          <w:szCs w:val="22"/>
          <w:lang w:eastAsia="en-GB"/>
          <w14:ligatures w14:val="none"/>
        </w:rPr>
        <w:t xml:space="preserve"> Macropru can pre-empt crises by compressing tail risk, or precipitate them by forcing simultaneous deleveraging. Implementation timing matters more than the announced calibration.</w:t>
      </w:r>
    </w:p>
    <w:p w14:paraId="27BBFA3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Credit availability.</w:t>
      </w:r>
      <w:r w:rsidRPr="0032251D">
        <w:rPr>
          <w:rFonts w:ascii="Aptos" w:eastAsia="Times New Roman" w:hAnsi="Aptos" w:cs="Times New Roman"/>
          <w:kern w:val="0"/>
          <w:sz w:val="22"/>
          <w:szCs w:val="22"/>
          <w:lang w:eastAsia="en-GB"/>
          <w14:ligatures w14:val="none"/>
        </w:rPr>
        <w:t xml:space="preserve"> Most directly, macropru affects who can borrow and on what terms. This flows through to real activity and corporate earnings.</w:t>
      </w:r>
    </w:p>
    <w:p w14:paraId="717BE74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the key analytical point: macropru creates a </w:t>
      </w:r>
      <w:r w:rsidRPr="0032251D">
        <w:rPr>
          <w:rFonts w:ascii="Aptos" w:eastAsia="Times New Roman" w:hAnsi="Aptos" w:cs="Times New Roman"/>
          <w:i/>
          <w:iCs/>
          <w:kern w:val="0"/>
          <w:sz w:val="22"/>
          <w:szCs w:val="22"/>
          <w:lang w:eastAsia="en-GB"/>
          <w14:ligatures w14:val="none"/>
        </w:rPr>
        <w:t>credit/cost-of-capital wedge</w:t>
      </w:r>
      <w:r w:rsidRPr="0032251D">
        <w:rPr>
          <w:rFonts w:ascii="Aptos" w:eastAsia="Times New Roman" w:hAnsi="Aptos" w:cs="Times New Roman"/>
          <w:kern w:val="0"/>
          <w:sz w:val="22"/>
          <w:szCs w:val="22"/>
          <w:lang w:eastAsia="en-GB"/>
          <w14:ligatures w14:val="none"/>
        </w:rPr>
        <w:t xml:space="preserve"> that is independent of the policy rate. The same nominal monetary stance can produce very different credit conditions depending on the macropru setting. The post-2008 DM regime — loose monetary + tight macropru — produced asset price inflation (low discount rates) without credit boom (constrained access). This is a fundamentally different asset price environment from loose monetary + loose macropru (1990s-2000s), and it requires different portfolio positioning.</w:t>
      </w:r>
    </w:p>
    <w:p w14:paraId="39655974"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8566AE9">
          <v:rect id="_x0000_i1033" alt="" style="width:451.3pt;height:.05pt;mso-width-percent:0;mso-height-percent:0;mso-width-percent:0;mso-height-percent:0" o:hralign="center" o:hrstd="t" o:hr="t" fillcolor="#a0a0a0" stroked="f"/>
        </w:pict>
      </w:r>
    </w:p>
    <w:p w14:paraId="002580F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39D09A88"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deployment varies more across the panel than any other L3 instrument.</w:t>
      </w:r>
    </w:p>
    <w:p w14:paraId="12C52C5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Substantial macropru architecture post-2008. Basel III implementation, CCyB activation in the UK (since 2016) and Nordic countries (active users). NZ, Australia, UK, several EU countries use borrower-based tools. The US is comparatively less active on CCyB and relies more on stress tests as its de facto macropru instrument. BoE-FPC is the most institutionalised </w:t>
      </w:r>
      <w:r w:rsidRPr="0032251D">
        <w:rPr>
          <w:rFonts w:ascii="Aptos" w:eastAsia="Times New Roman" w:hAnsi="Aptos" w:cs="Times New Roman"/>
          <w:kern w:val="0"/>
          <w:sz w:val="22"/>
          <w:szCs w:val="22"/>
          <w:lang w:eastAsia="en-GB"/>
          <w14:ligatures w14:val="none"/>
        </w:rPr>
        <w:lastRenderedPageBreak/>
        <w:t>macropru authority globally; the ECB-SSM-ESRB architecture is more complex coordination across micro and macropru.</w:t>
      </w:r>
    </w:p>
    <w:p w14:paraId="31432B7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EM panel.</w:t>
      </w:r>
      <w:r w:rsidRPr="0032251D">
        <w:rPr>
          <w:rFonts w:ascii="Aptos" w:eastAsia="Times New Roman" w:hAnsi="Aptos" w:cs="Times New Roman"/>
          <w:kern w:val="0"/>
          <w:sz w:val="22"/>
          <w:szCs w:val="22"/>
          <w:lang w:eastAsia="en-GB"/>
          <w14:ligatures w14:val="none"/>
        </w:rPr>
        <w:t xml:space="preserve"> Often more active macropru users than DM, but for different reasons. Reserve requirements are heavily used as both monetary and macropru tools (BCB, Banxico, Bank Indonesia). Asian EMs (Korea, Hong Kong, Singapore) use borrower-based tools actively. BCB runs sectoral capital requirements and active reserve requirement variation. Singapore famously coordinates macropru with FX. India's RBI uses macropru extensively for sector-specific lending control.</w:t>
      </w:r>
    </w:p>
    <w:p w14:paraId="78E886D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key EM insight: macropru in EM often </w:t>
      </w:r>
      <w:r w:rsidRPr="0032251D">
        <w:rPr>
          <w:rFonts w:ascii="Aptos" w:eastAsia="Times New Roman" w:hAnsi="Aptos" w:cs="Times New Roman"/>
          <w:i/>
          <w:iCs/>
          <w:kern w:val="0"/>
          <w:sz w:val="22"/>
          <w:szCs w:val="22"/>
          <w:lang w:eastAsia="en-GB"/>
          <w14:ligatures w14:val="none"/>
        </w:rPr>
        <w:t>substitutes</w:t>
      </w:r>
      <w:r w:rsidRPr="0032251D">
        <w:rPr>
          <w:rFonts w:ascii="Aptos" w:eastAsia="Times New Roman" w:hAnsi="Aptos" w:cs="Times New Roman"/>
          <w:kern w:val="0"/>
          <w:sz w:val="22"/>
          <w:szCs w:val="22"/>
          <w:lang w:eastAsia="en-GB"/>
          <w14:ligatures w14:val="none"/>
        </w:rPr>
        <w:t xml:space="preserve"> for the policy rate as a credit-tightening tool when rate hikes are constrained by external considerations (Fed convergence, fear of floating). Macropru is therefore a more central instrument in EM than in DM, despite DM having more elaborate macropru architecture.</w:t>
      </w:r>
    </w:p>
    <w:p w14:paraId="0B88FE6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implements Basel III and has a Financial Stability Committee. The CCyB has been held at 0% throughout. Some sectoral monitoring around home loans, but no formal LTV cap framework. Conservative deployment overall — SARB's macropru posture mirrors its broader institutional pattern of orthodox monetary policy and limited policy innovation. L3e is </w:t>
      </w:r>
      <w:r w:rsidRPr="0032251D">
        <w:rPr>
          <w:rFonts w:ascii="Aptos" w:eastAsia="Times New Roman" w:hAnsi="Aptos" w:cs="Times New Roman"/>
          <w:i/>
          <w:iCs/>
          <w:kern w:val="0"/>
          <w:sz w:val="22"/>
          <w:szCs w:val="22"/>
          <w:lang w:eastAsia="en-GB"/>
          <w14:ligatures w14:val="none"/>
        </w:rPr>
        <w:t>active but conservatively used</w:t>
      </w:r>
      <w:r w:rsidRPr="0032251D">
        <w:rPr>
          <w:rFonts w:ascii="Aptos" w:eastAsia="Times New Roman" w:hAnsi="Aptos" w:cs="Times New Roman"/>
          <w:kern w:val="0"/>
          <w:sz w:val="22"/>
          <w:szCs w:val="22"/>
          <w:lang w:eastAsia="en-GB"/>
          <w14:ligatures w14:val="none"/>
        </w:rPr>
        <w:t xml:space="preserve"> for SA — there is a framework, but rare deployment.</w:t>
      </w:r>
    </w:p>
    <w:p w14:paraId="2194A6A3"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2BC23AC8">
          <v:rect id="_x0000_i1032" alt="" style="width:451.3pt;height:.05pt;mso-width-percent:0;mso-height-percent:0;mso-width-percent:0;mso-height-percent:0" o:hralign="center" o:hrstd="t" o:hr="t" fillcolor="#a0a0a0" stroked="f"/>
        </w:pict>
      </w:r>
    </w:p>
    <w:p w14:paraId="5EC9804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734BCF9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Multi-dimensional toolkit.</w:t>
      </w:r>
      <w:r w:rsidRPr="0032251D">
        <w:rPr>
          <w:rFonts w:ascii="Aptos" w:eastAsia="Times New Roman" w:hAnsi="Aptos" w:cs="Times New Roman"/>
          <w:kern w:val="0"/>
          <w:sz w:val="22"/>
          <w:szCs w:val="22"/>
          <w:lang w:eastAsia="en-GB"/>
          <w14:ligatures w14:val="none"/>
        </w:rPr>
        <w:t xml:space="preserve"> Macropru is not a single instrument. Capital, liquidity, borrower-based, sectoral, and reserve requirements address different risks. Aggregating into a single "stance" index requires arbitrary weights. Most empirical work uses simple counts of tightening vs loosening actions (Cerutti-Claessens-Laeven 2017), which loses calibration information.</w:t>
      </w:r>
    </w:p>
    <w:p w14:paraId="3E67572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Implementation lag.</w:t>
      </w:r>
      <w:r w:rsidRPr="0032251D">
        <w:rPr>
          <w:rFonts w:ascii="Aptos" w:eastAsia="Times New Roman" w:hAnsi="Aptos" w:cs="Times New Roman"/>
          <w:kern w:val="0"/>
          <w:sz w:val="22"/>
          <w:szCs w:val="22"/>
          <w:lang w:eastAsia="en-GB"/>
          <w14:ligatures w14:val="none"/>
        </w:rPr>
        <w:t xml:space="preserve"> Capital requirement changes are announced and implemented with lags of months to years. The announcement may move bank equity prices; the implementation may move lending behaviour at a different time. Identifying which is which requires careful event windowing.</w:t>
      </w:r>
    </w:p>
    <w:p w14:paraId="1D874CB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Sectoral vs aggregate.</w:t>
      </w:r>
      <w:r w:rsidRPr="0032251D">
        <w:rPr>
          <w:rFonts w:ascii="Aptos" w:eastAsia="Times New Roman" w:hAnsi="Aptos" w:cs="Times New Roman"/>
          <w:kern w:val="0"/>
          <w:sz w:val="22"/>
          <w:szCs w:val="22"/>
          <w:lang w:eastAsia="en-GB"/>
          <w14:ligatures w14:val="none"/>
        </w:rPr>
        <w:t xml:space="preserve"> A sectoral measure (e.g., higher RWAs for CRE) may show up weakly in aggregate metrics but have strong sector-specific effects. Aggregate stance indices systematically understate sectoral macropru.</w:t>
      </w:r>
    </w:p>
    <w:p w14:paraId="6A9697E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Substitution effects.</w:t>
      </w:r>
      <w:r w:rsidRPr="0032251D">
        <w:rPr>
          <w:rFonts w:ascii="Aptos" w:eastAsia="Times New Roman" w:hAnsi="Aptos" w:cs="Times New Roman"/>
          <w:kern w:val="0"/>
          <w:sz w:val="22"/>
          <w:szCs w:val="22"/>
          <w:lang w:eastAsia="en-GB"/>
          <w14:ligatures w14:val="none"/>
        </w:rPr>
        <w:t xml:space="preserve"> Macropru on banks can shift risk to NBFIs. The iMaPP database tracks bank-side actions; NBFI substitution is harder to measure and probably under-counted.</w:t>
      </w:r>
    </w:p>
    <w:p w14:paraId="2E4ED5E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Effectiveness vs activation.</w:t>
      </w:r>
      <w:r w:rsidRPr="0032251D">
        <w:rPr>
          <w:rFonts w:ascii="Aptos" w:eastAsia="Times New Roman" w:hAnsi="Aptos" w:cs="Times New Roman"/>
          <w:kern w:val="0"/>
          <w:sz w:val="22"/>
          <w:szCs w:val="22"/>
          <w:lang w:eastAsia="en-GB"/>
          <w14:ligatures w14:val="none"/>
        </w:rPr>
        <w:t xml:space="preserve"> Did the macropru tool actually achieve its objective? Activation databases are clean; effectiveness studies are messier. Cerutti-Claessens-Laeven (2017) found modest effects on credit growth but heterogeneous across countries and tools.</w:t>
      </w:r>
    </w:p>
    <w:p w14:paraId="21700BD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Endogeneity.</w:t>
      </w:r>
      <w:r w:rsidRPr="0032251D">
        <w:rPr>
          <w:rFonts w:ascii="Aptos" w:eastAsia="Times New Roman" w:hAnsi="Aptos" w:cs="Times New Roman"/>
          <w:kern w:val="0"/>
          <w:sz w:val="22"/>
          <w:szCs w:val="22"/>
          <w:lang w:eastAsia="en-GB"/>
          <w14:ligatures w14:val="none"/>
        </w:rPr>
        <w:t xml:space="preserve"> Macropru is activated </w:t>
      </w:r>
      <w:r w:rsidRPr="0032251D">
        <w:rPr>
          <w:rFonts w:ascii="Aptos" w:eastAsia="Times New Roman" w:hAnsi="Aptos" w:cs="Times New Roman"/>
          <w:i/>
          <w:iCs/>
          <w:kern w:val="0"/>
          <w:sz w:val="22"/>
          <w:szCs w:val="22"/>
          <w:lang w:eastAsia="en-GB"/>
          <w14:ligatures w14:val="none"/>
        </w:rPr>
        <w:t>in response to</w:t>
      </w:r>
      <w:r w:rsidRPr="0032251D">
        <w:rPr>
          <w:rFonts w:ascii="Aptos" w:eastAsia="Times New Roman" w:hAnsi="Aptos" w:cs="Times New Roman"/>
          <w:kern w:val="0"/>
          <w:sz w:val="22"/>
          <w:szCs w:val="22"/>
          <w:lang w:eastAsia="en-GB"/>
          <w14:ligatures w14:val="none"/>
        </w:rPr>
        <w:t xml:space="preserve"> credit booms or asset price increases. So observed correlations between macropru and credit growth are confounded by reverse causality. Clean identification requires either policy rules (predictable activation based on observable triggers) or exogenous variation (cross-country comparison with shared shocks).</w:t>
      </w:r>
    </w:p>
    <w:p w14:paraId="62829DD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Regulatory perimeter.</w:t>
      </w:r>
      <w:r w:rsidRPr="0032251D">
        <w:rPr>
          <w:rFonts w:ascii="Aptos" w:eastAsia="Times New Roman" w:hAnsi="Aptos" w:cs="Times New Roman"/>
          <w:kern w:val="0"/>
          <w:sz w:val="22"/>
          <w:szCs w:val="22"/>
          <w:lang w:eastAsia="en-GB"/>
          <w14:ligatures w14:val="none"/>
        </w:rPr>
        <w:t xml:space="preserve"> Macropru tools operate within the regulated banking perimeter. Cross-border substitution (lending booked offshore) and NBFI substitution (shadow banking) can defeat them. This is the central limitation of the post-2008 architecture.</w:t>
      </w:r>
    </w:p>
    <w:p w14:paraId="47EEAC3B"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34C4519F">
          <v:rect id="_x0000_i1031" alt="" style="width:451.3pt;height:.05pt;mso-width-percent:0;mso-height-percent:0;mso-width-percent:0;mso-height-percent:0" o:hralign="center" o:hrstd="t" o:hr="t" fillcolor="#a0a0a0" stroked="f"/>
        </w:pict>
      </w:r>
    </w:p>
    <w:p w14:paraId="2A522CD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2D8E68E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L3e:</w:t>
      </w:r>
    </w:p>
    <w:p w14:paraId="4B5A4B7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Components of the macropru stance should pull the same direction. Dissonance fires when:</w:t>
      </w:r>
    </w:p>
    <w:p w14:paraId="620EECC0" w14:textId="77777777" w:rsidR="00363CC1" w:rsidRPr="0032251D" w:rsidRDefault="00363CC1" w:rsidP="00363CC1">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Capital requirements tighten but liquidity requirements loosen</w:t>
      </w:r>
    </w:p>
    <w:p w14:paraId="719D62A1" w14:textId="77777777" w:rsidR="00363CC1" w:rsidRPr="0032251D" w:rsidRDefault="00363CC1" w:rsidP="00363CC1">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CCyB lifts but sectoral RWAs unchanged</w:t>
      </w:r>
    </w:p>
    <w:p w14:paraId="3DDDB55F" w14:textId="77777777" w:rsidR="00363CC1" w:rsidRPr="0032251D" w:rsidRDefault="00363CC1" w:rsidP="00363CC1">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Aggregate macropru tightens but sectoral measures move opposite</w:t>
      </w:r>
    </w:p>
    <w:p w14:paraId="7D83D327" w14:textId="77777777" w:rsidR="00363CC1" w:rsidRPr="0032251D" w:rsidRDefault="00363CC1" w:rsidP="00363CC1">
      <w:pPr>
        <w:numPr>
          <w:ilvl w:val="0"/>
          <w:numId w:val="1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Macropru tightens but stress test assumptions become more lenient (covert loosening through changed scenarios)</w:t>
      </w:r>
    </w:p>
    <w:p w14:paraId="4548709C"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L3e.</w:t>
      </w:r>
      <w:r w:rsidRPr="0032251D">
        <w:rPr>
          <w:rFonts w:ascii="Aptos" w:eastAsia="Times New Roman" w:hAnsi="Aptos" w:cs="Times New Roman"/>
          <w:kern w:val="0"/>
          <w:sz w:val="22"/>
          <w:szCs w:val="22"/>
          <w:lang w:eastAsia="en-GB"/>
          <w14:ligatures w14:val="none"/>
        </w:rPr>
        <w:t xml:space="preserve"> Macropru should be active when the rule's λ (financial stability weight) is positive and stability indicators are stressed. Dissonance fires when financial stability is degrading but macropru is passive, or tightening pre-emptively without underlying stress.</w:t>
      </w:r>
    </w:p>
    <w:p w14:paraId="0714EAA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L3e.</w:t>
      </w:r>
      <w:r w:rsidRPr="0032251D">
        <w:rPr>
          <w:rFonts w:ascii="Aptos" w:eastAsia="Times New Roman" w:hAnsi="Aptos" w:cs="Times New Roman"/>
          <w:kern w:val="0"/>
          <w:sz w:val="22"/>
          <w:szCs w:val="22"/>
          <w:lang w:eastAsia="en-GB"/>
          <w14:ligatures w14:val="none"/>
        </w:rPr>
        <w:t xml:space="preserve"> The λ weight in the loss function justifies macropru deployment. Dissonance fires when financial stability is in the mandate but macropru is dormant, or active without an underlying stability mandate to justify it.</w:t>
      </w:r>
    </w:p>
    <w:p w14:paraId="487B350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L3e.</w:t>
      </w:r>
      <w:r w:rsidRPr="0032251D">
        <w:rPr>
          <w:rFonts w:ascii="Aptos" w:eastAsia="Times New Roman" w:hAnsi="Aptos" w:cs="Times New Roman"/>
          <w:kern w:val="0"/>
          <w:sz w:val="22"/>
          <w:szCs w:val="22"/>
          <w:lang w:eastAsia="en-GB"/>
          <w14:ligatures w14:val="none"/>
        </w:rPr>
        <w:t xml:space="preserve"> Monetary and macropru can intentionally diverge — loose monetary + tight macropru is the post-2008 DM playbook. Dissonance: when divergence is extreme and unaligned with stated framework, or when both move the same direction in ways the framework does not justify.</w:t>
      </w:r>
    </w:p>
    <w:p w14:paraId="39AD388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L3e.</w:t>
      </w:r>
      <w:r w:rsidRPr="0032251D">
        <w:rPr>
          <w:rFonts w:ascii="Aptos" w:eastAsia="Times New Roman" w:hAnsi="Aptos" w:cs="Times New Roman"/>
          <w:kern w:val="0"/>
          <w:sz w:val="22"/>
          <w:szCs w:val="22"/>
          <w:lang w:eastAsia="en-GB"/>
          <w14:ligatures w14:val="none"/>
        </w:rPr>
        <w:t xml:space="preserve"> Balance sheet expansion can build leverage that macropru must counter. Dissonance: QE expanding household credit while macropru loosens LTV caps — instruments working at cross purposes.</w:t>
      </w:r>
    </w:p>
    <w:p w14:paraId="455DC89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L5a (banks).</w:t>
      </w:r>
      <w:r w:rsidRPr="0032251D">
        <w:rPr>
          <w:rFonts w:ascii="Aptos" w:eastAsia="Times New Roman" w:hAnsi="Aptos" w:cs="Times New Roman"/>
          <w:kern w:val="0"/>
          <w:sz w:val="22"/>
          <w:szCs w:val="22"/>
          <w:lang w:eastAsia="en-GB"/>
          <w14:ligatures w14:val="none"/>
        </w:rPr>
        <w:t xml:space="preserve"> Macropru directly targets bank balance sheets. Dissonance fires when macropru is tightened but bank lending continues to grow — circumvention, grandfathering, or substitution.</w:t>
      </w:r>
    </w:p>
    <w:p w14:paraId="39E4276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L5b (NBFI).</w:t>
      </w:r>
      <w:r w:rsidRPr="0032251D">
        <w:rPr>
          <w:rFonts w:ascii="Aptos" w:eastAsia="Times New Roman" w:hAnsi="Aptos" w:cs="Times New Roman"/>
          <w:kern w:val="0"/>
          <w:sz w:val="22"/>
          <w:szCs w:val="22"/>
          <w:lang w:eastAsia="en-GB"/>
          <w14:ligatures w14:val="none"/>
        </w:rPr>
        <w:t xml:space="preserve"> NBFI sits outside most macropru perimeters. Dissonance fires when macropru tightens on banks while NBFI risk builds — the post-2008 risk migration pattern. This is the central structural weakness of current macropru architecture.</w:t>
      </w:r>
    </w:p>
    <w:p w14:paraId="00C7CA1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L3e → L10b (financial stability).</w:t>
      </w:r>
      <w:r w:rsidRPr="0032251D">
        <w:rPr>
          <w:rFonts w:ascii="Aptos" w:eastAsia="Times New Roman" w:hAnsi="Aptos" w:cs="Times New Roman"/>
          <w:kern w:val="0"/>
          <w:sz w:val="22"/>
          <w:szCs w:val="22"/>
          <w:lang w:eastAsia="en-GB"/>
          <w14:ligatures w14:val="none"/>
        </w:rPr>
        <w:t xml:space="preserve"> Direct mapping — macropru targets stability outcomes. Dissonance fires when macropru is active but financial stability indicators worsen — wrong targeting, wrong calibration, or risk migrating outside the regulatory perimeter.</w:t>
      </w:r>
    </w:p>
    <w:p w14:paraId="0BA0DF5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L3e node is the bank's </w:t>
      </w:r>
      <w:r w:rsidRPr="0032251D">
        <w:rPr>
          <w:rFonts w:ascii="Aptos" w:eastAsia="Times New Roman" w:hAnsi="Aptos" w:cs="Times New Roman"/>
          <w:i/>
          <w:iCs/>
          <w:kern w:val="0"/>
          <w:sz w:val="22"/>
          <w:szCs w:val="22"/>
          <w:lang w:eastAsia="en-GB"/>
          <w14:ligatures w14:val="none"/>
        </w:rPr>
        <w:t>systemic risk management instrument</w:t>
      </w:r>
      <w:r w:rsidRPr="0032251D">
        <w:rPr>
          <w:rFonts w:ascii="Aptos" w:eastAsia="Times New Roman" w:hAnsi="Aptos" w:cs="Times New Roman"/>
          <w:kern w:val="0"/>
          <w:sz w:val="22"/>
          <w:szCs w:val="22"/>
          <w:lang w:eastAsia="en-GB"/>
          <w14:ligatures w14:val="none"/>
        </w:rPr>
        <w:t xml:space="preserve">. Operating on a different axis from the rate (cost of money), the balance sheet (quantity of safe assets), and FX intervention (currency price), it operates on the structure and incentives of credit allocation. Dissonance at </w:t>
      </w:r>
      <w:r w:rsidRPr="0032251D">
        <w:rPr>
          <w:rFonts w:ascii="Aptos" w:eastAsia="Times New Roman" w:hAnsi="Aptos" w:cs="Times New Roman"/>
          <w:kern w:val="0"/>
          <w:sz w:val="22"/>
          <w:szCs w:val="22"/>
          <w:lang w:eastAsia="en-GB"/>
          <w14:ligatures w14:val="none"/>
        </w:rPr>
        <w:lastRenderedPageBreak/>
        <w:t>L3e means the bank's stated financial stability mandate and its actual risk management actions have diverged, or that the macropru perimeter has failed to cover where the risk has actually accumulated.</w:t>
      </w:r>
    </w:p>
    <w:p w14:paraId="35A5310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3f — Liquidity Facilities</w:t>
      </w:r>
    </w:p>
    <w:p w14:paraId="1D559FE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Liquidity facilities are central bank tools that provide funding to financial institutions, typically against collateral, when normal market funding becomes unavailable or unaffordable. They are distinct from the policy rate (which sets the price of unconstrained liquidity), from the balance sheet (which targets monetary stance), and from macroprudential policy (which sets structural rules). Their defining feature is </w:t>
      </w:r>
      <w:r w:rsidRPr="0032251D">
        <w:rPr>
          <w:rFonts w:ascii="Aptos" w:eastAsia="Times New Roman" w:hAnsi="Aptos" w:cs="Times New Roman"/>
          <w:i/>
          <w:iCs/>
          <w:kern w:val="0"/>
          <w:sz w:val="22"/>
          <w:szCs w:val="22"/>
          <w:lang w:eastAsia="en-GB"/>
          <w14:ligatures w14:val="none"/>
        </w:rPr>
        <w:t>contingency</w:t>
      </w:r>
      <w:r w:rsidRPr="0032251D">
        <w:rPr>
          <w:rFonts w:ascii="Aptos" w:eastAsia="Times New Roman" w:hAnsi="Aptos" w:cs="Times New Roman"/>
          <w:kern w:val="0"/>
          <w:sz w:val="22"/>
          <w:szCs w:val="22"/>
          <w:lang w:eastAsia="en-GB"/>
          <w14:ligatures w14:val="none"/>
        </w:rPr>
        <w:t xml:space="preserve"> — they are dormant in normal times and activated in stress. Three families: </w:t>
      </w: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(discount window, Standing Repo Facility); </w:t>
      </w: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reactivated in response to specific stress (TAF, PDCF, CPFF, BTFP); and </w:t>
      </w:r>
      <w:r w:rsidRPr="0032251D">
        <w:rPr>
          <w:rFonts w:ascii="Aptos" w:eastAsia="Times New Roman" w:hAnsi="Aptos" w:cs="Times New Roman"/>
          <w:i/>
          <w:iCs/>
          <w:kern w:val="0"/>
          <w:sz w:val="22"/>
          <w:szCs w:val="22"/>
          <w:lang w:eastAsia="en-GB"/>
          <w14:ligatures w14:val="none"/>
        </w:rPr>
        <w:t>cross-border facilities</w:t>
      </w:r>
      <w:r w:rsidRPr="0032251D">
        <w:rPr>
          <w:rFonts w:ascii="Aptos" w:eastAsia="Times New Roman" w:hAnsi="Aptos" w:cs="Times New Roman"/>
          <w:kern w:val="0"/>
          <w:sz w:val="22"/>
          <w:szCs w:val="22"/>
          <w:lang w:eastAsia="en-GB"/>
          <w14:ligatures w14:val="none"/>
        </w:rPr>
        <w:t xml:space="preserve"> — FX swap lines between major central banks and the Fed's FIMA repo facility for other CBs holding US Treasuries.</w:t>
      </w:r>
    </w:p>
    <w:p w14:paraId="78E473C6"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1E24B591">
          <v:rect id="_x0000_i1030" alt="" style="width:451.3pt;height:.05pt;mso-width-percent:0;mso-height-percent:0;mso-width-percent:0;mso-height-percent:0" o:hralign="center" o:hrstd="t" o:hr="t" fillcolor="#a0a0a0" stroked="f"/>
        </w:pict>
      </w:r>
    </w:p>
    <w:p w14:paraId="6F3A73B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3076B01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exist because of an inherent fragility in maturity transformation.</w:t>
      </w:r>
    </w:p>
    <w:p w14:paraId="544D3BA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Bagehot foundation.</w:t>
      </w:r>
      <w:r w:rsidRPr="0032251D">
        <w:rPr>
          <w:rFonts w:ascii="Aptos" w:eastAsia="Times New Roman" w:hAnsi="Aptos" w:cs="Times New Roman"/>
          <w:kern w:val="0"/>
          <w:sz w:val="22"/>
          <w:szCs w:val="22"/>
          <w:lang w:eastAsia="en-GB"/>
          <w14:ligatures w14:val="none"/>
        </w:rPr>
        <w:t xml:space="preserve"> Walter Bagehot's </w:t>
      </w:r>
      <w:r w:rsidRPr="0032251D">
        <w:rPr>
          <w:rFonts w:ascii="Aptos" w:eastAsia="Times New Roman" w:hAnsi="Aptos" w:cs="Times New Roman"/>
          <w:i/>
          <w:iCs/>
          <w:kern w:val="0"/>
          <w:sz w:val="22"/>
          <w:szCs w:val="22"/>
          <w:lang w:eastAsia="en-GB"/>
          <w14:ligatures w14:val="none"/>
        </w:rPr>
        <w:t>Lombard Street</w:t>
      </w:r>
      <w:r w:rsidRPr="0032251D">
        <w:rPr>
          <w:rFonts w:ascii="Aptos" w:eastAsia="Times New Roman" w:hAnsi="Aptos" w:cs="Times New Roman"/>
          <w:kern w:val="0"/>
          <w:sz w:val="22"/>
          <w:szCs w:val="22"/>
          <w:lang w:eastAsia="en-GB"/>
          <w14:ligatures w14:val="none"/>
        </w:rPr>
        <w:t xml:space="preserve"> (1873) provided the foundational LOLR framework: in financial crises, the central bank should lend freely, at penalty rates, against good collateral. The logic builds on Diamond-Dybvig: banks transform short-term liquid liabilities (deposits) into longer-term illiquid assets (loans). This is socially valuable but creates run vulnerability. Illiquidity can become insolvency through fire-sale dynamics. An outside agent providing unconditional liquidity against good collateral breaks the run mechanically.</w:t>
      </w:r>
    </w:p>
    <w:p w14:paraId="31F5D6A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three Bagehotian conditions matter: (1) lend freely — no quantity rationing; (2) at penalty rates — to discourage routine use and limit moral hazard; (3) against good collateral — to protect the central bank from credit risk. Modern facility design has progressively relaxed all three, particularly post-2008.</w:t>
      </w:r>
    </w:p>
    <w:p w14:paraId="3F387080"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2008 extension.</w:t>
      </w:r>
      <w:r w:rsidRPr="0032251D">
        <w:rPr>
          <w:rFonts w:ascii="Aptos" w:eastAsia="Times New Roman" w:hAnsi="Aptos" w:cs="Times New Roman"/>
          <w:kern w:val="0"/>
          <w:sz w:val="22"/>
          <w:szCs w:val="22"/>
          <w:lang w:eastAsia="en-GB"/>
          <w14:ligatures w14:val="none"/>
        </w:rPr>
        <w:t xml:space="preserve"> The crisis revealed that the Bagehotian framework needed expansion. Risk had migrated outside the regulated banking perimeter (NBFI, dealers, MMFs); wholesale funding markets (repo, commercial paper) could freeze; cross-border dollar funding required international coordination. The LOLR function consequently expanded along five axes — from banks to non-banks (PDCF), from overnight to term (TAF), from collateral lending to outright asset purchases (CPFF, TALF), from domestic to cross-border (Fed swap lines), and from institution-specific to market-specific (MMLF).</w:t>
      </w:r>
    </w:p>
    <w:p w14:paraId="7340C24D"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2023 SVB lesson.</w:t>
      </w:r>
      <w:r w:rsidRPr="0032251D">
        <w:rPr>
          <w:rFonts w:ascii="Aptos" w:eastAsia="Times New Roman" w:hAnsi="Aptos" w:cs="Times New Roman"/>
          <w:kern w:val="0"/>
          <w:sz w:val="22"/>
          <w:szCs w:val="22"/>
          <w:lang w:eastAsia="en-GB"/>
          <w14:ligatures w14:val="none"/>
        </w:rPr>
        <w:t xml:space="preserve"> The collapse of Silicon Valley Bank revealed the </w:t>
      </w:r>
      <w:r w:rsidRPr="0032251D">
        <w:rPr>
          <w:rFonts w:ascii="Aptos" w:eastAsia="Times New Roman" w:hAnsi="Aptos" w:cs="Times New Roman"/>
          <w:i/>
          <w:iCs/>
          <w:kern w:val="0"/>
          <w:sz w:val="22"/>
          <w:szCs w:val="22"/>
          <w:lang w:eastAsia="en-GB"/>
          <w14:ligatures w14:val="none"/>
        </w:rPr>
        <w:t>digital deposit run</w:t>
      </w:r>
      <w:r w:rsidRPr="0032251D">
        <w:rPr>
          <w:rFonts w:ascii="Aptos" w:eastAsia="Times New Roman" w:hAnsi="Aptos" w:cs="Times New Roman"/>
          <w:kern w:val="0"/>
          <w:sz w:val="22"/>
          <w:szCs w:val="22"/>
          <w:lang w:eastAsia="en-GB"/>
          <w14:ligatures w14:val="none"/>
        </w:rPr>
        <w:t xml:space="preserve"> problem: deposits can flee at electronic speed (SVB lost ~$42bn in a single day), faster than traditional discount window operations can respond. The Bank Term Funding Program (BTFP), created in response, accepted collateral at par value rather than market value — a significant relaxation of Bagehot's "good collateral" condition, justified as preventing forced asset sales. The facility design tension between speed-of-response and moral hazard sharpened.</w:t>
      </w:r>
    </w:p>
    <w:p w14:paraId="166B021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Moral hazard.</w:t>
      </w:r>
      <w:r w:rsidRPr="0032251D">
        <w:rPr>
          <w:rFonts w:ascii="Aptos" w:eastAsia="Times New Roman" w:hAnsi="Aptos" w:cs="Times New Roman"/>
          <w:kern w:val="0"/>
          <w:sz w:val="22"/>
          <w:szCs w:val="22"/>
          <w:lang w:eastAsia="en-GB"/>
          <w14:ligatures w14:val="none"/>
        </w:rPr>
        <w:t xml:space="preserve"> The standing theoretical concern: if the central bank always provides liquidity, banks take more liquidity risk. Facilities are designed with penalty rates, collateral haircuts, and </w:t>
      </w:r>
      <w:r w:rsidRPr="0032251D">
        <w:rPr>
          <w:rFonts w:ascii="Aptos" w:eastAsia="Times New Roman" w:hAnsi="Aptos" w:cs="Times New Roman"/>
          <w:kern w:val="0"/>
          <w:sz w:val="22"/>
          <w:szCs w:val="22"/>
          <w:lang w:eastAsia="en-GB"/>
          <w14:ligatures w14:val="none"/>
        </w:rPr>
        <w:lastRenderedPageBreak/>
        <w:t>discretionary access to limit this. But each facility extension narrows the moral hazard guardrails. The cumulative effect is debated.</w:t>
      </w:r>
    </w:p>
    <w:p w14:paraId="223B87B8"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67EDE41">
          <v:rect id="_x0000_i1029" alt="" style="width:451.3pt;height:.05pt;mso-width-percent:0;mso-height-percent:0;mso-width-percent:0;mso-height-percent:0" o:hralign="center" o:hrstd="t" o:hr="t" fillcolor="#a0a0a0" stroked="f"/>
        </w:pict>
      </w:r>
    </w:p>
    <w:p w14:paraId="60D25823"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008C1CB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operational families.</w:t>
      </w:r>
    </w:p>
    <w:p w14:paraId="1A35944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Standing facilities.</w:t>
      </w:r>
      <w:r w:rsidRPr="0032251D">
        <w:rPr>
          <w:rFonts w:ascii="Aptos" w:eastAsia="Times New Roman" w:hAnsi="Aptos" w:cs="Times New Roman"/>
          <w:kern w:val="0"/>
          <w:sz w:val="22"/>
          <w:szCs w:val="22"/>
          <w:lang w:eastAsia="en-GB"/>
          <w14:ligatures w14:val="none"/>
        </w:rPr>
        <w:t xml:space="preserve"> Permanently available, dormant in normal times.</w:t>
      </w:r>
    </w:p>
    <w:p w14:paraId="148764A8" w14:textId="77777777" w:rsidR="00363CC1" w:rsidRPr="0032251D" w:rsidRDefault="00363CC1" w:rsidP="00363CC1">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Discount window</w:t>
      </w:r>
      <w:r w:rsidRPr="0032251D">
        <w:rPr>
          <w:rFonts w:ascii="Aptos" w:eastAsia="Times New Roman" w:hAnsi="Aptos" w:cs="Times New Roman"/>
          <w:kern w:val="0"/>
          <w:sz w:val="22"/>
          <w:szCs w:val="22"/>
          <w:lang w:eastAsia="en-GB"/>
          <w14:ligatures w14:val="none"/>
        </w:rPr>
        <w:t xml:space="preserve"> (Fed): secured lending to depository institutions, traditionally at penalty rates over the policy rate.</w:t>
      </w:r>
    </w:p>
    <w:p w14:paraId="292D4ABA" w14:textId="77777777" w:rsidR="00363CC1" w:rsidRPr="0032251D" w:rsidRDefault="00363CC1" w:rsidP="00363CC1">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Repo Facility</w:t>
      </w:r>
      <w:r w:rsidRPr="0032251D">
        <w:rPr>
          <w:rFonts w:ascii="Aptos" w:eastAsia="Times New Roman" w:hAnsi="Aptos" w:cs="Times New Roman"/>
          <w:kern w:val="0"/>
          <w:sz w:val="22"/>
          <w:szCs w:val="22"/>
          <w:lang w:eastAsia="en-GB"/>
          <w14:ligatures w14:val="none"/>
        </w:rPr>
        <w:t xml:space="preserve"> (Fed, 2021): committed overnight repo against Treasuries at the policy rate. Designed specifically to overcome stigma.</w:t>
      </w:r>
    </w:p>
    <w:p w14:paraId="49987A8E" w14:textId="77777777" w:rsidR="00363CC1" w:rsidRPr="0032251D" w:rsidRDefault="00363CC1" w:rsidP="00363CC1">
      <w:pPr>
        <w:numPr>
          <w:ilvl w:val="0"/>
          <w:numId w:val="1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Marginal lending facility</w:t>
      </w:r>
      <w:r w:rsidRPr="0032251D">
        <w:rPr>
          <w:rFonts w:ascii="Aptos" w:eastAsia="Times New Roman" w:hAnsi="Aptos" w:cs="Times New Roman"/>
          <w:kern w:val="0"/>
          <w:sz w:val="22"/>
          <w:szCs w:val="22"/>
          <w:lang w:eastAsia="en-GB"/>
          <w14:ligatures w14:val="none"/>
        </w:rPr>
        <w:t xml:space="preserve"> (ECB): upper bound of the corridor system.</w:t>
      </w:r>
    </w:p>
    <w:p w14:paraId="79A2658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 facilities.</w:t>
      </w:r>
      <w:r w:rsidRPr="0032251D">
        <w:rPr>
          <w:rFonts w:ascii="Aptos" w:eastAsia="Times New Roman" w:hAnsi="Aptos" w:cs="Times New Roman"/>
          <w:kern w:val="0"/>
          <w:sz w:val="22"/>
          <w:szCs w:val="22"/>
          <w:lang w:eastAsia="en-GB"/>
          <w14:ligatures w14:val="none"/>
        </w:rPr>
        <w:t xml:space="preserve"> Created or activated for specific stress episodes.</w:t>
      </w:r>
    </w:p>
    <w:p w14:paraId="661DB64B" w14:textId="77777777" w:rsidR="00363CC1" w:rsidRPr="0032251D" w:rsidRDefault="00363CC1" w:rsidP="00363CC1">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Pre-2008: limited toolkit (discount window primarily).</w:t>
      </w:r>
    </w:p>
    <w:p w14:paraId="1CE75BC0" w14:textId="77777777" w:rsidR="00363CC1" w:rsidRPr="0032251D" w:rsidRDefault="00363CC1" w:rsidP="00363CC1">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2008: TAF (term auction), PDCF (primary dealers), CPFF (commercial paper), MMLF (money market funds), TALF (asset-backed securities).</w:t>
      </w:r>
    </w:p>
    <w:p w14:paraId="72B79BEE" w14:textId="77777777" w:rsidR="00363CC1" w:rsidRPr="0032251D" w:rsidRDefault="00363CC1" w:rsidP="00363CC1">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2020 COVID: rapid reactivation of the 2008 toolkit plus Main Street Lending Program, Municipal Liquidity Facility, and others.</w:t>
      </w:r>
    </w:p>
    <w:p w14:paraId="08E5E8BC" w14:textId="77777777" w:rsidR="00363CC1" w:rsidRPr="0032251D" w:rsidRDefault="00363CC1" w:rsidP="00363CC1">
      <w:pPr>
        <w:numPr>
          <w:ilvl w:val="0"/>
          <w:numId w:val="1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2023: BTFP, designed for the digital deposit run problem.</w:t>
      </w:r>
    </w:p>
    <w:p w14:paraId="771E1DB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facilities.</w:t>
      </w:r>
    </w:p>
    <w:p w14:paraId="596779EE" w14:textId="77777777" w:rsidR="00363CC1" w:rsidRPr="0032251D" w:rsidRDefault="00363CC1" w:rsidP="00363CC1">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Standing dollar swap lines</w:t>
      </w:r>
      <w:r w:rsidRPr="0032251D">
        <w:rPr>
          <w:rFonts w:ascii="Aptos" w:eastAsia="Times New Roman" w:hAnsi="Aptos" w:cs="Times New Roman"/>
          <w:kern w:val="0"/>
          <w:sz w:val="22"/>
          <w:szCs w:val="22"/>
          <w:lang w:eastAsia="en-GB"/>
          <w14:ligatures w14:val="none"/>
        </w:rPr>
        <w:t>: Fed-ECB, Fed-BoE, Fed-BoJ, Fed-SNB, Fed-BoC — the C6 currency arrangement made permanent in 2013.</w:t>
      </w:r>
    </w:p>
    <w:p w14:paraId="71BD87FC" w14:textId="77777777" w:rsidR="00363CC1" w:rsidRPr="0032251D" w:rsidRDefault="00363CC1" w:rsidP="00363CC1">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Temporary swap lines</w:t>
      </w:r>
      <w:r w:rsidRPr="0032251D">
        <w:rPr>
          <w:rFonts w:ascii="Aptos" w:eastAsia="Times New Roman" w:hAnsi="Aptos" w:cs="Times New Roman"/>
          <w:kern w:val="0"/>
          <w:sz w:val="22"/>
          <w:szCs w:val="22"/>
          <w:lang w:eastAsia="en-GB"/>
          <w14:ligatures w14:val="none"/>
        </w:rPr>
        <w:t>: extended to selected EMs during 2008 (Brazil, Mexico, Korea, Singapore) and 2020 (similar list plus more).</w:t>
      </w:r>
    </w:p>
    <w:p w14:paraId="0F16B74D" w14:textId="77777777" w:rsidR="00363CC1" w:rsidRPr="0032251D" w:rsidRDefault="00363CC1" w:rsidP="00363CC1">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FIMA repo facility</w:t>
      </w:r>
      <w:r w:rsidRPr="0032251D">
        <w:rPr>
          <w:rFonts w:ascii="Aptos" w:eastAsia="Times New Roman" w:hAnsi="Aptos" w:cs="Times New Roman"/>
          <w:kern w:val="0"/>
          <w:sz w:val="22"/>
          <w:szCs w:val="22"/>
          <w:lang w:eastAsia="en-GB"/>
          <w14:ligatures w14:val="none"/>
        </w:rPr>
        <w:t xml:space="preserve"> (Fed, 2020): allows any CB holding US Treasuries to obtain dollars by repoing them, with less political gating than swap lines.</w:t>
      </w:r>
    </w:p>
    <w:p w14:paraId="7582B5E6" w14:textId="77777777" w:rsidR="00363CC1" w:rsidRPr="0032251D" w:rsidRDefault="00363CC1" w:rsidP="00363CC1">
      <w:pPr>
        <w:numPr>
          <w:ilvl w:val="0"/>
          <w:numId w:val="16"/>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Regional arrangements</w:t>
      </w:r>
      <w:r w:rsidRPr="0032251D">
        <w:rPr>
          <w:rFonts w:ascii="Aptos" w:eastAsia="Times New Roman" w:hAnsi="Aptos" w:cs="Times New Roman"/>
          <w:kern w:val="0"/>
          <w:sz w:val="22"/>
          <w:szCs w:val="22"/>
          <w:lang w:eastAsia="en-GB"/>
          <w14:ligatures w14:val="none"/>
        </w:rPr>
        <w:t>: Chiang Mai Initiative in Asia, BIS-coordinated facilities.</w:t>
      </w:r>
    </w:p>
    <w:p w14:paraId="328929D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w:t>
      </w:r>
      <w:r w:rsidRPr="0032251D">
        <w:rPr>
          <w:rFonts w:ascii="Aptos" w:eastAsia="Times New Roman" w:hAnsi="Aptos" w:cs="Times New Roman"/>
          <w:i/>
          <w:iCs/>
          <w:kern w:val="0"/>
          <w:sz w:val="22"/>
          <w:szCs w:val="22"/>
          <w:lang w:eastAsia="en-GB"/>
          <w14:ligatures w14:val="none"/>
        </w:rPr>
        <w:t>rate</w:t>
      </w:r>
      <w:r w:rsidRPr="0032251D">
        <w:rPr>
          <w:rFonts w:ascii="Aptos" w:eastAsia="Times New Roman" w:hAnsi="Aptos" w:cs="Times New Roman"/>
          <w:kern w:val="0"/>
          <w:sz w:val="22"/>
          <w:szCs w:val="22"/>
          <w:lang w:eastAsia="en-GB"/>
          <w14:ligatures w14:val="none"/>
        </w:rPr>
        <w:t xml:space="preserve"> (penalty over policy or near-policy); </w:t>
      </w:r>
      <w:r w:rsidRPr="0032251D">
        <w:rPr>
          <w:rFonts w:ascii="Aptos" w:eastAsia="Times New Roman" w:hAnsi="Aptos" w:cs="Times New Roman"/>
          <w:i/>
          <w:iCs/>
          <w:kern w:val="0"/>
          <w:sz w:val="22"/>
          <w:szCs w:val="22"/>
          <w:lang w:eastAsia="en-GB"/>
          <w14:ligatures w14:val="none"/>
        </w:rPr>
        <w:t>collateral</w:t>
      </w:r>
      <w:r w:rsidRPr="0032251D">
        <w:rPr>
          <w:rFonts w:ascii="Aptos" w:eastAsia="Times New Roman" w:hAnsi="Aptos" w:cs="Times New Roman"/>
          <w:kern w:val="0"/>
          <w:sz w:val="22"/>
          <w:szCs w:val="22"/>
          <w:lang w:eastAsia="en-GB"/>
          <w14:ligatures w14:val="none"/>
        </w:rPr>
        <w:t xml:space="preserve"> (Treasuries only, broader, or asset-specific); </w:t>
      </w:r>
      <w:r w:rsidRPr="0032251D">
        <w:rPr>
          <w:rFonts w:ascii="Aptos" w:eastAsia="Times New Roman" w:hAnsi="Aptos" w:cs="Times New Roman"/>
          <w:i/>
          <w:iCs/>
          <w:kern w:val="0"/>
          <w:sz w:val="22"/>
          <w:szCs w:val="22"/>
          <w:lang w:eastAsia="en-GB"/>
          <w14:ligatures w14:val="none"/>
        </w:rPr>
        <w:t>counterparty</w:t>
      </w:r>
      <w:r w:rsidRPr="0032251D">
        <w:rPr>
          <w:rFonts w:ascii="Aptos" w:eastAsia="Times New Roman" w:hAnsi="Aptos" w:cs="Times New Roman"/>
          <w:kern w:val="0"/>
          <w:sz w:val="22"/>
          <w:szCs w:val="22"/>
          <w:lang w:eastAsia="en-GB"/>
          <w14:ligatures w14:val="none"/>
        </w:rPr>
        <w:t xml:space="preserve"> (banks, dealers, non-bank financials); </w:t>
      </w:r>
      <w:r w:rsidRPr="0032251D">
        <w:rPr>
          <w:rFonts w:ascii="Aptos" w:eastAsia="Times New Roman" w:hAnsi="Aptos" w:cs="Times New Roman"/>
          <w:i/>
          <w:iCs/>
          <w:kern w:val="0"/>
          <w:sz w:val="22"/>
          <w:szCs w:val="22"/>
          <w:lang w:eastAsia="en-GB"/>
          <w14:ligatures w14:val="none"/>
        </w:rPr>
        <w:t>term</w:t>
      </w:r>
      <w:r w:rsidRPr="0032251D">
        <w:rPr>
          <w:rFonts w:ascii="Aptos" w:eastAsia="Times New Roman" w:hAnsi="Aptos" w:cs="Times New Roman"/>
          <w:kern w:val="0"/>
          <w:sz w:val="22"/>
          <w:szCs w:val="22"/>
          <w:lang w:eastAsia="en-GB"/>
          <w14:ligatures w14:val="none"/>
        </w:rPr>
        <w:t xml:space="preserve"> (overnight, one week, three months); </w:t>
      </w:r>
      <w:r w:rsidRPr="0032251D">
        <w:rPr>
          <w:rFonts w:ascii="Aptos" w:eastAsia="Times New Roman" w:hAnsi="Aptos" w:cs="Times New Roman"/>
          <w:i/>
          <w:iCs/>
          <w:kern w:val="0"/>
          <w:sz w:val="22"/>
          <w:szCs w:val="22"/>
          <w:lang w:eastAsia="en-GB"/>
          <w14:ligatures w14:val="none"/>
        </w:rPr>
        <w:t>caps</w:t>
      </w:r>
      <w:r w:rsidRPr="0032251D">
        <w:rPr>
          <w:rFonts w:ascii="Aptos" w:eastAsia="Times New Roman" w:hAnsi="Aptos" w:cs="Times New Roman"/>
          <w:kern w:val="0"/>
          <w:sz w:val="22"/>
          <w:szCs w:val="22"/>
          <w:lang w:eastAsia="en-GB"/>
          <w14:ligatures w14:val="none"/>
        </w:rPr>
        <w:t xml:space="preserve"> (aggregate or per-counterparty); </w:t>
      </w:r>
      <w:r w:rsidRPr="0032251D">
        <w:rPr>
          <w:rFonts w:ascii="Aptos" w:eastAsia="Times New Roman" w:hAnsi="Aptos" w:cs="Times New Roman"/>
          <w:i/>
          <w:iCs/>
          <w:kern w:val="0"/>
          <w:sz w:val="22"/>
          <w:szCs w:val="22"/>
          <w:lang w:eastAsia="en-GB"/>
          <w14:ligatures w14:val="none"/>
        </w:rPr>
        <w:t>pricing mechanism</w:t>
      </w:r>
      <w:r w:rsidRPr="0032251D">
        <w:rPr>
          <w:rFonts w:ascii="Aptos" w:eastAsia="Times New Roman" w:hAnsi="Aptos" w:cs="Times New Roman"/>
          <w:kern w:val="0"/>
          <w:sz w:val="22"/>
          <w:szCs w:val="22"/>
          <w:lang w:eastAsia="en-GB"/>
          <w14:ligatures w14:val="none"/>
        </w:rPr>
        <w:t xml:space="preserve"> (auction vs fixed).</w:t>
      </w:r>
    </w:p>
    <w:p w14:paraId="531735E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Two important contrasts: </w:t>
      </w:r>
      <w:r w:rsidRPr="0032251D">
        <w:rPr>
          <w:rFonts w:ascii="Aptos" w:eastAsia="Times New Roman" w:hAnsi="Aptos" w:cs="Times New Roman"/>
          <w:i/>
          <w:iCs/>
          <w:kern w:val="0"/>
          <w:sz w:val="22"/>
          <w:szCs w:val="22"/>
          <w:lang w:eastAsia="en-GB"/>
          <w14:ligatures w14:val="none"/>
        </w:rPr>
        <w:t>pre-positioned vs created-in-crisis</w:t>
      </w:r>
      <w:r w:rsidRPr="0032251D">
        <w:rPr>
          <w:rFonts w:ascii="Aptos" w:eastAsia="Times New Roman" w:hAnsi="Aptos" w:cs="Times New Roman"/>
          <w:kern w:val="0"/>
          <w:sz w:val="22"/>
          <w:szCs w:val="22"/>
          <w:lang w:eastAsia="en-GB"/>
          <w14:ligatures w14:val="none"/>
        </w:rPr>
        <w:t xml:space="preserve"> (SRF and BTFP are pre-positioned to avoid operational lag, the 2008 facilities required emergency standup); and </w:t>
      </w:r>
      <w:r w:rsidRPr="0032251D">
        <w:rPr>
          <w:rFonts w:ascii="Aptos" w:eastAsia="Times New Roman" w:hAnsi="Aptos" w:cs="Times New Roman"/>
          <w:i/>
          <w:iCs/>
          <w:kern w:val="0"/>
          <w:sz w:val="22"/>
          <w:szCs w:val="22"/>
          <w:lang w:eastAsia="en-GB"/>
          <w14:ligatures w14:val="none"/>
        </w:rPr>
        <w:t>Bagehot vs broader</w:t>
      </w:r>
      <w:r w:rsidRPr="0032251D">
        <w:rPr>
          <w:rFonts w:ascii="Aptos" w:eastAsia="Times New Roman" w:hAnsi="Aptos" w:cs="Times New Roman"/>
          <w:kern w:val="0"/>
          <w:sz w:val="22"/>
          <w:szCs w:val="22"/>
          <w:lang w:eastAsia="en-GB"/>
          <w14:ligatures w14:val="none"/>
        </w:rPr>
        <w:t xml:space="preserve"> (BTFP at par-value collateral is a meaningful departure from the original framework).</w:t>
      </w:r>
    </w:p>
    <w:p w14:paraId="3C7B06F4"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4CE35A66">
          <v:rect id="_x0000_i1028" alt="" style="width:451.3pt;height:.05pt;mso-width-percent:0;mso-height-percent:0;mso-width-percent:0;mso-height-percent:0" o:hralign="center" o:hrstd="t" o:hr="t" fillcolor="#a0a0a0" stroked="f"/>
        </w:pict>
      </w:r>
    </w:p>
    <w:p w14:paraId="56C68F0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1A6A48A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Liquidity facilities affect asset prices through six channels.</w:t>
      </w:r>
    </w:p>
    <w:p w14:paraId="7A71F63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Funding spread compression.</w:t>
      </w:r>
      <w:r w:rsidRPr="0032251D">
        <w:rPr>
          <w:rFonts w:ascii="Aptos" w:eastAsia="Times New Roman" w:hAnsi="Aptos" w:cs="Times New Roman"/>
          <w:kern w:val="0"/>
          <w:sz w:val="22"/>
          <w:szCs w:val="22"/>
          <w:lang w:eastAsia="en-GB"/>
          <w14:ligatures w14:val="none"/>
        </w:rPr>
        <w:t xml:space="preserve"> When facility access is available, banks and dealers can fund at the facility rate rather than the stressed market rate. This compresses bank funding spreads in commercial paper, CDs, and repo basis.</w:t>
      </w:r>
    </w:p>
    <w:p w14:paraId="00FFD47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 compression.</w:t>
      </w:r>
      <w:r w:rsidRPr="0032251D">
        <w:rPr>
          <w:rFonts w:ascii="Aptos" w:eastAsia="Times New Roman" w:hAnsi="Aptos" w:cs="Times New Roman"/>
          <w:kern w:val="0"/>
          <w:sz w:val="22"/>
          <w:szCs w:val="22"/>
          <w:lang w:eastAsia="en-GB"/>
          <w14:ligatures w14:val="none"/>
        </w:rPr>
        <w:t xml:space="preserve"> Convenience yield (Krishnamurthy-Vissing-Jorgensen) is compressed because the facility effectively guarantees convertibility of safe assets into cash. This narrows the spread between cash and safe-asset yields and dampens the safe-asset liquidity premium.</w:t>
      </w:r>
    </w:p>
    <w:p w14:paraId="7186479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Cross-currency basis.</w:t>
      </w:r>
      <w:r w:rsidRPr="0032251D">
        <w:rPr>
          <w:rFonts w:ascii="Aptos" w:eastAsia="Times New Roman" w:hAnsi="Aptos" w:cs="Times New Roman"/>
          <w:kern w:val="0"/>
          <w:sz w:val="22"/>
          <w:szCs w:val="22"/>
          <w:lang w:eastAsia="en-GB"/>
          <w14:ligatures w14:val="none"/>
        </w:rPr>
        <w:t xml:space="preserve"> FX swap lines compress the CIP basis. Without swap lines, non-US banks pay a premium to access dollars; with swap lines, the basis compresses toward zero. The 2008 and 2020 episodes showed both — basis explosions before swap lines and compression after activation.</w:t>
      </w:r>
    </w:p>
    <w:p w14:paraId="477684A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Crisis-asset spreads.</w:t>
      </w:r>
      <w:r w:rsidRPr="0032251D">
        <w:rPr>
          <w:rFonts w:ascii="Aptos" w:eastAsia="Times New Roman" w:hAnsi="Aptos" w:cs="Times New Roman"/>
          <w:kern w:val="0"/>
          <w:sz w:val="22"/>
          <w:szCs w:val="22"/>
          <w:lang w:eastAsia="en-GB"/>
          <w14:ligatures w14:val="none"/>
        </w:rPr>
        <w:t xml:space="preserve"> Targeted facilities (CPFF, TALF, BTFP) compress the spread on the specific asset class supported. The mechanism is mechanical — the facility creates a buyer (or lender) of last resort for that asset.</w:t>
      </w:r>
    </w:p>
    <w:p w14:paraId="28CC545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Tail risk pricing.</w:t>
      </w:r>
      <w:r w:rsidRPr="0032251D">
        <w:rPr>
          <w:rFonts w:ascii="Aptos" w:eastAsia="Times New Roman" w:hAnsi="Aptos" w:cs="Times New Roman"/>
          <w:kern w:val="0"/>
          <w:sz w:val="22"/>
          <w:szCs w:val="22"/>
          <w:lang w:eastAsia="en-GB"/>
          <w14:ligatures w14:val="none"/>
        </w:rPr>
        <w:t xml:space="preserve"> Even when not used,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credible facilities compresses crisis tail risk pricing. The SRF, although rarely drawn, has plausibly reduced repo-spike risk just by existing.</w:t>
      </w:r>
    </w:p>
    <w:p w14:paraId="41CC344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Bank equity valuations.</w:t>
      </w:r>
      <w:r w:rsidRPr="0032251D">
        <w:rPr>
          <w:rFonts w:ascii="Aptos" w:eastAsia="Times New Roman" w:hAnsi="Aptos" w:cs="Times New Roman"/>
          <w:kern w:val="0"/>
          <w:sz w:val="22"/>
          <w:szCs w:val="22"/>
          <w:lang w:eastAsia="en-GB"/>
          <w14:ligatures w14:val="none"/>
        </w:rPr>
        <w:t xml:space="preserve"> Emergency facility access supports bank equity prices during stress. BTFP announcement in March 2023 visibly supported regional bank stocks.</w:t>
      </w:r>
    </w:p>
    <w:p w14:paraId="51FE0A6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investment managers three practitioner points dominate. First, facilities create a </w:t>
      </w:r>
      <w:r w:rsidRPr="0032251D">
        <w:rPr>
          <w:rFonts w:ascii="Aptos" w:eastAsia="Times New Roman" w:hAnsi="Aptos" w:cs="Times New Roman"/>
          <w:i/>
          <w:iCs/>
          <w:kern w:val="0"/>
          <w:sz w:val="22"/>
          <w:szCs w:val="22"/>
          <w:lang w:eastAsia="en-GB"/>
          <w14:ligatures w14:val="none"/>
        </w:rPr>
        <w:t>put option</w:t>
      </w:r>
      <w:r w:rsidRPr="0032251D">
        <w:rPr>
          <w:rFonts w:ascii="Aptos" w:eastAsia="Times New Roman" w:hAnsi="Aptos" w:cs="Times New Roman"/>
          <w:kern w:val="0"/>
          <w:sz w:val="22"/>
          <w:szCs w:val="22"/>
          <w:lang w:eastAsia="en-GB"/>
          <w14:ligatures w14:val="none"/>
        </w:rPr>
        <w:t xml:space="preserve"> on stress — markets price the option even when it is not exercised, which compresses risk premia in normal times. This itself can encourage leverage and risk-taking, so the facility's existence shapes the pre-crisis environment as much as the crisis response. Second, swap line take-up by non-US central banks is a clean read on global dollar funding stress, often leading other stress indicators. Third, </w:t>
      </w:r>
      <w:r w:rsidRPr="0032251D">
        <w:rPr>
          <w:rFonts w:ascii="Aptos" w:eastAsia="Times New Roman" w:hAnsi="Aptos" w:cs="Times New Roman"/>
          <w:i/>
          <w:iCs/>
          <w:kern w:val="0"/>
          <w:sz w:val="22"/>
          <w:szCs w:val="22"/>
          <w:lang w:eastAsia="en-GB"/>
          <w14:ligatures w14:val="none"/>
        </w:rPr>
        <w:t>stigma effects</w:t>
      </w:r>
      <w:r w:rsidRPr="0032251D">
        <w:rPr>
          <w:rFonts w:ascii="Aptos" w:eastAsia="Times New Roman" w:hAnsi="Aptos" w:cs="Times New Roman"/>
          <w:kern w:val="0"/>
          <w:sz w:val="22"/>
          <w:szCs w:val="22"/>
          <w:lang w:eastAsia="en-GB"/>
          <w14:ligatures w14:val="none"/>
        </w:rPr>
        <w:t xml:space="preserve"> are real and predictable — voluntary facilities (discount window) are systematically under-used because borrowers fear reputational signal. The TAF design innovation (anonymous auctions) was specifically to overcome this; the empirical stigma premium ran 30-50bp through 2007-2008.</w:t>
      </w:r>
    </w:p>
    <w:p w14:paraId="19E26C10"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7C20A3A">
          <v:rect id="_x0000_i1027" alt="" style="width:451.3pt;height:.05pt;mso-width-percent:0;mso-height-percent:0;mso-width-percent:0;mso-height-percent:0" o:hralign="center" o:hrstd="t" o:hr="t" fillcolor="#a0a0a0" stroked="f"/>
        </w:pict>
      </w:r>
    </w:p>
    <w:p w14:paraId="1E58565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3DF507B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DM panel.</w:t>
      </w:r>
      <w:r w:rsidRPr="0032251D">
        <w:rPr>
          <w:rFonts w:ascii="Aptos" w:eastAsia="Times New Roman" w:hAnsi="Aptos" w:cs="Times New Roman"/>
          <w:kern w:val="0"/>
          <w:sz w:val="22"/>
          <w:szCs w:val="22"/>
          <w:lang w:eastAsia="en-GB"/>
          <w14:ligatures w14:val="none"/>
        </w:rPr>
        <w:t xml:space="preserve"> Full LOLR toolkits, repeatedly deployed.</w:t>
      </w:r>
    </w:p>
    <w:p w14:paraId="7C36F071" w14:textId="77777777" w:rsidR="00363CC1" w:rsidRPr="0032251D" w:rsidRDefault="00363CC1" w:rsidP="00363CC1">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Fed</w:t>
      </w:r>
      <w:r w:rsidRPr="0032251D">
        <w:rPr>
          <w:rFonts w:ascii="Aptos" w:eastAsia="Times New Roman" w:hAnsi="Aptos" w:cs="Times New Roman"/>
          <w:kern w:val="0"/>
          <w:sz w:val="22"/>
          <w:szCs w:val="22"/>
          <w:lang w:eastAsia="en-GB"/>
          <w14:ligatures w14:val="none"/>
        </w:rPr>
        <w:t>: standing facilities (discount window, SRF) plus crisis facilities created on demand (2008, 2020, 2023). The most comprehensive toolkit globally.</w:t>
      </w:r>
    </w:p>
    <w:p w14:paraId="62B318E2" w14:textId="77777777" w:rsidR="00363CC1" w:rsidRPr="0032251D" w:rsidRDefault="00363CC1" w:rsidP="00363CC1">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ECB</w:t>
      </w:r>
      <w:r w:rsidRPr="0032251D">
        <w:rPr>
          <w:rFonts w:ascii="Aptos" w:eastAsia="Times New Roman" w:hAnsi="Aptos" w:cs="Times New Roman"/>
          <w:kern w:val="0"/>
          <w:sz w:val="22"/>
          <w:szCs w:val="22"/>
          <w:lang w:eastAsia="en-GB"/>
          <w14:ligatures w14:val="none"/>
        </w:rPr>
        <w:t>: TLTRO has both LOLR and monetary policy dimensions; marginal lending facility; crisis facilities through OMT and PEPP.</w:t>
      </w:r>
    </w:p>
    <w:p w14:paraId="0BCE7D48" w14:textId="77777777" w:rsidR="00363CC1" w:rsidRPr="0032251D" w:rsidRDefault="00363CC1" w:rsidP="00363CC1">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BoE</w:t>
      </w:r>
      <w:r w:rsidRPr="0032251D">
        <w:rPr>
          <w:rFonts w:ascii="Aptos" w:eastAsia="Times New Roman" w:hAnsi="Aptos" w:cs="Times New Roman"/>
          <w:kern w:val="0"/>
          <w:sz w:val="22"/>
          <w:szCs w:val="22"/>
          <w:lang w:eastAsia="en-GB"/>
          <w14:ligatures w14:val="none"/>
        </w:rPr>
        <w:t>: Sterling Monetary Framework with discount window, indexed long-term repo, and crisis facilities.</w:t>
      </w:r>
    </w:p>
    <w:p w14:paraId="0BA8EB35" w14:textId="77777777" w:rsidR="00363CC1" w:rsidRPr="0032251D" w:rsidRDefault="00363CC1" w:rsidP="00363CC1">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BoJ</w:t>
      </w:r>
      <w:r w:rsidRPr="0032251D">
        <w:rPr>
          <w:rFonts w:ascii="Aptos" w:eastAsia="Times New Roman" w:hAnsi="Aptos" w:cs="Times New Roman"/>
          <w:kern w:val="0"/>
          <w:sz w:val="22"/>
          <w:szCs w:val="22"/>
          <w:lang w:eastAsia="en-GB"/>
          <w14:ligatures w14:val="none"/>
        </w:rPr>
        <w:t>: long history of facility innovation; complementary deposit facility.</w:t>
      </w:r>
    </w:p>
    <w:p w14:paraId="6A53FEA2" w14:textId="77777777" w:rsidR="00363CC1" w:rsidRPr="0032251D" w:rsidRDefault="00363CC1" w:rsidP="00363CC1">
      <w:pPr>
        <w:numPr>
          <w:ilvl w:val="0"/>
          <w:numId w:val="17"/>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SNB</w:t>
      </w:r>
      <w:r w:rsidRPr="0032251D">
        <w:rPr>
          <w:rFonts w:ascii="Aptos" w:eastAsia="Times New Roman" w:hAnsi="Aptos" w:cs="Times New Roman"/>
          <w:kern w:val="0"/>
          <w:sz w:val="22"/>
          <w:szCs w:val="22"/>
          <w:lang w:eastAsia="en-GB"/>
          <w14:ligatures w14:val="none"/>
        </w:rPr>
        <w:t>: actively used during 2008 (USD facility) and during the 2011-2015 EUR/CHF floor period.</w:t>
      </w:r>
    </w:p>
    <w:p w14:paraId="335C776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EM panel.</w:t>
      </w:r>
      <w:r w:rsidRPr="0032251D">
        <w:rPr>
          <w:rFonts w:ascii="Aptos" w:eastAsia="Times New Roman" w:hAnsi="Aptos" w:cs="Times New Roman"/>
          <w:kern w:val="0"/>
          <w:sz w:val="22"/>
          <w:szCs w:val="22"/>
          <w:lang w:eastAsia="en-GB"/>
          <w14:ligatures w14:val="none"/>
        </w:rPr>
        <w:t xml:space="preserve"> Significantly more constrained LOLR architecture.</w:t>
      </w:r>
    </w:p>
    <w:p w14:paraId="7D5D6921" w14:textId="77777777" w:rsidR="00363CC1" w:rsidRPr="0032251D" w:rsidRDefault="00363CC1" w:rsidP="00363CC1">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Limited domestic LOLR capacity</w:t>
      </w:r>
      <w:r w:rsidRPr="0032251D">
        <w:rPr>
          <w:rFonts w:ascii="Aptos" w:eastAsia="Times New Roman" w:hAnsi="Aptos" w:cs="Times New Roman"/>
          <w:kern w:val="0"/>
          <w:sz w:val="22"/>
          <w:szCs w:val="22"/>
          <w:lang w:eastAsia="en-GB"/>
          <w14:ligatures w14:val="none"/>
        </w:rPr>
        <w:t xml:space="preserve"> due to smaller balance sheets, capital concerns, and FX constraints.</w:t>
      </w:r>
    </w:p>
    <w:p w14:paraId="03971878" w14:textId="77777777" w:rsidR="00363CC1" w:rsidRPr="0032251D" w:rsidRDefault="00363CC1" w:rsidP="00363CC1">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Heavy reliance on external access</w:t>
      </w:r>
      <w:r w:rsidRPr="0032251D">
        <w:rPr>
          <w:rFonts w:ascii="Aptos" w:eastAsia="Times New Roman" w:hAnsi="Aptos" w:cs="Times New Roman"/>
          <w:kern w:val="0"/>
          <w:sz w:val="22"/>
          <w:szCs w:val="22"/>
          <w:lang w:eastAsia="en-GB"/>
          <w14:ligatures w14:val="none"/>
        </w:rPr>
        <w:t>: Fed swap lines (politically gated), FIMA repo facility (less gated), IMF arrangements (FCL, PLL) as international LOLR for sovereigns.</w:t>
      </w:r>
    </w:p>
    <w:p w14:paraId="56926246" w14:textId="77777777" w:rsidR="00363CC1" w:rsidRPr="0032251D" w:rsidRDefault="00363CC1" w:rsidP="00363CC1">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Brazil and Mexico</w:t>
      </w:r>
      <w:r w:rsidRPr="0032251D">
        <w:rPr>
          <w:rFonts w:ascii="Aptos" w:eastAsia="Times New Roman" w:hAnsi="Aptos" w:cs="Times New Roman"/>
          <w:kern w:val="0"/>
          <w:sz w:val="22"/>
          <w:szCs w:val="22"/>
          <w:lang w:eastAsia="en-GB"/>
          <w14:ligatures w14:val="none"/>
        </w:rPr>
        <w:t>: among the small set of EMs to receive Fed swap lines in both 2008 and 2020.</w:t>
      </w:r>
    </w:p>
    <w:p w14:paraId="48D0F77D" w14:textId="77777777" w:rsidR="00363CC1" w:rsidRPr="0032251D" w:rsidRDefault="00363CC1" w:rsidP="00363CC1">
      <w:pPr>
        <w:numPr>
          <w:ilvl w:val="0"/>
          <w:numId w:val="18"/>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Selective swap line access</w:t>
      </w:r>
      <w:r w:rsidRPr="0032251D">
        <w:rPr>
          <w:rFonts w:ascii="Aptos" w:eastAsia="Times New Roman" w:hAnsi="Aptos" w:cs="Times New Roman"/>
          <w:kern w:val="0"/>
          <w:sz w:val="22"/>
          <w:szCs w:val="22"/>
          <w:lang w:eastAsia="en-GB"/>
          <w14:ligatures w14:val="none"/>
        </w:rPr>
        <w:t xml:space="preserve"> is a structural risk factor — the political economy of who gets dollar access in a crisis tracks geopolitical alignment more than narrow technical criteria.</w:t>
      </w:r>
    </w:p>
    <w:p w14:paraId="13B34B02"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SARB has standing facilities for banks (the standing repo facility), but SA did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receive a Fed swap line in either 2008 or 2020. Among Latin EMs only Brazil and Mexico received 2020 swap lines; among Asian EMs only Korea and Singapore. SA was not on the list. SARB's COVID-19 response included some domestic liquidity support but no major facility innovation. The exclusion from external dollar access is a real structural constraint — SA depends on FIMA repo or IMF facilities rather than swap lines, with different speed and political characteristics.</w:t>
      </w:r>
    </w:p>
    <w:p w14:paraId="605141F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the framework: L3f is asymmetrically </w:t>
      </w:r>
      <w:r w:rsidRPr="0032251D">
        <w:rPr>
          <w:rFonts w:ascii="Aptos" w:eastAsia="Times New Roman" w:hAnsi="Aptos" w:cs="Times New Roman"/>
          <w:i/>
          <w:iCs/>
          <w:kern w:val="0"/>
          <w:sz w:val="22"/>
          <w:szCs w:val="22"/>
          <w:lang w:eastAsia="en-GB"/>
          <w14:ligatures w14:val="none"/>
        </w:rPr>
        <w:t>unavailable</w:t>
      </w:r>
      <w:r w:rsidRPr="0032251D">
        <w:rPr>
          <w:rFonts w:ascii="Aptos" w:eastAsia="Times New Roman" w:hAnsi="Aptos" w:cs="Times New Roman"/>
          <w:kern w:val="0"/>
          <w:sz w:val="22"/>
          <w:szCs w:val="22"/>
          <w:lang w:eastAsia="en-GB"/>
          <w14:ligatures w14:val="none"/>
        </w:rPr>
        <w:t xml:space="preserve"> in much of the EM panel, which is itself an important regime feature. The instrument is theoretically there but operationally constrained.</w:t>
      </w:r>
    </w:p>
    <w:p w14:paraId="285CDAC7"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pict w14:anchorId="517D9825">
          <v:rect id="_x0000_i1026" alt="" style="width:451.3pt;height:.05pt;mso-width-percent:0;mso-height-percent:0;mso-width-percent:0;mso-height-percent:0" o:hralign="center" o:hrstd="t" o:hr="t" fillcolor="#a0a0a0" stroked="f"/>
        </w:pict>
      </w:r>
    </w:p>
    <w:p w14:paraId="0D41DEA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3307AF1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Utilisation vs availability.</w:t>
      </w:r>
      <w:r w:rsidRPr="0032251D">
        <w:rPr>
          <w:rFonts w:ascii="Aptos" w:eastAsia="Times New Roman" w:hAnsi="Aptos" w:cs="Times New Roman"/>
          <w:kern w:val="0"/>
          <w:sz w:val="22"/>
          <w:szCs w:val="22"/>
          <w:lang w:eastAsia="en-GB"/>
          <w14:ligatures w14:val="none"/>
        </w:rPr>
        <w:t xml:space="preserve"> Facilities can be effective without being used. The 2021 SRF has had minimal usage but plausibly compressed repo-spike risk. Estimating the effect of facility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(separate from utilisation) requires identifying the counterfactual — what would have happened without the facility.</w:t>
      </w:r>
    </w:p>
    <w:p w14:paraId="48D5F4C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Stigma.</w:t>
      </w:r>
      <w:r w:rsidRPr="0032251D">
        <w:rPr>
          <w:rFonts w:ascii="Aptos" w:eastAsia="Times New Roman" w:hAnsi="Aptos" w:cs="Times New Roman"/>
          <w:kern w:val="0"/>
          <w:sz w:val="22"/>
          <w:szCs w:val="22"/>
          <w:lang w:eastAsia="en-GB"/>
          <w14:ligatures w14:val="none"/>
        </w:rPr>
        <w:t xml:space="preserve"> Voluntary facility access is stigmatised; banks avoid it even when they need it. So observed usage systematically understates need. The TAF in 2007 was designed specifically to overcome this through anonymous auctions. Empirically, identified stigma costs ran 30-50bp during 2007-2008.</w:t>
      </w:r>
    </w:p>
    <w:p w14:paraId="531D53AF"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Multiple objectives.</w:t>
      </w:r>
      <w:r w:rsidRPr="0032251D">
        <w:rPr>
          <w:rFonts w:ascii="Aptos" w:eastAsia="Times New Roman" w:hAnsi="Aptos" w:cs="Times New Roman"/>
          <w:kern w:val="0"/>
          <w:sz w:val="22"/>
          <w:szCs w:val="22"/>
          <w:lang w:eastAsia="en-GB"/>
          <w14:ligatures w14:val="none"/>
        </w:rPr>
        <w:t xml:space="preserve"> Some facilities serve monetary policy (TLTRO has stance dimensions), market functioning (SRF), and emergency stability (BTFP) simultaneously. Decomposing the contribution of each objective requires structural modelling rather than reduced-form attribution.</w:t>
      </w:r>
    </w:p>
    <w:p w14:paraId="27203A0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Identification of effects.</w:t>
      </w:r>
      <w:r w:rsidRPr="0032251D">
        <w:rPr>
          <w:rFonts w:ascii="Aptos" w:eastAsia="Times New Roman" w:hAnsi="Aptos" w:cs="Times New Roman"/>
          <w:kern w:val="0"/>
          <w:sz w:val="22"/>
          <w:szCs w:val="22"/>
          <w:lang w:eastAsia="en-GB"/>
          <w14:ligatures w14:val="none"/>
        </w:rPr>
        <w:t xml:space="preserve"> Facilities are deployed in response to stress. Was the stress moderation caused by the facility, or would it have happened anyway? Standard counterfactual problem; event studies around announcement are the cleanest empirical approach.</w:t>
      </w:r>
    </w:p>
    <w:p w14:paraId="1A5F66D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Cross-border reporting.</w:t>
      </w:r>
      <w:r w:rsidRPr="0032251D">
        <w:rPr>
          <w:rFonts w:ascii="Aptos" w:eastAsia="Times New Roman" w:hAnsi="Aptos" w:cs="Times New Roman"/>
          <w:kern w:val="0"/>
          <w:sz w:val="22"/>
          <w:szCs w:val="22"/>
          <w:lang w:eastAsia="en-GB"/>
          <w14:ligatures w14:val="none"/>
        </w:rPr>
        <w:t xml:space="preserve"> FX swap line usage by non-US central banks is reported with lags and limited detail. True dollar funding stress is partially observed in real time.</w:t>
      </w:r>
    </w:p>
    <w:p w14:paraId="58F89AA5"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Off-balance-sheet aspects.</w:t>
      </w:r>
      <w:r w:rsidRPr="0032251D">
        <w:rPr>
          <w:rFonts w:ascii="Aptos" w:eastAsia="Times New Roman" w:hAnsi="Aptos" w:cs="Times New Roman"/>
          <w:kern w:val="0"/>
          <w:sz w:val="22"/>
          <w:szCs w:val="22"/>
          <w:lang w:eastAsia="en-GB"/>
          <w14:ligatures w14:val="none"/>
        </w:rPr>
        <w:t xml:space="preserve"> Some facilities (BTFP) accept collateral at par rather than market value, creating implicit subsidies that do not appear in headline cost-of-funds calculations. Effective subsidy measurement requires comparing facility terms to market-equivalent funding.</w:t>
      </w:r>
    </w:p>
    <w:p w14:paraId="54519EA8" w14:textId="77777777" w:rsidR="00363CC1" w:rsidRPr="0032251D" w:rsidRDefault="00B51FEA" w:rsidP="00363CC1">
      <w:pPr>
        <w:spacing w:after="0"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noProof/>
          <w:kern w:val="0"/>
          <w:sz w:val="22"/>
          <w:szCs w:val="22"/>
          <w:lang w:eastAsia="en-GB"/>
        </w:rPr>
        <w:lastRenderedPageBreak/>
        <w:pict w14:anchorId="0CB76F7D">
          <v:rect id="_x0000_i1025" alt="" style="width:451.3pt;height:.05pt;mso-width-percent:0;mso-height-percent:0;mso-width-percent:0;mso-height-percent:0" o:hralign="center" o:hrstd="t" o:hr="t" fillcolor="#a0a0a0" stroked="f"/>
        </w:pict>
      </w:r>
    </w:p>
    <w:p w14:paraId="5A40706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7524929A"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L3f:</w:t>
      </w:r>
    </w:p>
    <w:p w14:paraId="17191BD4"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Standing facilities, crisis facilities, and FX swap lines should be consistent in their signal about market stress. Dissonance fires when:</w:t>
      </w:r>
    </w:p>
    <w:p w14:paraId="394D4D7D" w14:textId="77777777" w:rsidR="00363CC1" w:rsidRPr="0032251D" w:rsidRDefault="00363CC1" w:rsidP="00363CC1">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One facility is being normalised while another is expanded</w:t>
      </w:r>
    </w:p>
    <w:p w14:paraId="65A27419" w14:textId="77777777" w:rsidR="00363CC1" w:rsidRPr="0032251D" w:rsidRDefault="00363CC1" w:rsidP="00363CC1">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Take-up patterns differ across facilities (banks using BTFP but not discount window, suggesting stigma still binds the latter)</w:t>
      </w:r>
    </w:p>
    <w:p w14:paraId="244CCC0F" w14:textId="77777777" w:rsidR="00363CC1" w:rsidRPr="0032251D" w:rsidRDefault="00363CC1" w:rsidP="00363CC1">
      <w:pPr>
        <w:numPr>
          <w:ilvl w:val="0"/>
          <w:numId w:val="19"/>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Standing facilities are calm but crisis facilities are quietly being prepared (bank's stress assessment differs from public posture)</w:t>
      </w:r>
    </w:p>
    <w:p w14:paraId="313D214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L3f.</w:t>
      </w:r>
      <w:r w:rsidRPr="0032251D">
        <w:rPr>
          <w:rFonts w:ascii="Aptos" w:eastAsia="Times New Roman" w:hAnsi="Aptos" w:cs="Times New Roman"/>
          <w:kern w:val="0"/>
          <w:sz w:val="22"/>
          <w:szCs w:val="22"/>
          <w:lang w:eastAsia="en-GB"/>
          <w14:ligatures w14:val="none"/>
        </w:rPr>
        <w:t xml:space="preserve"> Liquidity facilities should activate in funding stress regardless of monetary stance. Dissonance fires when the rule implies normal conditions but facility usage signals stress, or when facilities remain dormant during clear funding pressure.</w:t>
      </w:r>
    </w:p>
    <w:p w14:paraId="1132AC16"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L3f.</w:t>
      </w:r>
      <w:r w:rsidRPr="0032251D">
        <w:rPr>
          <w:rFonts w:ascii="Aptos" w:eastAsia="Times New Roman" w:hAnsi="Aptos" w:cs="Times New Roman"/>
          <w:kern w:val="0"/>
          <w:sz w:val="22"/>
          <w:szCs w:val="22"/>
          <w:lang w:eastAsia="en-GB"/>
          <w14:ligatures w14:val="none"/>
        </w:rPr>
        <w:t xml:space="preserve"> Facilities provide constraint relief in stress. Dissonance fires when funding stress emerges (constraints binding for banks) but facilities are not extended, or extended without clear stress justification.</w:t>
      </w:r>
    </w:p>
    <w:p w14:paraId="6000952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L3a ↔ L3f.</w:t>
      </w:r>
      <w:r w:rsidRPr="0032251D">
        <w:rPr>
          <w:rFonts w:ascii="Aptos" w:eastAsia="Times New Roman" w:hAnsi="Aptos" w:cs="Times New Roman"/>
          <w:kern w:val="0"/>
          <w:sz w:val="22"/>
          <w:szCs w:val="22"/>
          <w:lang w:eastAsia="en-GB"/>
          <w14:ligatures w14:val="none"/>
        </w:rPr>
        <w:t xml:space="preserve"> Normal times — rate active, facilities dormant. Stress times — both active in compatible directions. Dissonance: rate hikes while facilities are being extended for funding stress — the 2023 Fed pattern, where the BTFP was supporting bank funding while the policy rate continued to rise.</w:t>
      </w:r>
    </w:p>
    <w:p w14:paraId="11676FE9"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peer, L3b ↔ L3f.</w:t>
      </w:r>
      <w:r w:rsidRPr="0032251D">
        <w:rPr>
          <w:rFonts w:ascii="Aptos" w:eastAsia="Times New Roman" w:hAnsi="Aptos" w:cs="Times New Roman"/>
          <w:kern w:val="0"/>
          <w:sz w:val="22"/>
          <w:szCs w:val="22"/>
          <w:lang w:eastAsia="en-GB"/>
          <w14:ligatures w14:val="none"/>
        </w:rPr>
        <w:t xml:space="preserve"> Both expand the central bank balance sheet but for different purposes (monetary vs market functioning). Dissonance: facility usage large enough to materially affect monetary stance, blurring the labelling.</w:t>
      </w:r>
    </w:p>
    <w:p w14:paraId="483CF697"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L4b (FX).</w:t>
      </w:r>
      <w:r w:rsidRPr="0032251D">
        <w:rPr>
          <w:rFonts w:ascii="Aptos" w:eastAsia="Times New Roman" w:hAnsi="Aptos" w:cs="Times New Roman"/>
          <w:kern w:val="0"/>
          <w:sz w:val="22"/>
          <w:szCs w:val="22"/>
          <w:lang w:eastAsia="en-GB"/>
          <w14:ligatures w14:val="none"/>
        </w:rPr>
        <w:t xml:space="preserve"> FX swap lines compress cross-currency basis. Dissonance fires when dollar funding stress persists despite swap line availability — facility cap binding, take-up constrained by counterparty issues, or structural exclusion from facility access.</w:t>
      </w:r>
    </w:p>
    <w:p w14:paraId="65CCDA7E"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L5a (banks).</w:t>
      </w:r>
      <w:r w:rsidRPr="0032251D">
        <w:rPr>
          <w:rFonts w:ascii="Aptos" w:eastAsia="Times New Roman" w:hAnsi="Aptos" w:cs="Times New Roman"/>
          <w:kern w:val="0"/>
          <w:sz w:val="22"/>
          <w:szCs w:val="22"/>
          <w:lang w:eastAsia="en-GB"/>
          <w14:ligatures w14:val="none"/>
        </w:rPr>
        <w:t xml:space="preserve"> Discount window is the primary stress relief channel for banks. Dissonance fires when bank stress signals are high but discount window remains underused — stigma effect dominating.</w:t>
      </w:r>
    </w:p>
    <w:p w14:paraId="7EE6F33B"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L5b (NBFI).</w:t>
      </w:r>
      <w:r w:rsidRPr="0032251D">
        <w:rPr>
          <w:rFonts w:ascii="Aptos" w:eastAsia="Times New Roman" w:hAnsi="Aptos" w:cs="Times New Roman"/>
          <w:kern w:val="0"/>
          <w:sz w:val="22"/>
          <w:szCs w:val="22"/>
          <w:lang w:eastAsia="en-GB"/>
          <w14:ligatures w14:val="none"/>
        </w:rPr>
        <w:t xml:space="preserve"> Most facilities exclude NBFIs except specific crisis tools. Dissonance fires when NBFI stress emerges without facility access — structural coverage gap. The post-2008 risk migration combined with limited NBFI facility access is the most important standing macroprudential weakness.</w:t>
      </w:r>
    </w:p>
    <w:p w14:paraId="7D0E0801" w14:textId="77777777" w:rsidR="00363CC1" w:rsidRPr="0032251D"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L3f → L10b (financial stability).</w:t>
      </w:r>
      <w:r w:rsidRPr="0032251D">
        <w:rPr>
          <w:rFonts w:ascii="Aptos" w:eastAsia="Times New Roman" w:hAnsi="Aptos" w:cs="Times New Roman"/>
          <w:kern w:val="0"/>
          <w:sz w:val="22"/>
          <w:szCs w:val="22"/>
          <w:lang w:eastAsia="en-GB"/>
          <w14:ligatures w14:val="none"/>
        </w:rPr>
        <w:t xml:space="preserve"> Direct mapping — facilities target stability outcomes in stress. Dissonance fires when facilities are active but stability indicators continue to worsen (crisis severity exceeds tool capacity), or when facilities are absent during clear instability buildup.</w:t>
      </w:r>
    </w:p>
    <w:p w14:paraId="1E560C05"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 xml:space="preserve">The L3f node is the central bank's </w:t>
      </w:r>
      <w:r w:rsidRPr="0032251D">
        <w:rPr>
          <w:rFonts w:ascii="Aptos" w:eastAsia="Times New Roman" w:hAnsi="Aptos" w:cs="Times New Roman"/>
          <w:i/>
          <w:iCs/>
          <w:kern w:val="0"/>
          <w:sz w:val="22"/>
          <w:szCs w:val="22"/>
          <w:lang w:eastAsia="en-GB"/>
          <w14:ligatures w14:val="none"/>
        </w:rPr>
        <w:t>contingent liquidity provision instrument</w:t>
      </w:r>
      <w:r w:rsidRPr="0032251D">
        <w:rPr>
          <w:rFonts w:ascii="Aptos" w:eastAsia="Times New Roman" w:hAnsi="Aptos" w:cs="Times New Roman"/>
          <w:kern w:val="0"/>
          <w:sz w:val="22"/>
          <w:szCs w:val="22"/>
          <w:lang w:eastAsia="en-GB"/>
          <w14:ligatures w14:val="none"/>
        </w:rPr>
        <w:t xml:space="preserve">. Unlike the rate (price of unconstrained money), the balance sheet (monetary stance), FX intervention (currency price), or macroprudential policy (structural risk), it operates on the </w:t>
      </w:r>
      <w:r w:rsidRPr="0032251D">
        <w:rPr>
          <w:rFonts w:ascii="Aptos" w:eastAsia="Times New Roman" w:hAnsi="Aptos" w:cs="Times New Roman"/>
          <w:i/>
          <w:iCs/>
          <w:kern w:val="0"/>
          <w:sz w:val="22"/>
          <w:szCs w:val="22"/>
          <w:lang w:eastAsia="en-GB"/>
          <w14:ligatures w14:val="none"/>
        </w:rPr>
        <w:t>availability</w:t>
      </w:r>
      <w:r w:rsidRPr="0032251D">
        <w:rPr>
          <w:rFonts w:ascii="Aptos" w:eastAsia="Times New Roman" w:hAnsi="Aptos" w:cs="Times New Roman"/>
          <w:kern w:val="0"/>
          <w:sz w:val="22"/>
          <w:szCs w:val="22"/>
          <w:lang w:eastAsia="en-GB"/>
          <w14:ligatures w14:val="none"/>
        </w:rPr>
        <w:t xml:space="preserve"> of funding in stress. Its dormancy in normal times makes it operationally distinct from the other L3 instruments — most of its information content lies in </w:t>
      </w:r>
      <w:r w:rsidRPr="0032251D">
        <w:rPr>
          <w:rFonts w:ascii="Aptos" w:eastAsia="Times New Roman" w:hAnsi="Aptos" w:cs="Times New Roman"/>
          <w:i/>
          <w:iCs/>
          <w:kern w:val="0"/>
          <w:sz w:val="22"/>
          <w:szCs w:val="22"/>
          <w:lang w:eastAsia="en-GB"/>
          <w14:ligatures w14:val="none"/>
        </w:rPr>
        <w:t>whether and when</w:t>
      </w:r>
      <w:r w:rsidRPr="0032251D">
        <w:rPr>
          <w:rFonts w:ascii="Aptos" w:eastAsia="Times New Roman" w:hAnsi="Aptos" w:cs="Times New Roman"/>
          <w:kern w:val="0"/>
          <w:sz w:val="22"/>
          <w:szCs w:val="22"/>
          <w:lang w:eastAsia="en-GB"/>
          <w14:ligatures w14:val="none"/>
        </w:rPr>
        <w:t xml:space="preserve"> it is activated, not in its routine setting. Dissonance at L3f means either funding stress that facilities are not addressing, or facility deployment without underlying stress justification — both signals that the bank's reading of market conditions differs from market reality.</w:t>
      </w:r>
    </w:p>
    <w:p w14:paraId="6617E6D1"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3DFED94F"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74E38F6D" w14:textId="77777777" w:rsidR="00363CC1" w:rsidRPr="00B84586" w:rsidRDefault="00363CC1" w:rsidP="00363CC1">
      <w:pPr>
        <w:spacing w:before="100" w:beforeAutospacing="1" w:after="100" w:afterAutospacing="1" w:line="240" w:lineRule="auto"/>
        <w:rPr>
          <w:rFonts w:ascii="Aptos" w:eastAsia="Times New Roman" w:hAnsi="Aptos" w:cs="Times New Roman"/>
          <w:kern w:val="0"/>
          <w:sz w:val="22"/>
          <w:szCs w:val="22"/>
          <w:lang w:eastAsia="en-GB"/>
          <w14:ligatures w14:val="none"/>
        </w:rPr>
      </w:pPr>
    </w:p>
    <w:p w14:paraId="17C665E3" w14:textId="77777777" w:rsidR="00363CC1" w:rsidRDefault="00363CC1"/>
    <w:sectPr w:rsidR="00363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C48"/>
    <w:multiLevelType w:val="multilevel"/>
    <w:tmpl w:val="922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4FE"/>
    <w:multiLevelType w:val="multilevel"/>
    <w:tmpl w:val="B8A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447"/>
    <w:multiLevelType w:val="hybridMultilevel"/>
    <w:tmpl w:val="22383B1E"/>
    <w:lvl w:ilvl="0" w:tplc="224ACB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4231D7"/>
    <w:multiLevelType w:val="multilevel"/>
    <w:tmpl w:val="8C6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45650"/>
    <w:multiLevelType w:val="multilevel"/>
    <w:tmpl w:val="EE5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6780"/>
    <w:multiLevelType w:val="multilevel"/>
    <w:tmpl w:val="C83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5700"/>
    <w:multiLevelType w:val="multilevel"/>
    <w:tmpl w:val="A77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C3B68"/>
    <w:multiLevelType w:val="multilevel"/>
    <w:tmpl w:val="AC5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70CB2"/>
    <w:multiLevelType w:val="multilevel"/>
    <w:tmpl w:val="6B8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57BB9"/>
    <w:multiLevelType w:val="multilevel"/>
    <w:tmpl w:val="5A4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826A5"/>
    <w:multiLevelType w:val="multilevel"/>
    <w:tmpl w:val="88F2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934D9"/>
    <w:multiLevelType w:val="multilevel"/>
    <w:tmpl w:val="2BE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830D9"/>
    <w:multiLevelType w:val="multilevel"/>
    <w:tmpl w:val="440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75F2E"/>
    <w:multiLevelType w:val="multilevel"/>
    <w:tmpl w:val="4B3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06FC7"/>
    <w:multiLevelType w:val="multilevel"/>
    <w:tmpl w:val="CA8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36E78"/>
    <w:multiLevelType w:val="hybridMultilevel"/>
    <w:tmpl w:val="5F4C6A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A7A1959"/>
    <w:multiLevelType w:val="multilevel"/>
    <w:tmpl w:val="256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D76C5"/>
    <w:multiLevelType w:val="multilevel"/>
    <w:tmpl w:val="44C6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33F23"/>
    <w:multiLevelType w:val="multilevel"/>
    <w:tmpl w:val="B9F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95631"/>
    <w:multiLevelType w:val="multilevel"/>
    <w:tmpl w:val="DBC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85721">
    <w:abstractNumId w:val="15"/>
  </w:num>
  <w:num w:numId="2" w16cid:durableId="48496923">
    <w:abstractNumId w:val="9"/>
  </w:num>
  <w:num w:numId="3" w16cid:durableId="335572438">
    <w:abstractNumId w:val="5"/>
  </w:num>
  <w:num w:numId="4" w16cid:durableId="895046067">
    <w:abstractNumId w:val="0"/>
  </w:num>
  <w:num w:numId="5" w16cid:durableId="1734766976">
    <w:abstractNumId w:val="1"/>
  </w:num>
  <w:num w:numId="6" w16cid:durableId="567149561">
    <w:abstractNumId w:val="17"/>
  </w:num>
  <w:num w:numId="7" w16cid:durableId="1404571643">
    <w:abstractNumId w:val="6"/>
  </w:num>
  <w:num w:numId="8" w16cid:durableId="1039205153">
    <w:abstractNumId w:val="12"/>
  </w:num>
  <w:num w:numId="9" w16cid:durableId="2000184803">
    <w:abstractNumId w:val="7"/>
  </w:num>
  <w:num w:numId="10" w16cid:durableId="2139640248">
    <w:abstractNumId w:val="14"/>
  </w:num>
  <w:num w:numId="11" w16cid:durableId="1066879712">
    <w:abstractNumId w:val="10"/>
  </w:num>
  <w:num w:numId="12" w16cid:durableId="187332845">
    <w:abstractNumId w:val="11"/>
  </w:num>
  <w:num w:numId="13" w16cid:durableId="2050839646">
    <w:abstractNumId w:val="16"/>
  </w:num>
  <w:num w:numId="14" w16cid:durableId="1915317078">
    <w:abstractNumId w:val="8"/>
  </w:num>
  <w:num w:numId="15" w16cid:durableId="497843834">
    <w:abstractNumId w:val="4"/>
  </w:num>
  <w:num w:numId="16" w16cid:durableId="43674844">
    <w:abstractNumId w:val="13"/>
  </w:num>
  <w:num w:numId="17" w16cid:durableId="458842272">
    <w:abstractNumId w:val="18"/>
  </w:num>
  <w:num w:numId="18" w16cid:durableId="399913516">
    <w:abstractNumId w:val="3"/>
  </w:num>
  <w:num w:numId="19" w16cid:durableId="1080641295">
    <w:abstractNumId w:val="19"/>
  </w:num>
  <w:num w:numId="20" w16cid:durableId="351028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C1"/>
    <w:rsid w:val="00363CC1"/>
    <w:rsid w:val="00B51FEA"/>
    <w:rsid w:val="00CF02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AA43"/>
  <w15:chartTrackingRefBased/>
  <w15:docId w15:val="{6F5375E4-D041-1C4E-80B8-492E1B32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CC1"/>
  </w:style>
  <w:style w:type="paragraph" w:styleId="Heading1">
    <w:name w:val="heading 1"/>
    <w:basedOn w:val="Normal"/>
    <w:next w:val="Normal"/>
    <w:link w:val="Heading1Char"/>
    <w:uiPriority w:val="9"/>
    <w:qFormat/>
    <w:rsid w:val="0036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CC1"/>
    <w:rPr>
      <w:rFonts w:eastAsiaTheme="majorEastAsia" w:cstheme="majorBidi"/>
      <w:color w:val="272727" w:themeColor="text1" w:themeTint="D8"/>
    </w:rPr>
  </w:style>
  <w:style w:type="paragraph" w:styleId="Title">
    <w:name w:val="Title"/>
    <w:basedOn w:val="Normal"/>
    <w:next w:val="Normal"/>
    <w:link w:val="TitleChar"/>
    <w:uiPriority w:val="10"/>
    <w:qFormat/>
    <w:rsid w:val="0036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CC1"/>
    <w:pPr>
      <w:spacing w:before="160"/>
      <w:jc w:val="center"/>
    </w:pPr>
    <w:rPr>
      <w:i/>
      <w:iCs/>
      <w:color w:val="404040" w:themeColor="text1" w:themeTint="BF"/>
    </w:rPr>
  </w:style>
  <w:style w:type="character" w:customStyle="1" w:styleId="QuoteChar">
    <w:name w:val="Quote Char"/>
    <w:basedOn w:val="DefaultParagraphFont"/>
    <w:link w:val="Quote"/>
    <w:uiPriority w:val="29"/>
    <w:rsid w:val="00363CC1"/>
    <w:rPr>
      <w:i/>
      <w:iCs/>
      <w:color w:val="404040" w:themeColor="text1" w:themeTint="BF"/>
    </w:rPr>
  </w:style>
  <w:style w:type="paragraph" w:styleId="ListParagraph">
    <w:name w:val="List Paragraph"/>
    <w:basedOn w:val="Normal"/>
    <w:uiPriority w:val="34"/>
    <w:qFormat/>
    <w:rsid w:val="00363CC1"/>
    <w:pPr>
      <w:ind w:left="720"/>
      <w:contextualSpacing/>
    </w:pPr>
  </w:style>
  <w:style w:type="character" w:styleId="IntenseEmphasis">
    <w:name w:val="Intense Emphasis"/>
    <w:basedOn w:val="DefaultParagraphFont"/>
    <w:uiPriority w:val="21"/>
    <w:qFormat/>
    <w:rsid w:val="00363CC1"/>
    <w:rPr>
      <w:i/>
      <w:iCs/>
      <w:color w:val="0F4761" w:themeColor="accent1" w:themeShade="BF"/>
    </w:rPr>
  </w:style>
  <w:style w:type="paragraph" w:styleId="IntenseQuote">
    <w:name w:val="Intense Quote"/>
    <w:basedOn w:val="Normal"/>
    <w:next w:val="Normal"/>
    <w:link w:val="IntenseQuoteChar"/>
    <w:uiPriority w:val="30"/>
    <w:qFormat/>
    <w:rsid w:val="0036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CC1"/>
    <w:rPr>
      <w:i/>
      <w:iCs/>
      <w:color w:val="0F4761" w:themeColor="accent1" w:themeShade="BF"/>
    </w:rPr>
  </w:style>
  <w:style w:type="character" w:styleId="IntenseReference">
    <w:name w:val="Intense Reference"/>
    <w:basedOn w:val="DefaultParagraphFont"/>
    <w:uiPriority w:val="32"/>
    <w:qFormat/>
    <w:rsid w:val="00363C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12070</Words>
  <Characters>68804</Characters>
  <Application>Microsoft Office Word</Application>
  <DocSecurity>0</DocSecurity>
  <Lines>573</Lines>
  <Paragraphs>161</Paragraphs>
  <ScaleCrop>false</ScaleCrop>
  <Company/>
  <LinksUpToDate>false</LinksUpToDate>
  <CharactersWithSpaces>80713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1</cp:revision>
  <dcterms:created xsi:type="dcterms:W3CDTF">2026-05-14T12:17:00Z</dcterms:created>
  <dcterms:modified xsi:type="dcterms:W3CDTF">2026-05-14T12:19:00Z</dcterms:modified>
</cp:coreProperties>
</file>