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EB98" w14:textId="3490EBF1" w:rsidR="00375AC0" w:rsidRPr="00375AC0" w:rsidRDefault="00375AC0" w:rsidP="00375AC0">
      <w:pPr>
        <w:jc w:val="center"/>
        <w:rPr>
          <w:b/>
          <w:bCs/>
          <w:lang w:val="en-US"/>
        </w:rPr>
      </w:pPr>
      <w:r w:rsidRPr="00375AC0">
        <w:rPr>
          <w:b/>
          <w:bCs/>
          <w:lang w:val="en-US"/>
        </w:rPr>
        <w:t>Theoretical Framework</w:t>
      </w:r>
    </w:p>
    <w:p w14:paraId="33D03B77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Methodological Framework</w:t>
      </w:r>
    </w:p>
    <w:p w14:paraId="5686026B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framework is built on three primitives — the structural decomposition, the consistency model, and the aggregation rule — from which all derived concepts follow. This section formalises each.</w:t>
      </w:r>
    </w:p>
    <w:p w14:paraId="6E17B9EE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The Structural Object</w:t>
      </w:r>
    </w:p>
    <w:p w14:paraId="1F44D15B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1.1 (Central bank decomposition).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central bank is represented as a directed graph G = (N, E), where N is the set of nodes representing distinct structural elements and E is the set of directed edges representing transmission and feedback relationships.</w:t>
      </w:r>
    </w:p>
    <w:p w14:paraId="2E204722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1.2 (Hierarchical levels).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Nodes are partitioned into ten hierarchical levels {L1, ..., L10}:</w:t>
      </w:r>
    </w:p>
    <w:p w14:paraId="2755AA3C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L1: Strategic core (reaction function)</w:t>
      </w:r>
    </w:p>
    <w:p w14:paraId="1C709332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L2: Optimisation primitives (loss function, constraints)</w:t>
      </w:r>
    </w:p>
    <w:p w14:paraId="25CB9F03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L3: Instruments</w:t>
      </w:r>
    </w:p>
    <w:p w14:paraId="0F9FF243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L4: Markets</w:t>
      </w:r>
    </w:p>
    <w:p w14:paraId="061DA25A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L5: Intermediaries</w:t>
      </w:r>
    </w:p>
    <w:p w14:paraId="39E9F80A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L6: Expectations</w:t>
      </w:r>
    </w:p>
    <w:p w14:paraId="5FDD6AF4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L7: Financial conditions</w:t>
      </w:r>
    </w:p>
    <w:p w14:paraId="4C5CEBE1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L8: Valuation drivers</w:t>
      </w:r>
    </w:p>
    <w:p w14:paraId="23D1FD64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L9: Asset prices</w:t>
      </w:r>
    </w:p>
    <w:p w14:paraId="49F2B953" w14:textId="77777777" w:rsidR="00375AC0" w:rsidRPr="00375AC0" w:rsidRDefault="00375AC0" w:rsidP="0037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L10: Terminal outputs (real economy, financial stability, global spillovers)</w:t>
      </w:r>
    </w:p>
    <w:p w14:paraId="7FBC7060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 hierarchy is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operational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it reflects transmission order — but not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strict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 Feedback edges from L10 to L1 close the system and produce the cross-cutting relationships that the framework formally treats.</w:t>
      </w:r>
    </w:p>
    <w:p w14:paraId="7B302129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Node Taxonomy</w:t>
      </w:r>
    </w:p>
    <w:p w14:paraId="00751FB4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2.1 (Node species).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Each node belongs to exactly one of three species:</w:t>
      </w:r>
    </w:p>
    <w:p w14:paraId="284DEEF8" w14:textId="77777777" w:rsidR="00375AC0" w:rsidRPr="00375AC0" w:rsidRDefault="00375AC0" w:rsidP="00375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Agent nodes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economic actors with balance sheets, regulatory constraints, and behavioural rules. Modelled via accounting identities, friction parameters, and response functions. Examples: the central bank itself, banks, NBFI, dealers, households/corporates, sovereign.</w:t>
      </w:r>
    </w:p>
    <w:p w14:paraId="50D56ADF" w14:textId="77777777" w:rsidR="00375AC0" w:rsidRPr="00375AC0" w:rsidRDefault="00375AC0" w:rsidP="00375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Market nodes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price systems governed by no-arbitrage and decomposable into risk factors. Modelled via term structure models, factor decompositions, and pricing equations. Examples: yield curve, FX, inflation-linked bonds, vol surface.</w:t>
      </w:r>
    </w:p>
    <w:p w14:paraId="2671DCFE" w14:textId="77777777" w:rsidR="00375AC0" w:rsidRPr="00375AC0" w:rsidRDefault="00375AC0" w:rsidP="00375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Instrument nodes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: actions deployed by agent nodes that operate on market and intermediary nodes. Modelled via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conditional transmission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they transmit subject to a multiplier that depends on a state external to the instrument itself (credibility, balance-sheet capacity). Examples: policy rate, forward guidance, balance sheet operations, FX intervention, macroprudential tools, liquidity facilities.</w:t>
      </w:r>
    </w:p>
    <w:p w14:paraId="7937D4B0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Species determine which mathematical apparatus applies. Crossing species in a single equation requires explicit specification of how their measurement units interact.</w:t>
      </w:r>
    </w:p>
    <w:p w14:paraId="6DE74AA9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3. Topology</w:t>
      </w:r>
    </w:p>
    <w:p w14:paraId="5D2836CB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3.1 (Upstream and downstream).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node n, define upstream(n) = {n'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 : (n', n)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E} and downstream(n) = {n'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 : (n, n')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E}.</w:t>
      </w:r>
    </w:p>
    <w:p w14:paraId="6ACAFE42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3.2 (Edge types).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Edges are classified as:</w:t>
      </w:r>
    </w:p>
    <w:p w14:paraId="08891521" w14:textId="77777777" w:rsidR="00375AC0" w:rsidRPr="00375AC0" w:rsidRDefault="00375AC0" w:rsidP="00375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Transmission edges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directed flow from instrument/agent to market/intermediary (e.g., L3 → L4 → L5)</w:t>
      </w:r>
    </w:p>
    <w:p w14:paraId="0DFC3CBA" w14:textId="77777777" w:rsidR="00375AC0" w:rsidRPr="00375AC0" w:rsidRDefault="00375AC0" w:rsidP="00375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Feedback edges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directed flow from terminal/state back to the central bank (L10 → L1, L7 → L1)</w:t>
      </w:r>
    </w:p>
    <w:p w14:paraId="20B265B8" w14:textId="77777777" w:rsidR="00375AC0" w:rsidRPr="00375AC0" w:rsidRDefault="00375AC0" w:rsidP="00375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Peer edges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within-level relationships (e.g., between L3 instruments via the Tinbergen constraint; between L5 intermediaries via contagion)</w:t>
      </w:r>
    </w:p>
    <w:p w14:paraId="76F4F585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4. The Consistency Model</w:t>
      </w:r>
    </w:p>
    <w:p w14:paraId="2E7BD991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4.1 (Consistency model R).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any node n with sub-components or interfacing peer/cross-level partners {c₁, c₂, ..., c</w:t>
      </w:r>
      <w:r w:rsidRPr="00375AC0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ₖ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}, the consistency model is a function R_n: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ℝ</w:t>
      </w:r>
      <w:r w:rsidRPr="00375AC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ᵏ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→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ℝ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satisfying:</w:t>
      </w:r>
    </w:p>
    <w:p w14:paraId="605658E1" w14:textId="77777777" w:rsidR="00375AC0" w:rsidRPr="00375AC0" w:rsidRDefault="00375AC0" w:rsidP="00375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Normalisation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in the equilibrium regime, E[R_n(c₁, ..., c</w:t>
      </w:r>
      <w:r w:rsidRPr="00375AC0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ₖ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)] = 0</w:t>
      </w:r>
    </w:p>
    <w:p w14:paraId="6B9C9B55" w14:textId="77777777" w:rsidR="00375AC0" w:rsidRPr="00375AC0" w:rsidRDefault="00375AC0" w:rsidP="00375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Theoretical grounding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R_n is derived from the transmission theory of the framework, not fitted to data</w:t>
      </w:r>
    </w:p>
    <w:p w14:paraId="720005C9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4.2 (Dissonance).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Dissonance at node n at time t is:</w:t>
      </w:r>
    </w:p>
    <w:p w14:paraId="05EADE3E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Dissonance_n(t) = |R_n(c₁(t), ..., c</w:t>
      </w:r>
      <w:r w:rsidRPr="00375AC0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ₖ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(t))|</w:t>
      </w:r>
    </w:p>
    <w:p w14:paraId="1E5CAB7F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 is the theoretical primitive; the violation of R is the empirical signal.</w:t>
      </w:r>
    </w:p>
    <w:p w14:paraId="642BD8B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4.3 (Normal regime at node).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Node n is in normal regime if Dissonance_n(t) ≤ τ_n, where τ_n is a country-specific threshold calibrated to the historical distribution of R_n.</w:t>
      </w:r>
    </w:p>
    <w:p w14:paraId="0126ADF2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5. Dissonance Taxonomy</w:t>
      </w:r>
    </w:p>
    <w:p w14:paraId="43EBC3E0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5.1.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Four structural types of dissonance:</w:t>
      </w:r>
    </w:p>
    <w:p w14:paraId="46C65399" w14:textId="77777777" w:rsidR="00375AC0" w:rsidRPr="00375AC0" w:rsidRDefault="00375AC0" w:rsidP="00375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Intra-node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components within a single node misalign. Components are sub-components of node n.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Example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actual policy rate vs Taylor-implied policy rate within L1.</w:t>
      </w:r>
    </w:p>
    <w:p w14:paraId="4181F71D" w14:textId="77777777" w:rsidR="00375AC0" w:rsidRPr="00375AC0" w:rsidRDefault="00375AC0" w:rsidP="00375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Inter-node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peer nodes (same level) pull apart in directions the framework expects to coincide. Components are values at two or more peer nodes.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Example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rate ↓ + macropru ↑ within L3.</w:t>
      </w:r>
    </w:p>
    <w:p w14:paraId="31F1E7E8" w14:textId="77777777" w:rsidR="00375AC0" w:rsidRPr="00375AC0" w:rsidRDefault="00375AC0" w:rsidP="00375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Vertical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cross-level misalignment. Components are values at nodes in different levels with a transmission edge between them.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Example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L3 instruments tighten while L4 yield curve eases (market disbelief).</w:t>
      </w:r>
    </w:p>
    <w:p w14:paraId="285A76FD" w14:textId="77777777" w:rsidR="00375AC0" w:rsidRPr="00375AC0" w:rsidRDefault="00375AC0" w:rsidP="00375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Temporal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— a node's behaviour out of regime relative to its own history. Components are the same node observed at different times. </w:t>
      </w: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Example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rolling Taylor rule coefficients drift from country-specific historical means.</w:t>
      </w:r>
    </w:p>
    <w:p w14:paraId="31939B3B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6. Country-Specific Parameterisation</w:t>
      </w:r>
    </w:p>
    <w:p w14:paraId="06B6FFA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Proposition 6.1 (Architecture universality).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decomposition G = (N, E) is country-invariant. The node set, edge set, level partition, and species classification are identical across all economies in the panel.</w:t>
      </w:r>
    </w:p>
    <w:p w14:paraId="357B5023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Proposition 6.2 (Parameter specificity).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Country specificity enters at three points:</w:t>
      </w:r>
    </w:p>
    <w:p w14:paraId="56BE22B5" w14:textId="77777777" w:rsidR="00375AC0" w:rsidRPr="00375AC0" w:rsidRDefault="00375AC0" w:rsidP="00375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Sub-node activation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not all node sub-types are populated in all countries (e.g., state-owned bank channel in Brazil; foreign-bank channel in Mexico).</w:t>
      </w:r>
    </w:p>
    <w:p w14:paraId="57466B58" w14:textId="77777777" w:rsidR="00375AC0" w:rsidRPr="00375AC0" w:rsidRDefault="00375AC0" w:rsidP="00375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Numerical parameters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coefficients within R_n (deposit beta, pass-through coefficients, reaction-function weights).</w:t>
      </w:r>
    </w:p>
    <w:p w14:paraId="4390F6E5" w14:textId="77777777" w:rsidR="00375AC0" w:rsidRPr="00375AC0" w:rsidRDefault="00375AC0" w:rsidP="00375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Threshold non-linearities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τ_n and constraint-binding levels (CET1 binding ratio, fiscal r − g flip point, credibility breach threshold).</w:t>
      </w:r>
    </w:p>
    <w:p w14:paraId="2B5C868F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Architecture universal; wiring bespoke.</w:t>
      </w:r>
    </w:p>
    <w:p w14:paraId="17A2EDD9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7. Aggregation</w:t>
      </w:r>
    </w:p>
    <w:p w14:paraId="608B65C3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7.1 (Composite dissonance).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country c at time t:</w:t>
      </w:r>
    </w:p>
    <w:p w14:paraId="5ECBD210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D_{c,t} = Σ_n w_n × Dissonance_n,c(t)</w:t>
      </w:r>
    </w:p>
    <w:p w14:paraId="4C46A30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where w_n ≥ 0 and Σ_n w_n = 1.</w:t>
      </w:r>
    </w:p>
    <w:p w14:paraId="4CEA117F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7.2 (Weighting schemes).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Four schemes evaluated:</w:t>
      </w:r>
    </w:p>
    <w:p w14:paraId="4AAE24EE" w14:textId="77777777" w:rsidR="00375AC0" w:rsidRPr="00375AC0" w:rsidRDefault="00375AC0" w:rsidP="00375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Equal-weight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w_n = 1/|N|</w:t>
      </w:r>
    </w:p>
    <w:p w14:paraId="15CB989A" w14:textId="77777777" w:rsidR="00375AC0" w:rsidRPr="00375AC0" w:rsidRDefault="00375AC0" w:rsidP="00375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Hierarchical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equal-weight within levels, equal across levels (corrects for over-weighting of dense levels)</w:t>
      </w:r>
    </w:p>
    <w:p w14:paraId="3EAA1321" w14:textId="77777777" w:rsidR="00375AC0" w:rsidRPr="00375AC0" w:rsidRDefault="00375AC0" w:rsidP="00375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PCA-extracted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first principal component of the dissonance vector</w:t>
      </w:r>
    </w:p>
    <w:p w14:paraId="1DACA1E5" w14:textId="77777777" w:rsidR="00375AC0" w:rsidRPr="00375AC0" w:rsidRDefault="00375AC0" w:rsidP="00375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Theory-weighted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w_n proportional to transmission-strength estimates from prior literature</w:t>
      </w:r>
    </w:p>
    <w:p w14:paraId="02CB9DEB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robustness of D_{c,t} to weighting choice is itself a result.</w:t>
      </w:r>
    </w:p>
    <w:p w14:paraId="5875FE09" w14:textId="77777777" w:rsidR="00375AC0" w:rsidRPr="00375AC0" w:rsidRDefault="00375AC0" w:rsidP="00375A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8. Auxiliary Primitives</w:t>
      </w:r>
    </w:p>
    <w:p w14:paraId="419F8BEB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8.1 (Modelling triad).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any node n, the modelling task decomposes into three sub-tasks:</w:t>
      </w:r>
    </w:p>
    <w:p w14:paraId="20C78F63" w14:textId="77777777" w:rsidR="00375AC0" w:rsidRPr="00375AC0" w:rsidRDefault="00375AC0" w:rsidP="00375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State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which variables capture the node's position at time t</w:t>
      </w:r>
    </w:p>
    <w:p w14:paraId="22D49AB7" w14:textId="77777777" w:rsidR="00375AC0" w:rsidRPr="00375AC0" w:rsidRDefault="00375AC0" w:rsidP="00375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Dynamics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how the state evolves</w:t>
      </w:r>
    </w:p>
    <w:p w14:paraId="51401879" w14:textId="77777777" w:rsidR="00375AC0" w:rsidRPr="00375AC0" w:rsidRDefault="00375AC0" w:rsidP="00375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Transmission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: how upstream shocks propagate to downstream effects</w:t>
      </w:r>
    </w:p>
    <w:p w14:paraId="22F7CA6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Each is required to instantiate R_n empirically.</w:t>
      </w:r>
    </w:p>
    <w:p w14:paraId="171D83BA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8.2 (Conditional transmission multiplier).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instrument nodes, transmission to downstream is moderated by a state variable external to the instrument:</w:t>
      </w:r>
    </w:p>
    <w:p w14:paraId="62533F06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Δ(downstream) = κ × Δ(instrument)</w:t>
      </w:r>
    </w:p>
    <w:p w14:paraId="2EA5BBD2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where κ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[0, 1] depends on credibility (for policy rate, forward guidance, balance sheet) or balance-sheet capacity (for liquidity facilities). κ = 0 collapses transmission entirely; κ = 1 is full pass-through.</w:t>
      </w:r>
    </w:p>
    <w:p w14:paraId="27233DAF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8.3 (Constraint binding).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Each agent node has a set of constraints (regulatory, fiscal, credibility, reserves). When a constraint binds, the node's transmission shifts discontinuously. Constraint-binding events are the dominant source of vertical dissonance — the agent cannot execute what the framework expects.</w:t>
      </w:r>
    </w:p>
    <w:p w14:paraId="0E02269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8.4 (Frequency alignment).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Nodes operate at heterogeneous frequencies: L3 instruments at discrete meeting cadence, L4 markets continuous, L5 intermediaries monthly/quarterly. R_n must be defined at a frequency consistent with its slowest-moving component; the composite D_{c,t} is constructed at the slowest binding frequency across its constituent nodes (monthly in baseline).</w:t>
      </w:r>
    </w:p>
    <w:p w14:paraId="039005D1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Definition 8.5 (System regime).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system is in:</w:t>
      </w:r>
    </w:p>
    <w:p w14:paraId="473BDFEB" w14:textId="77777777" w:rsidR="00375AC0" w:rsidRPr="00375AC0" w:rsidRDefault="00375AC0" w:rsidP="00375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Equilibrium regime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∀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n, Dissonance_n ≤ τ_n. Standard transmission framework applies.</w:t>
      </w:r>
    </w:p>
    <w:p w14:paraId="5F0A0EAA" w14:textId="77777777" w:rsidR="00375AC0" w:rsidRPr="00375AC0" w:rsidRDefault="00375AC0" w:rsidP="00375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Transition regime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r w:rsidRPr="00375AC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∃</w:t>
      </w: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n such that Dissonance_n &gt; τ_n. Standard transmission framework misspecified; composite D_{c,t} &gt; 0.</w:t>
      </w:r>
    </w:p>
    <w:p w14:paraId="1FE176DD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mapping from {equilibrium, transition} to asset return distributions is the empirical content of the thesis.</w:t>
      </w:r>
    </w:p>
    <w:p w14:paraId="2799AD5D" w14:textId="77777777" w:rsidR="00375AC0" w:rsidRPr="00375AC0" w:rsidRDefault="00660CFD" w:rsidP="00375AC0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660CFD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0417D41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9CA1A6" w14:textId="77777777" w:rsidR="00375AC0" w:rsidRPr="00375AC0" w:rsidRDefault="00375AC0" w:rsidP="00375A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75AC0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framework is now sufficient to instantiate empirical investigation. R_n, τ_n, and the country-specific parameter set are the handles for translating theoretical primitives into testable specifications — the work of the next chapter.</w:t>
      </w:r>
    </w:p>
    <w:p w14:paraId="7C54164E" w14:textId="77777777" w:rsidR="00375AC0" w:rsidRPr="00375AC0" w:rsidRDefault="00375AC0" w:rsidP="00375AC0">
      <w:pPr>
        <w:rPr>
          <w:sz w:val="22"/>
          <w:szCs w:val="22"/>
          <w:lang w:val="en-US"/>
        </w:rPr>
      </w:pPr>
    </w:p>
    <w:sectPr w:rsidR="00375AC0" w:rsidRPr="0037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1FB3"/>
    <w:multiLevelType w:val="multilevel"/>
    <w:tmpl w:val="90E6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F66CF"/>
    <w:multiLevelType w:val="multilevel"/>
    <w:tmpl w:val="E3D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E2E2A"/>
    <w:multiLevelType w:val="multilevel"/>
    <w:tmpl w:val="804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475A4"/>
    <w:multiLevelType w:val="multilevel"/>
    <w:tmpl w:val="E52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0239B"/>
    <w:multiLevelType w:val="multilevel"/>
    <w:tmpl w:val="76D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97DE7"/>
    <w:multiLevelType w:val="multilevel"/>
    <w:tmpl w:val="9C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9678B"/>
    <w:multiLevelType w:val="multilevel"/>
    <w:tmpl w:val="32D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A0717"/>
    <w:multiLevelType w:val="multilevel"/>
    <w:tmpl w:val="603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E4672"/>
    <w:multiLevelType w:val="multilevel"/>
    <w:tmpl w:val="9F8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7566">
    <w:abstractNumId w:val="1"/>
  </w:num>
  <w:num w:numId="2" w16cid:durableId="1194611412">
    <w:abstractNumId w:val="5"/>
  </w:num>
  <w:num w:numId="3" w16cid:durableId="1653950391">
    <w:abstractNumId w:val="6"/>
  </w:num>
  <w:num w:numId="4" w16cid:durableId="2056391461">
    <w:abstractNumId w:val="8"/>
  </w:num>
  <w:num w:numId="5" w16cid:durableId="93599468">
    <w:abstractNumId w:val="0"/>
  </w:num>
  <w:num w:numId="6" w16cid:durableId="1738672493">
    <w:abstractNumId w:val="2"/>
  </w:num>
  <w:num w:numId="7" w16cid:durableId="1807972699">
    <w:abstractNumId w:val="3"/>
  </w:num>
  <w:num w:numId="8" w16cid:durableId="1372459364">
    <w:abstractNumId w:val="4"/>
  </w:num>
  <w:num w:numId="9" w16cid:durableId="1845322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C0"/>
    <w:rsid w:val="00375AC0"/>
    <w:rsid w:val="0056572B"/>
    <w:rsid w:val="00660CFD"/>
    <w:rsid w:val="00C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D9DE"/>
  <w15:chartTrackingRefBased/>
  <w15:docId w15:val="{FACDD543-B9D1-914F-8D85-5FBB83F6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75AC0"/>
    <w:rPr>
      <w:b/>
      <w:bCs/>
    </w:rPr>
  </w:style>
  <w:style w:type="character" w:styleId="Emphasis">
    <w:name w:val="Emphasis"/>
    <w:basedOn w:val="DefaultParagraphFont"/>
    <w:uiPriority w:val="20"/>
    <w:qFormat/>
    <w:rsid w:val="00375A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Stoddart</dc:creator>
  <cp:keywords/>
  <dc:description/>
  <cp:lastModifiedBy>Justin Stoddart</cp:lastModifiedBy>
  <cp:revision>1</cp:revision>
  <dcterms:created xsi:type="dcterms:W3CDTF">2026-05-13T13:03:00Z</dcterms:created>
  <dcterms:modified xsi:type="dcterms:W3CDTF">2026-05-14T10:29:00Z</dcterms:modified>
</cp:coreProperties>
</file>