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b/>
          <w:bCs/>
        </w:rPr>
        <w:t xml:space="preserve">Central Bank Dissonance — Maximalist Relationship Catalogue</w:t>
      </w:r>
    </w:p>
    <w:p>
      <w:pPr>
        <w:spacing w:after="320"/>
      </w:pPr>
      <w:r>
        <w:rPr>
          <w:i/>
          <w:iCs/>
        </w:rPr>
        <w:t xml:space="preserve">A working template enumerating all 300 candidate relationships in the framework — 24 intra-node and 276 inter-node — with a brief commentary on the expected relationship and where dissonance would arise. To be pruned, populated, and prioritised during pre-registration.</w:t>
      </w:r>
    </w:p>
    <w:p>
      <w:pPr>
        <w:pStyle w:val="Heading2"/>
        <w:spacing w:after="160" w:before="300"/>
      </w:pPr>
      <w:r>
        <w:t xml:space="preserve">Node Reference</w:t>
      </w:r>
    </w:p>
    <w:p>
      <w:pPr>
        <w:spacing w:after="160"/>
      </w:pPr>
      <w:r>
        <w:t xml:space="preserve">L1 Reaction Function · L2 Loss Function &amp; Constraints · L3a Policy Rate · L3b Balance Sheet · L3c Forward Guidance · L3d FX Intervention · L3e Macroprudential · L3f Liquidity Facilities · L4a Yield Curve · L4b FX · L4c Inflation-Linked · L4d Volatility Surface · L5a Banks · L5b NBFI · L5c Dealers · L5d Households &amp; Corporates · L5e Sovereign · L6 Expectations · L7 Financial Conditions · L8 Valuation Drivers · L9 Asset Prices · L10a Real Economy · L10b Financial Stability · L10c Global Spillovers</w:t>
      </w:r>
    </w:p>
    <w:p>
      <w:pPr>
        <w:pStyle w:val="Heading2"/>
        <w:spacing w:after="160" w:before="300"/>
      </w:pPr>
      <w:r>
        <w:t xml:space="preserve">Counts</w:t>
      </w:r>
    </w:p>
    <w:p>
      <w:pPr>
        <w:spacing w:after="160"/>
      </w:pPr>
      <w:r>
        <w:t xml:space="preserve">Intra-node: 24. Inter-node: 276 (= C(24,2)). Total: 300. Subset of these will be empirically populated based on theoretical motivation and data availability per country.</w:t>
      </w:r>
    </w:p>
    <w:p>
      <w:pPr>
        <w:pStyle w:val="Heading1"/>
        <w:spacing w:after="200" w:before="360"/>
      </w:pPr>
      <w:r>
        <w:t xml:space="preserve">Section A — Intra-Node Relationships (24)</w:t>
      </w:r>
    </w:p>
    <w:p>
      <w:pPr>
        <w:pStyle w:val="Heading3"/>
        <w:spacing w:after="80" w:before="220"/>
      </w:pPr>
      <w:r>
        <w:rPr>
          <w:b/>
          <w:bCs/>
        </w:rPr>
        <w:t xml:space="preserve">L1 · Reaction Function — intra</w:t>
      </w:r>
    </w:p>
    <w:p>
      <w:pPr>
        <w:spacing w:after="160"/>
      </w:pPr>
      <w:r>
        <w:t xml:space="preserve">Internal consistency of the rule itself: stability of the estimated coefficient vector θ̂ = {α, β, ρ, …}. Equilibrium = stable parameters over time. Dissonance fires when rolling-window or TVP estimates drift, signalling a silent regime shift in policy stance.</w:t>
      </w:r>
    </w:p>
    <w:p>
      <w:pPr>
        <w:pStyle w:val="Heading3"/>
        <w:spacing w:after="80" w:before="220"/>
      </w:pPr>
      <w:r>
        <w:rPr>
          <w:b/>
          <w:bCs/>
        </w:rPr>
        <w:t xml:space="preserve">L2 · Loss Function &amp; Constraints — intra</w:t>
      </w:r>
    </w:p>
    <w:p>
      <w:pPr>
        <w:spacing w:after="160"/>
      </w:pPr>
      <w:r>
        <w:t xml:space="preserve">Internal coherence between the implied loss weights {α, β, γ, δ, λ} and the binding constraint set {ELB, fiscal dominance, FX reserves, credibility, political independence}. Equilibrium = the objective is achievable given the constraints. Dissonance fires when the optimal rule prescribes actions the constraints rule out.</w:t>
      </w:r>
    </w:p>
    <w:p>
      <w:pPr>
        <w:pStyle w:val="Heading3"/>
        <w:spacing w:after="80" w:before="220"/>
      </w:pPr>
      <w:r>
        <w:rPr>
          <w:b/>
          <w:bCs/>
        </w:rPr>
        <w:t xml:space="preserve">L3a · Policy Rate — intra</w:t>
      </w:r>
    </w:p>
    <w:p>
      <w:pPr>
        <w:spacing w:after="160"/>
      </w:pPr>
      <w:r>
        <w:t xml:space="preserve">Components of the rate node — announced rate, effective overnight rate, near-term FRA/OIS, standing facility utilisation — should all pin to the same number. Equilibrium = corridor mechanics holding. Dissonance fires when overnight rates drift from the announced rate, or facility usage spikes (corridor pinning failure).</w:t>
      </w:r>
    </w:p>
    <w:p>
      <w:pPr>
        <w:pStyle w:val="Heading3"/>
        <w:spacing w:after="80" w:before="220"/>
      </w:pPr>
      <w:r>
        <w:rPr>
          <w:b/>
          <w:bCs/>
        </w:rPr>
        <w:t xml:space="preserve">L3b · Balance Sheet — intra</w:t>
      </w:r>
    </w:p>
    <w:p>
      <w:pPr>
        <w:spacing w:after="160"/>
      </w:pPr>
      <w:r>
        <w:t xml:space="preserve">Multiple stance readings — nominal size, duration absorbed, announced pace, realised flow, monetary vs market-functioning label — should imply the same bps-equivalent stance. Dissonance fires when size and composition disagree (the 2019 Fed "not QE" episode), pace deviates from announcement, or stated purpose diverges from measurable effect.</w:t>
      </w:r>
    </w:p>
    <w:p>
      <w:pPr>
        <w:pStyle w:val="Heading3"/>
        <w:spacing w:after="80" w:before="220"/>
      </w:pPr>
      <w:r>
        <w:rPr>
          <w:b/>
          <w:bCs/>
        </w:rPr>
        <w:t xml:space="preserve">L3c · Forward Guidance — intra</w:t>
      </w:r>
    </w:p>
    <w:p>
      <w:pPr>
        <w:spacing w:after="160"/>
      </w:pPr>
      <w:r>
        <w:t xml:space="preserve">Tone vs content coherence: NLP-extracted hawkishness of statement language should agree with explicit projections (dot plot, repo path) and press conference signals. Dissonance fires on a dovish presser following a hawkish dot plot, or vice versa.</w:t>
      </w:r>
    </w:p>
    <w:p>
      <w:pPr>
        <w:pStyle w:val="Heading3"/>
        <w:spacing w:after="80" w:before="220"/>
      </w:pPr>
      <w:r>
        <w:rPr>
          <w:b/>
          <w:bCs/>
        </w:rPr>
        <w:t xml:space="preserve">L3d · FX Intervention — intra</w:t>
      </w:r>
    </w:p>
    <w:p>
      <w:pPr>
        <w:spacing w:after="160"/>
      </w:pPr>
      <w:r>
        <w:t xml:space="preserve">Reserve flows, declared FX regime, and sterilised/unsterilised mix should be consistent. Dissonance fires when a bank denies managed floating but reserves data show persistent intervention, or when sterilisation choices send confused liquidity signals.</w:t>
      </w:r>
    </w:p>
    <w:p>
      <w:pPr>
        <w:pStyle w:val="Heading3"/>
        <w:spacing w:after="80" w:before="220"/>
      </w:pPr>
      <w:r>
        <w:rPr>
          <w:b/>
          <w:bCs/>
        </w:rPr>
        <w:t xml:space="preserve">L3e · Macroprudential — intra</w:t>
      </w:r>
    </w:p>
    <w:p>
      <w:pPr>
        <w:spacing w:after="160"/>
      </w:pPr>
      <w:r>
        <w:t xml:space="preserve">Components of the macropru stance — CCyB, LTV/DTI caps, reserve requirements, sectoral measures — should pull the same direction. Dissonance fires when buffers move opposing ways across credit segments, sending a mixed signal on overall credit conditions.</w:t>
      </w:r>
    </w:p>
    <w:p>
      <w:pPr>
        <w:pStyle w:val="Heading3"/>
        <w:spacing w:after="80" w:before="220"/>
      </w:pPr>
      <w:r>
        <w:rPr>
          <w:b/>
          <w:bCs/>
        </w:rPr>
        <w:t xml:space="preserve">L3f · Liquidity Facilities — intra</w:t>
      </w:r>
    </w:p>
    <w:p>
      <w:pPr>
        <w:spacing w:after="160"/>
      </w:pPr>
      <w:r>
        <w:t xml:space="preserve">Standing facilities (discount window, SRF), crisis facilities (TALF, BTFP), and FX swap lines should be consistent in what they signal about market stress. Dissonance fires when one facility is being normalised while another is expanded — bank reading different markets as differently stressed.</w:t>
      </w:r>
    </w:p>
    <w:p>
      <w:pPr>
        <w:pStyle w:val="Heading3"/>
        <w:spacing w:after="80" w:before="220"/>
      </w:pPr>
      <w:r>
        <w:rPr>
          <w:b/>
          <w:bCs/>
        </w:rPr>
        <w:t xml:space="preserve">L4a · Yield Curve — intra</w:t>
      </w:r>
    </w:p>
    <w:p>
      <w:pPr>
        <w:spacing w:after="160"/>
      </w:pPr>
      <w:r>
        <w:t xml:space="preserve">Curve shape components — slope (2s10s, 5s30s), curvature, term premium estimate, OIS-Treasury basis — should imply a consistent regime read. Dissonance fires when slope and term premium imply contradictory regime characterisations (e.g., steepening with falling term premium).</w:t>
      </w:r>
    </w:p>
    <w:p>
      <w:pPr>
        <w:pStyle w:val="Heading3"/>
        <w:spacing w:after="80" w:before="220"/>
      </w:pPr>
      <w:r>
        <w:rPr>
          <w:b/>
          <w:bCs/>
        </w:rPr>
        <w:t xml:space="preserve">L4b · FX — intra</w:t>
      </w:r>
    </w:p>
    <w:p>
      <w:pPr>
        <w:spacing w:after="160"/>
      </w:pPr>
      <w:r>
        <w:t xml:space="preserve">Spot, forwards, risk-reversal skew, and CIP basis should be jointly consistent under no-arbitrage. Dissonance fires when spot and forwards imply different carry-adjusted views, or when CIP basis widens signalling dealer balance sheet constraints.</w:t>
      </w:r>
    </w:p>
    <w:p>
      <w:pPr>
        <w:pStyle w:val="Heading3"/>
        <w:spacing w:after="80" w:before="220"/>
      </w:pPr>
      <w:r>
        <w:rPr>
          <w:b/>
          <w:bCs/>
        </w:rPr>
        <w:t xml:space="preserve">L4c · Inflation-Linked — intra</w:t>
      </w:r>
    </w:p>
    <w:p>
      <w:pPr>
        <w:spacing w:after="160"/>
      </w:pPr>
      <w:r>
        <w:t xml:space="preserve">Break-evens at different maturities, real yields, and inflation swap curves should imply a coherent inflation expectation profile. Dissonance fires when short BEIs spike but long BEIs stay anchored — signal that long-run anchoring is intact under near-term shocks.</w:t>
      </w:r>
    </w:p>
    <w:p>
      <w:pPr>
        <w:pStyle w:val="Heading3"/>
        <w:spacing w:after="80" w:before="220"/>
      </w:pPr>
      <w:r>
        <w:rPr>
          <w:b/>
          <w:bCs/>
        </w:rPr>
        <w:t xml:space="preserve">L4d · Volatility Surface — intra</w:t>
      </w:r>
    </w:p>
    <w:p>
      <w:pPr>
        <w:spacing w:after="160"/>
      </w:pPr>
      <w:r>
        <w:t xml:space="preserve">Rates vol, FX vol, equity vol; ATM vs skew vs term structure. Equilibrium = vol surface coherent across assets and tenors. Dissonance fires when one vol regime decouples — calm rates vol with elevated FX vol, typical of EM credibility stress with anchored DM rates.</w:t>
      </w:r>
    </w:p>
    <w:p>
      <w:pPr>
        <w:pStyle w:val="Heading3"/>
        <w:spacing w:after="80" w:before="220"/>
      </w:pPr>
      <w:r>
        <w:rPr>
          <w:b/>
          <w:bCs/>
        </w:rPr>
        <w:t xml:space="preserve">L5a · Banks — intra</w:t>
      </w:r>
    </w:p>
    <w:p>
      <w:pPr>
        <w:spacing w:after="160"/>
      </w:pPr>
      <w:r>
        <w:t xml:space="preserve">Capital (CET1), liquidity (LCR, NSFR), profitability (NIM, deposit beta), and ALM duration mismatch should jointly imply the same stress reading. Dissonance fires when capital looks fine but liquidity is degrading (SVB pattern), or NIM is healthy but duration risk is mounting unseen.</w:t>
      </w:r>
    </w:p>
    <w:p>
      <w:pPr>
        <w:pStyle w:val="Heading3"/>
        <w:spacing w:after="80" w:before="220"/>
      </w:pPr>
      <w:r>
        <w:rPr>
          <w:b/>
          <w:bCs/>
        </w:rPr>
        <w:t xml:space="preserve">L5b · NBFI — intra</w:t>
      </w:r>
    </w:p>
    <w:p>
      <w:pPr>
        <w:spacing w:after="160"/>
      </w:pPr>
      <w:r>
        <w:t xml:space="preserve">Money market funds, hedge funds, insurers/pensions (LDI), private credit — different sub-types have different stress signatures. Dissonance fires when one sub-sector is calm while another shows acute stress (March 2020 MMF runs vs hedge fund basis trades).</w:t>
      </w:r>
    </w:p>
    <w:p>
      <w:pPr>
        <w:pStyle w:val="Heading3"/>
        <w:spacing w:after="80" w:before="220"/>
      </w:pPr>
      <w:r>
        <w:rPr>
          <w:b/>
          <w:bCs/>
        </w:rPr>
        <w:t xml:space="preserve">L5c · Dealers — intra</w:t>
      </w:r>
    </w:p>
    <w:p>
      <w:pPr>
        <w:spacing w:after="160"/>
      </w:pPr>
      <w:r>
        <w:t xml:space="preserve">Inventory positions, repo rates, CIP basis, balance sheet utilisation, G-SIB surcharge proximity. Equilibrium = dealers absorbing risk smoothly. Dissonance fires when balance sheet capacity is constrained — basis widens, repo spikes, inventory contracts.</w:t>
      </w:r>
    </w:p>
    <w:p>
      <w:pPr>
        <w:pStyle w:val="Heading3"/>
        <w:spacing w:after="80" w:before="220"/>
      </w:pPr>
      <w:r>
        <w:rPr>
          <w:b/>
          <w:bCs/>
        </w:rPr>
        <w:t xml:space="preserve">L5d · Households &amp; Corporates — intra</w:t>
      </w:r>
    </w:p>
    <w:p>
      <w:pPr>
        <w:spacing w:after="160"/>
      </w:pPr>
      <w:r>
        <w:t xml:space="preserve">Debt service ratios, leverage trajectories, savings rates, credit demand should be jointly consistent. Dissonance fires when DSR is rising and credit demand is also rising — leverage risk building rather than self-correcting.</w:t>
      </w:r>
    </w:p>
    <w:p>
      <w:pPr>
        <w:pStyle w:val="Heading3"/>
        <w:spacing w:after="80" w:before="220"/>
      </w:pPr>
      <w:r>
        <w:rPr>
          <w:b/>
          <w:bCs/>
        </w:rPr>
        <w:t xml:space="preserve">L5e · Sovereign — intra</w:t>
      </w:r>
    </w:p>
    <w:p>
      <w:pPr>
        <w:spacing w:after="160"/>
      </w:pPr>
      <w:r>
        <w:t xml:space="preserve">Debt-to-GDP trajectory, fiscal balance, r−g dynamics, CDS spreads, rating actions. Equilibrium = quantitative fiscal metrics consistent with market pricing. Dissonance fires when CDS prices a tail the rating agencies have not yet recognised, or vice versa.</w:t>
      </w:r>
    </w:p>
    <w:p>
      <w:pPr>
        <w:pStyle w:val="Heading3"/>
        <w:spacing w:after="80" w:before="220"/>
      </w:pPr>
      <w:r>
        <w:rPr>
          <w:b/>
          <w:bCs/>
        </w:rPr>
        <w:t xml:space="preserve">L6 · Expectations — intra</w:t>
      </w:r>
    </w:p>
    <w:p>
      <w:pPr>
        <w:spacing w:after="160"/>
      </w:pPr>
      <w:r>
        <w:t xml:space="preserve">Heterogeneous belief types — rational, diagnostic, extrapolative, sticky, narrative — and the gap between survey forecasts, market-implied measures, and textual sentiment. Dissonance fires when sticky-info agents lag the market or diagnostic agents over-extrapolate.</w:t>
      </w:r>
    </w:p>
    <w:p>
      <w:pPr>
        <w:pStyle w:val="Heading3"/>
        <w:spacing w:after="80" w:before="220"/>
      </w:pPr>
      <w:r>
        <w:rPr>
          <w:b/>
          <w:bCs/>
        </w:rPr>
        <w:t xml:space="preserve">L7 · Financial Conditions — intra</w:t>
      </w:r>
    </w:p>
    <w:p>
      <w:pPr>
        <w:spacing w:after="160"/>
      </w:pPr>
      <w:r>
        <w:t xml:space="preserve">FCI sub-components — short rates, long rates, credit spreads, equity prices, FX — should move consistently with the aggregate stance. Dissonance fires when one sub-component pulls the FCI hard against others (e.g., easing equities offsetting tighter credit).</w:t>
      </w:r>
    </w:p>
    <w:p>
      <w:pPr>
        <w:pStyle w:val="Heading3"/>
        <w:spacing w:after="80" w:before="220"/>
      </w:pPr>
      <w:r>
        <w:rPr>
          <w:b/>
          <w:bCs/>
        </w:rPr>
        <w:t xml:space="preserve">L8 · Valuation Drivers — intra</w:t>
      </w:r>
    </w:p>
    <w:p>
      <w:pPr>
        <w:spacing w:after="160"/>
      </w:pPr>
      <w:r>
        <w:t xml:space="preserve">Discount rate, cash flow expectations, risk premium, convenience yield should move consistently with the regime narrative. Dissonance fires when discount rate and risk premium move opposing directions in stress — a credibility break signature.</w:t>
      </w:r>
    </w:p>
    <w:p>
      <w:pPr>
        <w:pStyle w:val="Heading3"/>
        <w:spacing w:after="80" w:before="220"/>
      </w:pPr>
      <w:r>
        <w:rPr>
          <w:b/>
          <w:bCs/>
        </w:rPr>
        <w:t xml:space="preserve">L9 · Asset Prices — intra</w:t>
      </w:r>
    </w:p>
    <w:p>
      <w:pPr>
        <w:spacing w:after="160"/>
      </w:pPr>
      <w:r>
        <w:t xml:space="preserve">Cross-asset coherence — bonds, equities, credit, FX, vol implying the same risk regime. Dissonance fires when normally co-moving assets decouple, or correlation breakdowns occur (March 2020 cross-asset dislocation).</w:t>
      </w:r>
    </w:p>
    <w:p>
      <w:pPr>
        <w:pStyle w:val="Heading3"/>
        <w:spacing w:after="80" w:before="220"/>
      </w:pPr>
      <w:r>
        <w:rPr>
          <w:b/>
          <w:bCs/>
        </w:rPr>
        <w:t xml:space="preserve">L10a · Real Economy — intra</w:t>
      </w:r>
    </w:p>
    <w:p>
      <w:pPr>
        <w:spacing w:after="160"/>
      </w:pPr>
      <w:r>
        <w:t xml:space="preserve">GDP, employment, inflation, consumption, investment should move coherently within the prevailing regime. Dissonance fires when growth and inflation imply different output gap readings, or when labour market and demand data disagree.</w:t>
      </w:r>
    </w:p>
    <w:p>
      <w:pPr>
        <w:pStyle w:val="Heading3"/>
        <w:spacing w:after="80" w:before="220"/>
      </w:pPr>
      <w:r>
        <w:rPr>
          <w:b/>
          <w:bCs/>
        </w:rPr>
        <w:t xml:space="preserve">L10b · Financial Stability — intra</w:t>
      </w:r>
    </w:p>
    <w:p>
      <w:pPr>
        <w:spacing w:after="160"/>
      </w:pPr>
      <w:r>
        <w:t xml:space="preserve">Leverage, maturity mismatch, concentration, fire-sale capacity, contagion proxies should imply the same systemic risk reading. Dissonance fires when leverage is building but volatility is suppressed — the Minsky-moment buildup pattern.</w:t>
      </w:r>
    </w:p>
    <w:p>
      <w:pPr>
        <w:pStyle w:val="Heading3"/>
        <w:spacing w:after="80" w:before="220"/>
      </w:pPr>
      <w:r>
        <w:rPr>
          <w:b/>
          <w:bCs/>
        </w:rPr>
        <w:t xml:space="preserve">L10c · Global Spillovers — intra</w:t>
      </w:r>
    </w:p>
    <w:p>
      <w:pPr>
        <w:spacing w:after="160"/>
      </w:pPr>
      <w:r>
        <w:t xml:space="preserve">Capital flows, currency moves, foreign-asset comovement, FX reserves trajectory should tell a consistent cross-border story. Dissonance fires when flow data and price data diverge — e.g., intervention masking outflow pressure.</w:t>
      </w:r>
    </w:p>
    <w:p>
      <w:pPr>
        <w:pStyle w:val="Heading1"/>
        <w:spacing w:after="200" w:before="360"/>
      </w:pPr>
      <w:r>
        <w:t xml:space="preserve">Section B — Inter-Node Relationships (276)</w:t>
      </w:r>
    </w:p>
    <w:p>
      <w:pPr>
        <w:pStyle w:val="Heading2"/>
        <w:spacing w:after="160" w:before="300"/>
      </w:pPr>
      <w:r>
        <w:t xml:space="preserve">B.1 · L1 Origin (23)</w:t>
      </w:r>
    </w:p>
    <w:p>
      <w:pPr>
        <w:pStyle w:val="Heading3"/>
        <w:spacing w:after="80" w:before="220"/>
      </w:pPr>
      <w:r>
        <w:rPr>
          <w:b/>
          <w:bCs/>
        </w:rPr>
        <w:t xml:space="preserve">L1 ↔ L2 · Reaction Function ↔ Loss Function &amp; Constraints</w:t>
      </w:r>
    </w:p>
    <w:p>
      <w:pPr>
        <w:spacing w:after="160"/>
      </w:pPr>
      <w:r>
        <w:t xml:space="preserve">The reaction function is the first-order condition of loss function minimisation. Equilibrium = rule R is the optimal policy given the loss weights and binding constraints. Dissonance fires when the estimated rule is inconsistent with any plausible loss function — e.g., implied β is negative.</w:t>
      </w:r>
    </w:p>
    <w:p>
      <w:pPr>
        <w:pStyle w:val="Heading3"/>
        <w:spacing w:after="80" w:before="220"/>
      </w:pPr>
      <w:r>
        <w:rPr>
          <w:b/>
          <w:bCs/>
        </w:rPr>
        <w:t xml:space="preserve">L1 ↔ L3a · Reaction Function ↔ Policy Rate</w:t>
      </w:r>
    </w:p>
    <w:p>
      <w:pPr>
        <w:spacing w:after="160"/>
      </w:pPr>
      <w:r>
        <w:t xml:space="preserve">The rule prescribes i*_t; the bank sets i_t. Equilibrium = i_t = R(state_t; θ̂). Dissonance is the Taylor residual ε_t = i_t − i*_t — the bank deviating from its own rule.</w:t>
      </w:r>
    </w:p>
    <w:p>
      <w:pPr>
        <w:pStyle w:val="Heading3"/>
        <w:spacing w:after="80" w:before="220"/>
      </w:pPr>
      <w:r>
        <w:rPr>
          <w:b/>
          <w:bCs/>
        </w:rPr>
        <w:t xml:space="preserve">L1 ↔ L3b · Reaction Function ↔ Balance Sheet</w:t>
      </w:r>
    </w:p>
    <w:p>
      <w:pPr>
        <w:spacing w:after="160"/>
      </w:pPr>
      <w:r>
        <w:t xml:space="preserve">The rule prescribes a total monetary stance. Balance sheet substitutes for rate at the ELB. Dissonance fires when rule and balance sheet imply opposing stances (hike while expanding) or when easing is required but the balance sheet is inactive.</w:t>
      </w:r>
    </w:p>
    <w:p>
      <w:pPr>
        <w:pStyle w:val="Heading3"/>
        <w:spacing w:after="80" w:before="220"/>
      </w:pPr>
      <w:r>
        <w:rPr>
          <w:b/>
          <w:bCs/>
        </w:rPr>
        <w:t xml:space="preserve">L1 ↔ L3c · Reaction Function ↔ Forward Guidance</w:t>
      </w:r>
    </w:p>
    <w:p>
      <w:pPr>
        <w:spacing w:after="160"/>
      </w:pPr>
      <w:r>
        <w:t xml:space="preserve">Rule-implied path vs communicated path. Equilibrium = guidance reflects the rule given the bank’s state forecasts. Dissonance fires when guidance is off-rule — Delphic (different state forecast) or Odyssean (deliberate commitment to deviate).</w:t>
      </w:r>
    </w:p>
    <w:p>
      <w:pPr>
        <w:pStyle w:val="Heading3"/>
        <w:spacing w:after="80" w:before="220"/>
      </w:pPr>
      <w:r>
        <w:rPr>
          <w:b/>
          <w:bCs/>
        </w:rPr>
        <w:t xml:space="preserve">L1 ↔ L3d · Reaction Function ↔ FX Intervention</w:t>
      </w:r>
    </w:p>
    <w:p>
      <w:pPr>
        <w:spacing w:after="160"/>
      </w:pPr>
      <w:r>
        <w:t xml:space="preserve">For banks with FX in the reaction function, intervention should track FX deviations. Equilibrium = intervention magnitude correlates with FX gap × δ. Dissonance fires when intervention is conducted without rule justification, or FX moves without rule response.</w:t>
      </w:r>
    </w:p>
    <w:p>
      <w:pPr>
        <w:pStyle w:val="Heading3"/>
        <w:spacing w:after="80" w:before="220"/>
      </w:pPr>
      <w:r>
        <w:rPr>
          <w:b/>
          <w:bCs/>
        </w:rPr>
        <w:t xml:space="preserve">L1 ↔ L3e · Reaction Function ↔ Macroprudential</w:t>
      </w:r>
    </w:p>
    <w:p>
      <w:pPr>
        <w:spacing w:after="160"/>
      </w:pPr>
      <w:r>
        <w:t xml:space="preserve">Macropru should be active when the rule’s λ (financial stability weight) is positive and stability indicators are stressed. Dissonance fires when stability is degrading but macropru is passive, or tightening pre-emptively without underlying stress.</w:t>
      </w:r>
    </w:p>
    <w:p>
      <w:pPr>
        <w:pStyle w:val="Heading3"/>
        <w:spacing w:after="80" w:before="220"/>
      </w:pPr>
      <w:r>
        <w:rPr>
          <w:b/>
          <w:bCs/>
        </w:rPr>
        <w:t xml:space="preserve">L1 ↔ L3f · Reaction Function ↔ Liquidity Facilities</w:t>
      </w:r>
    </w:p>
    <w:p>
      <w:pPr>
        <w:spacing w:after="160"/>
      </w:pPr>
      <w:r>
        <w:t xml:space="preserve">Liquidity facilities should activate in funding stress regardless of monetary stance. Dissonance fires when the rule implies normal conditions but facility usage signals stress, or when facilities remain dormant during clear funding pressure.</w:t>
      </w:r>
    </w:p>
    <w:p>
      <w:pPr>
        <w:pStyle w:val="Heading3"/>
        <w:spacing w:after="80" w:before="220"/>
      </w:pPr>
      <w:r>
        <w:rPr>
          <w:b/>
          <w:bCs/>
        </w:rPr>
        <w:t xml:space="preserve">L1 ↔ L4a · Reaction Function ↔ Yield Curve</w:t>
      </w:r>
    </w:p>
    <w:p>
      <w:pPr>
        <w:spacing w:after="160"/>
      </w:pPr>
      <w:r>
        <w:t xml:space="preserve">The yield curve embeds the current rate plus market expectations of future rates given the perceived rule. Dissonance fires when the curve prices a different reaction function from the estimated one.</w:t>
      </w:r>
    </w:p>
    <w:p>
      <w:pPr>
        <w:pStyle w:val="Heading3"/>
        <w:spacing w:after="80" w:before="220"/>
      </w:pPr>
      <w:r>
        <w:rPr>
          <w:b/>
          <w:bCs/>
        </w:rPr>
        <w:t xml:space="preserve">L1 ↔ L4b · Reaction Function ↔ FX</w:t>
      </w:r>
    </w:p>
    <w:p>
      <w:pPr>
        <w:spacing w:after="160"/>
      </w:pPr>
      <w:r>
        <w:t xml:space="preserve">For banks with FX in the rule, FX should respond to the rule’s δ-weighted policy. Dissonance fires when FX moves significantly without the rule responding, or when the rule responds without expected FX impact — credibility leak.</w:t>
      </w:r>
    </w:p>
    <w:p>
      <w:pPr>
        <w:pStyle w:val="Heading3"/>
        <w:spacing w:after="80" w:before="220"/>
      </w:pPr>
      <w:r>
        <w:rPr>
          <w:b/>
          <w:bCs/>
        </w:rPr>
        <w:t xml:space="preserve">L1 ↔ L4c · Reaction Function ↔ Inflation-Linked</w:t>
      </w:r>
    </w:p>
    <w:p>
      <w:pPr>
        <w:spacing w:after="160"/>
      </w:pPr>
      <w:r>
        <w:t xml:space="preserve">Break-evens reflect market beliefs about future inflation and policy response. Dissonance fires when long-end BEIs drift away from target despite stated commitment — credibility deficit on the rule’s α coefficient.</w:t>
      </w:r>
    </w:p>
    <w:p>
      <w:pPr>
        <w:pStyle w:val="Heading3"/>
        <w:spacing w:after="80" w:before="220"/>
      </w:pPr>
      <w:r>
        <w:rPr>
          <w:b/>
          <w:bCs/>
        </w:rPr>
        <w:t xml:space="preserve">L1 ↔ L4d · Reaction Function ↔ Volatility Surface</w:t>
      </w:r>
    </w:p>
    <w:p>
      <w:pPr>
        <w:spacing w:after="160"/>
      </w:pPr>
      <w:r>
        <w:t xml:space="preserve">Rates vol prices uncertainty about the path of policy. Dissonance fires when vol stays elevated despite a stable estimated rule — market does not trust the rule’s stability.</w:t>
      </w:r>
    </w:p>
    <w:p>
      <w:pPr>
        <w:pStyle w:val="Heading3"/>
        <w:spacing w:after="80" w:before="220"/>
      </w:pPr>
      <w:r>
        <w:rPr>
          <w:b/>
          <w:bCs/>
        </w:rPr>
        <w:t xml:space="preserve">L1 ↔ L5a · Reaction Function ↔ Banks</w:t>
      </w:r>
    </w:p>
    <w:p>
      <w:pPr>
        <w:spacing w:after="160"/>
      </w:pPr>
      <w:r>
        <w:t xml:space="preserve">Banks transmit policy approximately consistent with the rule’s expected transmission. Dissonance fires when policy tightens but bank credit does not tighten — bank lending channel weak — or when banks tighten without policy moving.</w:t>
      </w:r>
    </w:p>
    <w:p>
      <w:pPr>
        <w:pStyle w:val="Heading3"/>
        <w:spacing w:after="80" w:before="220"/>
      </w:pPr>
      <w:r>
        <w:rPr>
          <w:b/>
          <w:bCs/>
        </w:rPr>
        <w:t xml:space="preserve">L1 ↔ L5b · Reaction Function ↔ NBFI</w:t>
      </w:r>
    </w:p>
    <w:p>
      <w:pPr>
        <w:spacing w:after="160"/>
      </w:pPr>
      <w:r>
        <w:t xml:space="preserve">NBFI behaviour should be consistent with the monetary stance. Dissonance fires when NBFI leverage builds during tightening (carry hunting) or when NBFI funding stress emerges that the rule did not anticipate.</w:t>
      </w:r>
    </w:p>
    <w:p>
      <w:pPr>
        <w:pStyle w:val="Heading3"/>
        <w:spacing w:after="80" w:before="220"/>
      </w:pPr>
      <w:r>
        <w:rPr>
          <w:b/>
          <w:bCs/>
        </w:rPr>
        <w:t xml:space="preserve">L1 ↔ L5c · Reaction Function ↔ Dealers</w:t>
      </w:r>
    </w:p>
    <w:p>
      <w:pPr>
        <w:spacing w:after="160"/>
      </w:pPr>
      <w:r>
        <w:t xml:space="preserve">Dealer balance sheet capacity should be sufficient to support the transmission the rule expects. Dissonance fires when dealer constraints amplify or dampen policy shocks beyond expected transmission.</w:t>
      </w:r>
    </w:p>
    <w:p>
      <w:pPr>
        <w:pStyle w:val="Heading3"/>
        <w:spacing w:after="80" w:before="220"/>
      </w:pPr>
      <w:r>
        <w:rPr>
          <w:b/>
          <w:bCs/>
        </w:rPr>
        <w:t xml:space="preserve">L1 ↔ L5d · Reaction Function ↔ Households &amp; Corporates</w:t>
      </w:r>
    </w:p>
    <w:p>
      <w:pPr>
        <w:spacing w:after="160"/>
      </w:pPr>
      <w:r>
        <w:t xml:space="preserve">Private behaviour should respond to policy approximately as the rule’s implicit transmission expects. Dissonance fires when high DSR magnifies impact beyond expected, or low-debt households fail to respond at all.</w:t>
      </w:r>
    </w:p>
    <w:p>
      <w:pPr>
        <w:pStyle w:val="Heading3"/>
        <w:spacing w:after="80" w:before="220"/>
      </w:pPr>
      <w:r>
        <w:rPr>
          <w:b/>
          <w:bCs/>
        </w:rPr>
        <w:t xml:space="preserve">L1 ↔ L5e · Reaction Function ↔ Sovereign</w:t>
      </w:r>
    </w:p>
    <w:p>
      <w:pPr>
        <w:spacing w:after="160"/>
      </w:pPr>
      <w:r>
        <w:t xml:space="preserve">For banks with fiscal dominance concerns, sovereign stress should be consistent with the rule’s δ/λ weighting. Dissonance fires when sovereign yields rise on rate hikes — the fiscal dominance signature contradicting standard rule transmission.</w:t>
      </w:r>
    </w:p>
    <w:p>
      <w:pPr>
        <w:pStyle w:val="Heading3"/>
        <w:spacing w:after="80" w:before="220"/>
      </w:pPr>
      <w:r>
        <w:rPr>
          <w:b/>
          <w:bCs/>
        </w:rPr>
        <w:t xml:space="preserve">L1 ↔ L6 · Reaction Function ↔ Expectations</w:t>
      </w:r>
    </w:p>
    <w:p>
      <w:pPr>
        <w:spacing w:after="160"/>
      </w:pPr>
      <w:r>
        <w:t xml:space="preserve">Long-run expectations should be anchored if the rule is credible. Dissonance fires when long-run expectations drift away from target despite stable rule estimates — credibility separately weakening.</w:t>
      </w:r>
    </w:p>
    <w:p>
      <w:pPr>
        <w:pStyle w:val="Heading3"/>
        <w:spacing w:after="80" w:before="220"/>
      </w:pPr>
      <w:r>
        <w:rPr>
          <w:b/>
          <w:bCs/>
        </w:rPr>
        <w:t xml:space="preserve">L1 ↔ L7 · Reaction Function ↔ Financial Conditions</w:t>
      </w:r>
    </w:p>
    <w:p>
      <w:pPr>
        <w:spacing w:after="160"/>
      </w:pPr>
      <w:r>
        <w:t xml:space="preserve">The rule should produce FCI consistent with the desired stance. Dissonance fires when policy tightens but FCI eases (asset-price exuberance) or vice versa — transmission failure.</w:t>
      </w:r>
    </w:p>
    <w:p>
      <w:pPr>
        <w:pStyle w:val="Heading3"/>
        <w:spacing w:after="80" w:before="220"/>
      </w:pPr>
      <w:r>
        <w:rPr>
          <w:b/>
          <w:bCs/>
        </w:rPr>
        <w:t xml:space="preserve">L1 ↔ L8 · Reaction Function ↔ Valuation Drivers</w:t>
      </w:r>
    </w:p>
    <w:p>
      <w:pPr>
        <w:spacing w:after="160"/>
      </w:pPr>
      <w:r>
        <w:t xml:space="preserve">The rule should move discount rates consistent with its stance. Dissonance fires when policy moves but implied discount rates across asset classes do not reflect it — credibility or transmission breakdown.</w:t>
      </w:r>
    </w:p>
    <w:p>
      <w:pPr>
        <w:pStyle w:val="Heading3"/>
        <w:spacing w:after="80" w:before="220"/>
      </w:pPr>
      <w:r>
        <w:rPr>
          <w:b/>
          <w:bCs/>
        </w:rPr>
        <w:t xml:space="preserve">L1 ↔ L9 · Reaction Function ↔ Asset Prices</w:t>
      </w:r>
    </w:p>
    <w:p>
      <w:pPr>
        <w:spacing w:after="160"/>
      </w:pPr>
      <w:r>
        <w:t xml:space="preserve">Terminal asset price response should align with the rule’s expected transmission. Dissonance fires when prices respond perversely to policy (hikes that spike equities, cuts that fail to lift them).</w:t>
      </w:r>
    </w:p>
    <w:p>
      <w:pPr>
        <w:pStyle w:val="Heading3"/>
        <w:spacing w:after="80" w:before="220"/>
      </w:pPr>
      <w:r>
        <w:rPr>
          <w:b/>
          <w:bCs/>
        </w:rPr>
        <w:t xml:space="preserve">L1 ↔ L10a · Reaction Function ↔ Real Economy</w:t>
      </w:r>
    </w:p>
    <w:p>
      <w:pPr>
        <w:spacing w:after="160"/>
      </w:pPr>
      <w:r>
        <w:t xml:space="preserve">Real outcomes should converge toward the rule’s targets. Dissonance fires when policy is on the rule but outcomes drift — either rule misspecification or structural change.</w:t>
      </w:r>
    </w:p>
    <w:p>
      <w:pPr>
        <w:pStyle w:val="Heading3"/>
        <w:spacing w:after="80" w:before="220"/>
      </w:pPr>
      <w:r>
        <w:rPr>
          <w:b/>
          <w:bCs/>
        </w:rPr>
        <w:t xml:space="preserve">L1 ↔ L10b · Reaction Function ↔ Financial Stability</w:t>
      </w:r>
    </w:p>
    <w:p>
      <w:pPr>
        <w:spacing w:after="160"/>
      </w:pPr>
      <w:r>
        <w:t xml:space="preserve">Financial stability outcomes test the rule’s λ weight. Dissonance fires when leverage builds despite the rule appearing to weigh λ adequately — under-weighting financial stability in practice.</w:t>
      </w:r>
    </w:p>
    <w:p>
      <w:pPr>
        <w:pStyle w:val="Heading3"/>
        <w:spacing w:after="80" w:before="220"/>
      </w:pPr>
      <w:r>
        <w:rPr>
          <w:b/>
          <w:bCs/>
        </w:rPr>
        <w:t xml:space="preserve">L1 ↔ L10c · Reaction Function ↔ Global Spillovers</w:t>
      </w:r>
    </w:p>
    <w:p>
      <w:pPr>
        <w:spacing w:after="160"/>
      </w:pPr>
      <w:r>
        <w:t xml:space="preserve">For banks affected by global cycles, the rule’s responsiveness to external conditions should match observed spillover patterns. Dissonance fires when global financial cycle pressures arrive but the rule does not react — trilemma binding or denied.</w:t>
      </w:r>
    </w:p>
    <w:p>
      <w:pPr>
        <w:pStyle w:val="Heading2"/>
        <w:spacing w:after="160" w:before="300"/>
      </w:pPr>
      <w:r>
        <w:t xml:space="preserve">B.2 · L2 Origin (22)</w:t>
      </w:r>
    </w:p>
    <w:p>
      <w:pPr>
        <w:pStyle w:val="Heading3"/>
        <w:spacing w:after="80" w:before="220"/>
      </w:pPr>
      <w:r>
        <w:rPr>
          <w:b/>
          <w:bCs/>
        </w:rPr>
        <w:t xml:space="preserve">L2 ↔ L3a · Loss Function &amp; Constraints ↔ Policy Rate</w:t>
      </w:r>
    </w:p>
    <w:p>
      <w:pPr>
        <w:spacing w:after="160"/>
      </w:pPr>
      <w:r>
        <w:t xml:space="preserve">The loss function implies an optimal i*_t subject to constraints. Equilibrium = the policy rate is the constrained optimum. Dissonance fires when binding constraints (ELB, fiscal dominance) prevent the loss-optimal rate from being set.</w:t>
      </w:r>
    </w:p>
    <w:p>
      <w:pPr>
        <w:pStyle w:val="Heading3"/>
        <w:spacing w:after="80" w:before="220"/>
      </w:pPr>
      <w:r>
        <w:rPr>
          <w:b/>
          <w:bCs/>
        </w:rPr>
        <w:t xml:space="preserve">L2 ↔ L3b · Loss Function &amp; Constraints ↔ Balance Sheet</w:t>
      </w:r>
    </w:p>
    <w:p>
      <w:pPr>
        <w:spacing w:after="160"/>
      </w:pPr>
      <w:r>
        <w:t xml:space="preserve">The balance sheet becomes the active instrument when rate constraints bind. Equilibrium = balance sheet activity correlates with constraint binding. Dissonance fires when constraints bind but the balance sheet remains inactive.</w:t>
      </w:r>
    </w:p>
    <w:p>
      <w:pPr>
        <w:pStyle w:val="Heading3"/>
        <w:spacing w:after="80" w:before="220"/>
      </w:pPr>
      <w:r>
        <w:rPr>
          <w:b/>
          <w:bCs/>
        </w:rPr>
        <w:t xml:space="preserve">L2 ↔ L3c · Loss Function &amp; Constraints ↔ Forward Guidance</w:t>
      </w:r>
    </w:p>
    <w:p>
      <w:pPr>
        <w:spacing w:after="160"/>
      </w:pPr>
      <w:r>
        <w:t xml:space="preserve">Odyssean guidance is a commitment device to override the loss function under future state realisations. Dissonance fires when guidance promises a path inconsistent with the bank’s underlying loss function — credibility risk on revisions.</w:t>
      </w:r>
    </w:p>
    <w:p>
      <w:pPr>
        <w:pStyle w:val="Heading3"/>
        <w:spacing w:after="80" w:before="220"/>
      </w:pPr>
      <w:r>
        <w:rPr>
          <w:b/>
          <w:bCs/>
        </w:rPr>
        <w:t xml:space="preserve">L2 ↔ L3d · Loss Function &amp; Constraints ↔ FX Intervention</w:t>
      </w:r>
    </w:p>
    <w:p>
      <w:pPr>
        <w:spacing w:after="160"/>
      </w:pPr>
      <w:r>
        <w:t xml:space="preserve">FX reserves are a hard constraint on intervention capacity. Dissonance fires when intervention pace is unsustainable given reserves — bank running into a binding constraint.</w:t>
      </w:r>
    </w:p>
    <w:p>
      <w:pPr>
        <w:pStyle w:val="Heading3"/>
        <w:spacing w:after="80" w:before="220"/>
      </w:pPr>
      <w:r>
        <w:rPr>
          <w:b/>
          <w:bCs/>
        </w:rPr>
        <w:t xml:space="preserve">L2 ↔ L3e · Loss Function &amp; Constraints ↔ Macroprudential</w:t>
      </w:r>
    </w:p>
    <w:p>
      <w:pPr>
        <w:spacing w:after="160"/>
      </w:pPr>
      <w:r>
        <w:t xml:space="preserve">The λ weight in the loss function justifies macropru deployment. Dissonance fires when financial stability is in the mandate (λ &gt; 0) but macropru is dormant, or active without underlying stress.</w:t>
      </w:r>
    </w:p>
    <w:p>
      <w:pPr>
        <w:pStyle w:val="Heading3"/>
        <w:spacing w:after="80" w:before="220"/>
      </w:pPr>
      <w:r>
        <w:rPr>
          <w:b/>
          <w:bCs/>
        </w:rPr>
        <w:t xml:space="preserve">L2 ↔ L3f · Loss Function &amp; Constraints ↔ Liquidity Facilities</w:t>
      </w:r>
    </w:p>
    <w:p>
      <w:pPr>
        <w:spacing w:after="160"/>
      </w:pPr>
      <w:r>
        <w:t xml:space="preserve">Facilities provide constraint relief in stress. Dissonance fires when funding stress emerges (constraints binding for banks) but facilities are not extended, or extended without clear stress.</w:t>
      </w:r>
    </w:p>
    <w:p>
      <w:pPr>
        <w:pStyle w:val="Heading3"/>
        <w:spacing w:after="80" w:before="220"/>
      </w:pPr>
      <w:r>
        <w:rPr>
          <w:b/>
          <w:bCs/>
        </w:rPr>
        <w:t xml:space="preserve">L2 ↔ L4a · Loss Function &amp; Constraints ↔ Yield Curve</w:t>
      </w:r>
    </w:p>
    <w:p>
      <w:pPr>
        <w:spacing w:after="160"/>
      </w:pPr>
      <w:r>
        <w:t xml:space="preserve">The curve should reflect the bank’s loss function and binding constraints. Dissonance fires when the curve prices through binding constraints (e.g., implying negative rates past the ELB) — market pricing different loss weights from the bank’s true ones.</w:t>
      </w:r>
    </w:p>
    <w:p>
      <w:pPr>
        <w:pStyle w:val="Heading3"/>
        <w:spacing w:after="80" w:before="220"/>
      </w:pPr>
      <w:r>
        <w:rPr>
          <w:b/>
          <w:bCs/>
        </w:rPr>
        <w:t xml:space="preserve">L2 ↔ L4b · Loss Function &amp; Constraints ↔ FX</w:t>
      </w:r>
    </w:p>
    <w:p>
      <w:pPr>
        <w:spacing w:after="160"/>
      </w:pPr>
      <w:r>
        <w:t xml:space="preserve">FX reserves constraint affects FX dynamics under stress. Dissonance fires when FX moves imply pressure inconsistent with reserves usage — currency falling fast while reserves untouched signals the bank is letting the constraint bind.</w:t>
      </w:r>
    </w:p>
    <w:p>
      <w:pPr>
        <w:pStyle w:val="Heading3"/>
        <w:spacing w:after="80" w:before="220"/>
      </w:pPr>
      <w:r>
        <w:rPr>
          <w:b/>
          <w:bCs/>
        </w:rPr>
        <w:t xml:space="preserve">L2 ↔ L4c · Loss Function &amp; Constraints ↔ Inflation-Linked</w:t>
      </w:r>
    </w:p>
    <w:p>
      <w:pPr>
        <w:spacing w:after="160"/>
      </w:pPr>
      <w:r>
        <w:t xml:space="preserve">Long BEIs reflect market belief about the bank’s α weight. Dissonance fires when long BEIs are inconsistent with stated mandate — credibility deficit on the loss function itself.</w:t>
      </w:r>
    </w:p>
    <w:p>
      <w:pPr>
        <w:pStyle w:val="Heading3"/>
        <w:spacing w:after="80" w:before="220"/>
      </w:pPr>
      <w:r>
        <w:rPr>
          <w:b/>
          <w:bCs/>
        </w:rPr>
        <w:t xml:space="preserve">L2 ↔ L4d · Loss Function &amp; Constraints ↔ Volatility Surface</w:t>
      </w:r>
    </w:p>
    <w:p>
      <w:pPr>
        <w:spacing w:after="160"/>
      </w:pPr>
      <w:r>
        <w:t xml:space="preserve">Constraint-binding regimes produce non-linear vol surfaces (ELB skew, FX intervention vol cliff). Dissonance fires when vol surface implies binding constraints the bank has not acknowledged.</w:t>
      </w:r>
    </w:p>
    <w:p>
      <w:pPr>
        <w:pStyle w:val="Heading3"/>
        <w:spacing w:after="80" w:before="220"/>
      </w:pPr>
      <w:r>
        <w:rPr>
          <w:b/>
          <w:bCs/>
        </w:rPr>
        <w:t xml:space="preserve">L2 ↔ L5a · Loss Function &amp; Constraints ↔ Banks</w:t>
      </w:r>
    </w:p>
    <w:p>
      <w:pPr>
        <w:spacing w:after="160"/>
      </w:pPr>
      <w:r>
        <w:t xml:space="preserve">Bank capital and liquidity constraints feed into the effective λ weight. Dissonance fires when bank stress is acute but the bank treats λ as zero — under-weighting financial stability.</w:t>
      </w:r>
    </w:p>
    <w:p>
      <w:pPr>
        <w:pStyle w:val="Heading3"/>
        <w:spacing w:after="80" w:before="220"/>
      </w:pPr>
      <w:r>
        <w:rPr>
          <w:b/>
          <w:bCs/>
        </w:rPr>
        <w:t xml:space="preserve">L2 ↔ L5b · Loss Function &amp; Constraints ↔ NBFI</w:t>
      </w:r>
    </w:p>
    <w:p>
      <w:pPr>
        <w:spacing w:after="160"/>
      </w:pPr>
      <w:r>
        <w:t xml:space="preserve">NBFI stress creates constraint binding outside the traditional bank channel. Dissonance fires when NBFI stress builds but the bank’s loss function does not acknowledge it — incomplete λ specification.</w:t>
      </w:r>
    </w:p>
    <w:p>
      <w:pPr>
        <w:pStyle w:val="Heading3"/>
        <w:spacing w:after="80" w:before="220"/>
      </w:pPr>
      <w:r>
        <w:rPr>
          <w:b/>
          <w:bCs/>
        </w:rPr>
        <w:t xml:space="preserve">L2 ↔ L5c · Loss Function &amp; Constraints ↔ Dealers</w:t>
      </w:r>
    </w:p>
    <w:p>
      <w:pPr>
        <w:spacing w:after="160"/>
      </w:pPr>
      <w:r>
        <w:t xml:space="preserve">Dealer balance sheet capacity is a transmission constraint. Dissonance fires when dealer constraints bind but the bank treats transmission as unimpeded.</w:t>
      </w:r>
    </w:p>
    <w:p>
      <w:pPr>
        <w:pStyle w:val="Heading3"/>
        <w:spacing w:after="80" w:before="220"/>
      </w:pPr>
      <w:r>
        <w:rPr>
          <w:b/>
          <w:bCs/>
        </w:rPr>
        <w:t xml:space="preserve">L2 ↔ L5d · Loss Function &amp; Constraints ↔ Households &amp; Corporates</w:t>
      </w:r>
    </w:p>
    <w:p>
      <w:pPr>
        <w:spacing w:after="160"/>
      </w:pPr>
      <w:r>
        <w:t xml:space="preserve">Private balance sheet conditions feed back into the rule’s binding constraints. Dissonance fires when household debt service stress is high but the rule is hiking aggressively — constraint denied.</w:t>
      </w:r>
    </w:p>
    <w:p>
      <w:pPr>
        <w:pStyle w:val="Heading3"/>
        <w:spacing w:after="80" w:before="220"/>
      </w:pPr>
      <w:r>
        <w:rPr>
          <w:b/>
          <w:bCs/>
        </w:rPr>
        <w:t xml:space="preserve">L2 ↔ L5e · Loss Function &amp; Constraints ↔ Sovereign</w:t>
      </w:r>
    </w:p>
    <w:p>
      <w:pPr>
        <w:spacing w:after="160"/>
      </w:pPr>
      <w:r>
        <w:t xml:space="preserve">Fiscal dominance is the most acute constraint. Dissonance fires when fiscal arithmetic is unsustainable but the reaction function treats fiscal as exogenous.</w:t>
      </w:r>
    </w:p>
    <w:p>
      <w:pPr>
        <w:pStyle w:val="Heading3"/>
        <w:spacing w:after="80" w:before="220"/>
      </w:pPr>
      <w:r>
        <w:rPr>
          <w:b/>
          <w:bCs/>
        </w:rPr>
        <w:t xml:space="preserve">L2 ↔ L6 · Loss Function &amp; Constraints ↔ Expectations</w:t>
      </w:r>
    </w:p>
    <w:p>
      <w:pPr>
        <w:spacing w:after="160"/>
      </w:pPr>
      <w:r>
        <w:t xml:space="preserve">Anchored expectations are themselves a constraint on the loss function (anchoring as a stock variable). Dissonance fires when expectations de-anchor — the constraint set has changed without the bank acknowledging it.</w:t>
      </w:r>
    </w:p>
    <w:p>
      <w:pPr>
        <w:pStyle w:val="Heading3"/>
        <w:spacing w:after="80" w:before="220"/>
      </w:pPr>
      <w:r>
        <w:rPr>
          <w:b/>
          <w:bCs/>
        </w:rPr>
        <w:t xml:space="preserve">L2 ↔ L7 · Loss Function &amp; Constraints ↔ Financial Conditions</w:t>
      </w:r>
    </w:p>
    <w:p>
      <w:pPr>
        <w:spacing w:after="160"/>
      </w:pPr>
      <w:r>
        <w:t xml:space="preserve">FCI is the transmission variable mapping the loss function to outcomes. Dissonance fires when FCI moves inconsistent with the bank’s implied loss weights and constraints.</w:t>
      </w:r>
    </w:p>
    <w:p>
      <w:pPr>
        <w:pStyle w:val="Heading3"/>
        <w:spacing w:after="80" w:before="220"/>
      </w:pPr>
      <w:r>
        <w:rPr>
          <w:b/>
          <w:bCs/>
        </w:rPr>
        <w:t xml:space="preserve">L2 ↔ L8 · Loss Function &amp; Constraints ↔ Valuation Drivers</w:t>
      </w:r>
    </w:p>
    <w:p>
      <w:pPr>
        <w:spacing w:after="160"/>
      </w:pPr>
      <w:r>
        <w:t xml:space="preserve">Discount rate dynamics reflect the loss function and constraints. Dissonance fires when valuation drivers price through binding constraints in ways the bank has not acknowledged.</w:t>
      </w:r>
    </w:p>
    <w:p>
      <w:pPr>
        <w:pStyle w:val="Heading3"/>
        <w:spacing w:after="80" w:before="220"/>
      </w:pPr>
      <w:r>
        <w:rPr>
          <w:b/>
          <w:bCs/>
        </w:rPr>
        <w:t xml:space="preserve">L2 ↔ L9 · Loss Function &amp; Constraints ↔ Asset Prices</w:t>
      </w:r>
    </w:p>
    <w:p>
      <w:pPr>
        <w:spacing w:after="160"/>
      </w:pPr>
      <w:r>
        <w:t xml:space="preserve">Asset prices reflect the integrated loss function and constraints. Dissonance fires when asset prices imply a different loss function structure than the bank communicates.</w:t>
      </w:r>
    </w:p>
    <w:p>
      <w:pPr>
        <w:pStyle w:val="Heading3"/>
        <w:spacing w:after="80" w:before="220"/>
      </w:pPr>
      <w:r>
        <w:rPr>
          <w:b/>
          <w:bCs/>
        </w:rPr>
        <w:t xml:space="preserve">L2 ↔ L10a · Loss Function &amp; Constraints ↔ Real Economy</w:t>
      </w:r>
    </w:p>
    <w:p>
      <w:pPr>
        <w:spacing w:after="160"/>
      </w:pPr>
      <w:r>
        <w:t xml:space="preserve">Real outcomes are the targets of the loss function. Dissonance fires when outcomes drift from targets — loss function mis-calibrated, or constraints binding more than acknowledged.</w:t>
      </w:r>
    </w:p>
    <w:p>
      <w:pPr>
        <w:pStyle w:val="Heading3"/>
        <w:spacing w:after="80" w:before="220"/>
      </w:pPr>
      <w:r>
        <w:rPr>
          <w:b/>
          <w:bCs/>
        </w:rPr>
        <w:t xml:space="preserve">L2 ↔ L10b · Loss Function &amp; Constraints ↔ Financial Stability</w:t>
      </w:r>
    </w:p>
    <w:p>
      <w:pPr>
        <w:spacing w:after="160"/>
      </w:pPr>
      <w:r>
        <w:t xml:space="preserve">Stability outcomes test the λ weight. Dissonance fires when leverage builds dangerously but the loss function appears to under-weight financial stability.</w:t>
      </w:r>
    </w:p>
    <w:p>
      <w:pPr>
        <w:pStyle w:val="Heading3"/>
        <w:spacing w:after="80" w:before="220"/>
      </w:pPr>
      <w:r>
        <w:rPr>
          <w:b/>
          <w:bCs/>
        </w:rPr>
        <w:t xml:space="preserve">L2 ↔ L10c · Loss Function &amp; Constraints ↔ Global Spillovers</w:t>
      </w:r>
    </w:p>
    <w:p>
      <w:pPr>
        <w:spacing w:after="160"/>
      </w:pPr>
      <w:r>
        <w:t xml:space="preserve">Global conditions enter as both constraint and state variable. Dissonance fires when global spillovers should bind the rule but the constraint set ignores them.</w:t>
      </w:r>
    </w:p>
    <w:p>
      <w:pPr>
        <w:pStyle w:val="Heading2"/>
        <w:spacing w:after="160" w:before="300"/>
      </w:pPr>
      <w:r>
        <w:t xml:space="preserve">B.3 · L3 Peer (15)</w:t>
      </w:r>
    </w:p>
    <w:p>
      <w:pPr>
        <w:pStyle w:val="Heading3"/>
        <w:spacing w:after="80" w:before="220"/>
      </w:pPr>
      <w:r>
        <w:rPr>
          <w:b/>
          <w:bCs/>
        </w:rPr>
        <w:t xml:space="preserve">L3a ↔ L3b · Policy Rate ↔ Balance Sheet</w:t>
      </w:r>
    </w:p>
    <w:p>
      <w:pPr>
        <w:spacing w:after="160"/>
      </w:pPr>
      <w:r>
        <w:t xml:space="preserve">Price and quantity instruments should pull the same direction in coherent regimes. Dissonance: hike + QE, or cut + QT — internal contradiction in stance.</w:t>
      </w:r>
    </w:p>
    <w:p>
      <w:pPr>
        <w:pStyle w:val="Heading3"/>
        <w:spacing w:after="80" w:before="220"/>
      </w:pPr>
      <w:r>
        <w:rPr>
          <w:b/>
          <w:bCs/>
        </w:rPr>
        <w:t xml:space="preserve">L3a ↔ L3c · Policy Rate ↔ Forward Guidance</w:t>
      </w:r>
    </w:p>
    <w:p>
      <w:pPr>
        <w:spacing w:after="160"/>
      </w:pPr>
      <w:r>
        <w:t xml:space="preserve">Current rate vs communicated future path should be consistent with the bank’s narrative. Dissonance: hawkish hike followed by dovish presser, or vice versa.</w:t>
      </w:r>
    </w:p>
    <w:p>
      <w:pPr>
        <w:pStyle w:val="Heading3"/>
        <w:spacing w:after="80" w:before="220"/>
      </w:pPr>
      <w:r>
        <w:rPr>
          <w:b/>
          <w:bCs/>
        </w:rPr>
        <w:t xml:space="preserve">L3a ↔ L3d · Policy Rate ↔ FX Intervention</w:t>
      </w:r>
    </w:p>
    <w:p>
      <w:pPr>
        <w:spacing w:after="160"/>
      </w:pPr>
      <w:r>
        <w:t xml:space="preserve">Rate and FX intervention should jointly support the FX regime. Dissonance: hiking aggressively while intervening to support FX — instrument substitution unclear.</w:t>
      </w:r>
    </w:p>
    <w:p>
      <w:pPr>
        <w:pStyle w:val="Heading3"/>
        <w:spacing w:after="80" w:before="220"/>
      </w:pPr>
      <w:r>
        <w:rPr>
          <w:b/>
          <w:bCs/>
        </w:rPr>
        <w:t xml:space="preserve">L3a ↔ L3e · Policy Rate ↔ Macroprudential</w:t>
      </w:r>
    </w:p>
    <w:p>
      <w:pPr>
        <w:spacing w:after="160"/>
      </w:pPr>
      <w:r>
        <w:t xml:space="preserve">Monetary and macropru can intentionally diverge (loose monetary + tight macropru is the post-2008 DM playbook). Dissonance: when divergence is extreme and unaligned with stated framework.</w:t>
      </w:r>
    </w:p>
    <w:p>
      <w:pPr>
        <w:pStyle w:val="Heading3"/>
        <w:spacing w:after="80" w:before="220"/>
      </w:pPr>
      <w:r>
        <w:rPr>
          <w:b/>
          <w:bCs/>
        </w:rPr>
        <w:t xml:space="preserve">L3a ↔ L3f · Policy Rate ↔ Liquidity Facilities</w:t>
      </w:r>
    </w:p>
    <w:p>
      <w:pPr>
        <w:spacing w:after="160"/>
      </w:pPr>
      <w:r>
        <w:t xml:space="preserve">Normal times: rate active, facilities dormant. Stress times: both active. Dissonance: rate hikes while facilities are being extended for funding stress — instruments pulling opposite directions.</w:t>
      </w:r>
    </w:p>
    <w:p>
      <w:pPr>
        <w:pStyle w:val="Heading3"/>
        <w:spacing w:after="80" w:before="220"/>
      </w:pPr>
      <w:r>
        <w:rPr>
          <w:b/>
          <w:bCs/>
        </w:rPr>
        <w:t xml:space="preserve">L3b ↔ L3c · Balance Sheet ↔ Forward Guidance</w:t>
      </w:r>
    </w:p>
    <w:p>
      <w:pPr>
        <w:spacing w:after="160"/>
      </w:pPr>
      <w:r>
        <w:t xml:space="preserve">Balance sheet operations should align with the guidance narrative. Dissonance: QT during dovish guidance, or QE during hawkish guidance.</w:t>
      </w:r>
    </w:p>
    <w:p>
      <w:pPr>
        <w:pStyle w:val="Heading3"/>
        <w:spacing w:after="80" w:before="220"/>
      </w:pPr>
      <w:r>
        <w:rPr>
          <w:b/>
          <w:bCs/>
        </w:rPr>
        <w:t xml:space="preserve">L3b ↔ L3d · Balance Sheet ↔ FX Intervention</w:t>
      </w:r>
    </w:p>
    <w:p>
      <w:pPr>
        <w:spacing w:after="160"/>
      </w:pPr>
      <w:r>
        <w:t xml:space="preserve">QE/QT and FX intervention both affect domestic liquidity. Dissonance: QT plus unsterilised FX buying — confused liquidity signal.</w:t>
      </w:r>
    </w:p>
    <w:p>
      <w:pPr>
        <w:pStyle w:val="Heading3"/>
        <w:spacing w:after="80" w:before="220"/>
      </w:pPr>
      <w:r>
        <w:rPr>
          <w:b/>
          <w:bCs/>
        </w:rPr>
        <w:t xml:space="preserve">L3b ↔ L3e · Balance Sheet ↔ Macroprudential</w:t>
      </w:r>
    </w:p>
    <w:p>
      <w:pPr>
        <w:spacing w:after="160"/>
      </w:pPr>
      <w:r>
        <w:t xml:space="preserve">Balance sheet expansion can build leverage that macropru must counter. Dissonance: QE expanding household credit while macropru loosens LTV caps.</w:t>
      </w:r>
    </w:p>
    <w:p>
      <w:pPr>
        <w:pStyle w:val="Heading3"/>
        <w:spacing w:after="80" w:before="220"/>
      </w:pPr>
      <w:r>
        <w:rPr>
          <w:b/>
          <w:bCs/>
        </w:rPr>
        <w:t xml:space="preserve">L3b ↔ L3f · Balance Sheet ↔ Liquidity Facilities</w:t>
      </w:r>
    </w:p>
    <w:p>
      <w:pPr>
        <w:spacing w:after="160"/>
      </w:pPr>
      <w:r>
        <w:t xml:space="preserve">Both expand the CB balance sheet but for different purposes (monetary vs market functioning). Dissonance: facility usage is large enough to materially affect monetary stance.</w:t>
      </w:r>
    </w:p>
    <w:p>
      <w:pPr>
        <w:pStyle w:val="Heading3"/>
        <w:spacing w:after="80" w:before="220"/>
      </w:pPr>
      <w:r>
        <w:rPr>
          <w:b/>
          <w:bCs/>
        </w:rPr>
        <w:t xml:space="preserve">L3c ↔ L3d · Forward Guidance ↔ FX Intervention</w:t>
      </w:r>
    </w:p>
    <w:p>
      <w:pPr>
        <w:spacing w:after="160"/>
      </w:pPr>
      <w:r>
        <w:t xml:space="preserve">Guidance about future rates plus FX action shape the carry trade. Dissonance: dovish guidance + heavy FX support — confused signal on monetary stance vs FX commitment.</w:t>
      </w:r>
    </w:p>
    <w:p>
      <w:pPr>
        <w:pStyle w:val="Heading3"/>
        <w:spacing w:after="80" w:before="220"/>
      </w:pPr>
      <w:r>
        <w:rPr>
          <w:b/>
          <w:bCs/>
        </w:rPr>
        <w:t xml:space="preserve">L3c ↔ L3e · Forward Guidance ↔ Macroprudential</w:t>
      </w:r>
    </w:p>
    <w:p>
      <w:pPr>
        <w:spacing w:after="160"/>
      </w:pPr>
      <w:r>
        <w:t xml:space="preserve">Communication about credit conditions vs macropru actions. Dissonance: hawkish credit-warning guidance with loosening macropru.</w:t>
      </w:r>
    </w:p>
    <w:p>
      <w:pPr>
        <w:pStyle w:val="Heading3"/>
        <w:spacing w:after="80" w:before="220"/>
      </w:pPr>
      <w:r>
        <w:rPr>
          <w:b/>
          <w:bCs/>
        </w:rPr>
        <w:t xml:space="preserve">L3c ↔ L3f · Forward Guidance ↔ Liquidity Facilities</w:t>
      </w:r>
    </w:p>
    <w:p>
      <w:pPr>
        <w:spacing w:after="160"/>
      </w:pPr>
      <w:r>
        <w:t xml:space="preserve">Guidance frames the stress severity; facilities are the action. Dissonance: dovish-but-calm guidance while crisis facilities are quietly being expanded.</w:t>
      </w:r>
    </w:p>
    <w:p>
      <w:pPr>
        <w:pStyle w:val="Heading3"/>
        <w:spacing w:after="80" w:before="220"/>
      </w:pPr>
      <w:r>
        <w:rPr>
          <w:b/>
          <w:bCs/>
        </w:rPr>
        <w:t xml:space="preserve">L3d ↔ L3e · FX Intervention ↔ Macroprudential</w:t>
      </w:r>
    </w:p>
    <w:p>
      <w:pPr>
        <w:spacing w:after="160"/>
      </w:pPr>
      <w:r>
        <w:t xml:space="preserve">Both can target capital flows. Dissonance: FX intervention to defend currency while CFM/macropru loosens flow restrictions — contradictory signals to foreign capital.</w:t>
      </w:r>
    </w:p>
    <w:p>
      <w:pPr>
        <w:pStyle w:val="Heading3"/>
        <w:spacing w:after="80" w:before="220"/>
      </w:pPr>
      <w:r>
        <w:rPr>
          <w:b/>
          <w:bCs/>
        </w:rPr>
        <w:t xml:space="preserve">L3d ↔ L3f · FX Intervention ↔ Liquidity Facilities</w:t>
      </w:r>
    </w:p>
    <w:p>
      <w:pPr>
        <w:spacing w:after="160"/>
      </w:pPr>
      <w:r>
        <w:t xml:space="preserve">FX swap lines bridge the two. Dissonance: domestic FX intervention without accessing available swap line capacity — bank choosing the costlier tool.</w:t>
      </w:r>
    </w:p>
    <w:p>
      <w:pPr>
        <w:pStyle w:val="Heading3"/>
        <w:spacing w:after="80" w:before="220"/>
      </w:pPr>
      <w:r>
        <w:rPr>
          <w:b/>
          <w:bCs/>
        </w:rPr>
        <w:t xml:space="preserve">L3e ↔ L3f · Macroprudential ↔ Liquidity Facilities</w:t>
      </w:r>
    </w:p>
    <w:p>
      <w:pPr>
        <w:spacing w:after="160"/>
      </w:pPr>
      <w:r>
        <w:t xml:space="preserve">Macropru prevents stress; facilities manage it. Dissonance: stress emerging through channels macropru did not cover, forcing reactive facility use.</w:t>
      </w:r>
    </w:p>
    <w:p>
      <w:pPr>
        <w:pStyle w:val="Heading2"/>
        <w:spacing w:after="160" w:before="300"/>
      </w:pPr>
      <w:r>
        <w:t xml:space="preserve">B.4 · L3 → L4 (24)</w:t>
      </w:r>
    </w:p>
    <w:p>
      <w:pPr>
        <w:pStyle w:val="Heading3"/>
        <w:spacing w:after="80" w:before="220"/>
      </w:pPr>
      <w:r>
        <w:rPr>
          <w:b/>
          <w:bCs/>
        </w:rPr>
        <w:t xml:space="preserve">L3a ↔ L4a · Policy Rate ↔ Yield Curve</w:t>
      </w:r>
    </w:p>
    <w:p>
      <w:pPr>
        <w:spacing w:after="160"/>
      </w:pPr>
      <w:r>
        <w:t xml:space="preserve">Policy rate pins the front end. Dissonance: curve disagrees with current rate (steepening or inversion inconsistent with policy stance).</w:t>
      </w:r>
    </w:p>
    <w:p>
      <w:pPr>
        <w:pStyle w:val="Heading3"/>
        <w:spacing w:after="80" w:before="220"/>
      </w:pPr>
      <w:r>
        <w:rPr>
          <w:b/>
          <w:bCs/>
        </w:rPr>
        <w:t xml:space="preserve">L3a ↔ L4b · Policy Rate ↔ FX</w:t>
      </w:r>
    </w:p>
    <w:p>
      <w:pPr>
        <w:spacing w:after="160"/>
      </w:pPr>
      <w:r>
        <w:t xml:space="preserve">Rate differentials drive carry. Dissonance: FX moves perversely against the rate differential — credibility-loss signature.</w:t>
      </w:r>
    </w:p>
    <w:p>
      <w:pPr>
        <w:pStyle w:val="Heading3"/>
        <w:spacing w:after="80" w:before="220"/>
      </w:pPr>
      <w:r>
        <w:rPr>
          <w:b/>
          <w:bCs/>
        </w:rPr>
        <w:t xml:space="preserve">L3a ↔ L4c · Policy Rate ↔ Inflation-Linked</w:t>
      </w:r>
    </w:p>
    <w:p>
      <w:pPr>
        <w:spacing w:after="160"/>
      </w:pPr>
      <w:r>
        <w:t xml:space="preserve">Real yields = nominal − BEI. Dissonance: rate hikes producing no real yield rise — BEIs absorbing the hike (inflation un-anchored).</w:t>
      </w:r>
    </w:p>
    <w:p>
      <w:pPr>
        <w:pStyle w:val="Heading3"/>
        <w:spacing w:after="80" w:before="220"/>
      </w:pPr>
      <w:r>
        <w:rPr>
          <w:b/>
          <w:bCs/>
        </w:rPr>
        <w:t xml:space="preserve">L3a ↔ L4d · Policy Rate ↔ Volatility Surface</w:t>
      </w:r>
    </w:p>
    <w:p>
      <w:pPr>
        <w:spacing w:after="160"/>
      </w:pPr>
      <w:r>
        <w:t xml:space="preserve">Vol prices uncertainty around the rate path. Dissonance: rate decisions met with disproportionate vol spike — surprise factor large.</w:t>
      </w:r>
    </w:p>
    <w:p>
      <w:pPr>
        <w:pStyle w:val="Heading3"/>
        <w:spacing w:after="80" w:before="220"/>
      </w:pPr>
      <w:r>
        <w:rPr>
          <w:b/>
          <w:bCs/>
        </w:rPr>
        <w:t xml:space="preserve">L3b ↔ L4a · Balance Sheet ↔ Yield Curve</w:t>
      </w:r>
    </w:p>
    <w:p>
      <w:pPr>
        <w:spacing w:after="160"/>
      </w:pPr>
      <w:r>
        <w:t xml:space="preserve">Balance sheet operations target the long end via term premium. Dissonance: QE/QT does not produce the expected term premium response — duration absorption ineffective.</w:t>
      </w:r>
    </w:p>
    <w:p>
      <w:pPr>
        <w:pStyle w:val="Heading3"/>
        <w:spacing w:after="80" w:before="220"/>
      </w:pPr>
      <w:r>
        <w:rPr>
          <w:b/>
          <w:bCs/>
        </w:rPr>
        <w:t xml:space="preserve">L3b ↔ L4b · Balance Sheet ↔ FX</w:t>
      </w:r>
    </w:p>
    <w:p>
      <w:pPr>
        <w:spacing w:after="160"/>
      </w:pPr>
      <w:r>
        <w:t xml:space="preserve">QE typically weakens the currency via portfolio rebalance. Dissonance: QE without FX weakening — credibility or international demand absorbing the shock.</w:t>
      </w:r>
    </w:p>
    <w:p>
      <w:pPr>
        <w:pStyle w:val="Heading3"/>
        <w:spacing w:after="80" w:before="220"/>
      </w:pPr>
      <w:r>
        <w:rPr>
          <w:b/>
          <w:bCs/>
        </w:rPr>
        <w:t xml:space="preserve">L3b ↔ L4c · Balance Sheet ↔ Inflation-Linked</w:t>
      </w:r>
    </w:p>
    <w:p>
      <w:pPr>
        <w:spacing w:after="160"/>
      </w:pPr>
      <w:r>
        <w:t xml:space="preserve">QE compresses real yields more than BEIs in standard models. Dissonance: BEIs rise more than expected on QE — fiscal/inflation credibility concern.</w:t>
      </w:r>
    </w:p>
    <w:p>
      <w:pPr>
        <w:pStyle w:val="Heading3"/>
        <w:spacing w:after="80" w:before="220"/>
      </w:pPr>
      <w:r>
        <w:rPr>
          <w:b/>
          <w:bCs/>
        </w:rPr>
        <w:t xml:space="preserve">L3b ↔ L4d · Balance Sheet ↔ Volatility Surface</w:t>
      </w:r>
    </w:p>
    <w:p>
      <w:pPr>
        <w:spacing w:after="160"/>
      </w:pPr>
      <w:r>
        <w:t xml:space="preserve">Balance sheet expansion typically compresses vol via supportive backdrop. Dissonance: operations met with vol spike — usually QT-driven market dysfunction.</w:t>
      </w:r>
    </w:p>
    <w:p>
      <w:pPr>
        <w:pStyle w:val="Heading3"/>
        <w:spacing w:after="80" w:before="220"/>
      </w:pPr>
      <w:r>
        <w:rPr>
          <w:b/>
          <w:bCs/>
        </w:rPr>
        <w:t xml:space="preserve">L3c ↔ L4a · Forward Guidance ↔ Yield Curve</w:t>
      </w:r>
    </w:p>
    <w:p>
      <w:pPr>
        <w:spacing w:after="160"/>
      </w:pPr>
      <w:r>
        <w:t xml:space="preserve">Guidance moves the belly. Dissonance: guidance shifts but the belly does not follow — credibility break.</w:t>
      </w:r>
    </w:p>
    <w:p>
      <w:pPr>
        <w:pStyle w:val="Heading3"/>
        <w:spacing w:after="80" w:before="220"/>
      </w:pPr>
      <w:r>
        <w:rPr>
          <w:b/>
          <w:bCs/>
        </w:rPr>
        <w:t xml:space="preserve">L3c ↔ L4b · Forward Guidance ↔ FX</w:t>
      </w:r>
    </w:p>
    <w:p>
      <w:pPr>
        <w:spacing w:after="160"/>
      </w:pPr>
      <w:r>
        <w:t xml:space="preserve">Guidance affects expected rate differentials, moving FX. Dissonance: dovish guidance fails to weaken currency — carry-trade believers absorbing.</w:t>
      </w:r>
    </w:p>
    <w:p>
      <w:pPr>
        <w:pStyle w:val="Heading3"/>
        <w:spacing w:after="80" w:before="220"/>
      </w:pPr>
      <w:r>
        <w:rPr>
          <w:b/>
          <w:bCs/>
        </w:rPr>
        <w:t xml:space="preserve">L3c ↔ L4c · Forward Guidance ↔ Inflation-Linked</w:t>
      </w:r>
    </w:p>
    <w:p>
      <w:pPr>
        <w:spacing w:after="160"/>
      </w:pPr>
      <w:r>
        <w:t xml:space="preserve">Long-run guidance anchors long BEIs. Dissonance: long BEIs drift despite hawkish guidance — credibility deficit on inflation anchoring.</w:t>
      </w:r>
    </w:p>
    <w:p>
      <w:pPr>
        <w:pStyle w:val="Heading3"/>
        <w:spacing w:after="80" w:before="220"/>
      </w:pPr>
      <w:r>
        <w:rPr>
          <w:b/>
          <w:bCs/>
        </w:rPr>
        <w:t xml:space="preserve">L3c ↔ L4d · Forward Guidance ↔ Volatility Surface</w:t>
      </w:r>
    </w:p>
    <w:p>
      <w:pPr>
        <w:spacing w:after="160"/>
      </w:pPr>
      <w:r>
        <w:t xml:space="preserve">Clear guidance compresses near-term vol. Dissonance: guidance issued but vol stays elevated — market does not believe the path.</w:t>
      </w:r>
    </w:p>
    <w:p>
      <w:pPr>
        <w:pStyle w:val="Heading3"/>
        <w:spacing w:after="80" w:before="220"/>
      </w:pPr>
      <w:r>
        <w:rPr>
          <w:b/>
          <w:bCs/>
        </w:rPr>
        <w:t xml:space="preserve">L3d ↔ L4a · FX Intervention ↔ Yield Curve</w:t>
      </w:r>
    </w:p>
    <w:p>
      <w:pPr>
        <w:spacing w:after="160"/>
      </w:pPr>
      <w:r>
        <w:t xml:space="preserve">Sterilised intervention should not move the curve; unsterilised does. Dissonance: intervention coincides with unexpected curve move.</w:t>
      </w:r>
    </w:p>
    <w:p>
      <w:pPr>
        <w:pStyle w:val="Heading3"/>
        <w:spacing w:after="80" w:before="220"/>
      </w:pPr>
      <w:r>
        <w:rPr>
          <w:b/>
          <w:bCs/>
        </w:rPr>
        <w:t xml:space="preserve">L3d ↔ L4b · FX Intervention ↔ FX</w:t>
      </w:r>
    </w:p>
    <w:p>
      <w:pPr>
        <w:spacing w:after="160"/>
      </w:pPr>
      <w:r>
        <w:t xml:space="preserve">Direct mapping — intervention to move FX. Dissonance: intervention fails to move FX (overwhelming flows) or moves it disproportionately (signalling channel dominant).</w:t>
      </w:r>
    </w:p>
    <w:p>
      <w:pPr>
        <w:pStyle w:val="Heading3"/>
        <w:spacing w:after="80" w:before="220"/>
      </w:pPr>
      <w:r>
        <w:rPr>
          <w:b/>
          <w:bCs/>
        </w:rPr>
        <w:t xml:space="preserve">L3d ↔ L4c · FX Intervention ↔ Inflation-Linked</w:t>
      </w:r>
    </w:p>
    <w:p>
      <w:pPr>
        <w:spacing w:after="160"/>
      </w:pPr>
      <w:r>
        <w:t xml:space="preserve">FX intervention affects expected pass-through to inflation. Dissonance: BEIs not responding to FX moves — pass-through expectations decoupling.</w:t>
      </w:r>
    </w:p>
    <w:p>
      <w:pPr>
        <w:pStyle w:val="Heading3"/>
        <w:spacing w:after="80" w:before="220"/>
      </w:pPr>
      <w:r>
        <w:rPr>
          <w:b/>
          <w:bCs/>
        </w:rPr>
        <w:t xml:space="preserve">L3d ↔ L4d · FX Intervention ↔ Volatility Surface</w:t>
      </w:r>
    </w:p>
    <w:p>
      <w:pPr>
        <w:spacing w:after="160"/>
      </w:pPr>
      <w:r>
        <w:t xml:space="preserve">Intervention typically compresses FX vol; spikes rates vol if seen as desperate. Dissonance: vol spikes after intervention — credibility signal negative.</w:t>
      </w:r>
    </w:p>
    <w:p>
      <w:pPr>
        <w:pStyle w:val="Heading3"/>
        <w:spacing w:after="80" w:before="220"/>
      </w:pPr>
      <w:r>
        <w:rPr>
          <w:b/>
          <w:bCs/>
        </w:rPr>
        <w:t xml:space="preserve">L3e ↔ L4a · Macroprudential ↔ Yield Curve</w:t>
      </w:r>
    </w:p>
    <w:p>
      <w:pPr>
        <w:spacing w:after="160"/>
      </w:pPr>
      <w:r>
        <w:t xml:space="preserve">Macropru affects credit conditions but not directly the risk-free curve. Dissonance: macropru moves with no credit spread response — implementation gap.</w:t>
      </w:r>
    </w:p>
    <w:p>
      <w:pPr>
        <w:pStyle w:val="Heading3"/>
        <w:spacing w:after="80" w:before="220"/>
      </w:pPr>
      <w:r>
        <w:rPr>
          <w:b/>
          <w:bCs/>
        </w:rPr>
        <w:t xml:space="preserve">L3e ↔ L4b · Macroprudential ↔ FX</w:t>
      </w:r>
    </w:p>
    <w:p>
      <w:pPr>
        <w:spacing w:after="160"/>
      </w:pPr>
      <w:r>
        <w:t xml:space="preserve">CFM affects capital flows and thus FX. Dissonance: inflow restrictions imposed but currency keeps strengthening.</w:t>
      </w:r>
    </w:p>
    <w:p>
      <w:pPr>
        <w:pStyle w:val="Heading3"/>
        <w:spacing w:after="80" w:before="220"/>
      </w:pPr>
      <w:r>
        <w:rPr>
          <w:b/>
          <w:bCs/>
        </w:rPr>
        <w:t xml:space="preserve">L3e ↔ L4c · Macroprudential ↔ Inflation-Linked</w:t>
      </w:r>
    </w:p>
    <w:p>
      <w:pPr>
        <w:spacing w:after="160"/>
      </w:pPr>
      <w:r>
        <w:t xml:space="preserve">Indirect linkage via credit cycle dampening. Dissonance: macropru tightening without BEI response — credit channel weak in driving inflation.</w:t>
      </w:r>
    </w:p>
    <w:p>
      <w:pPr>
        <w:pStyle w:val="Heading3"/>
        <w:spacing w:after="80" w:before="220"/>
      </w:pPr>
      <w:r>
        <w:rPr>
          <w:b/>
          <w:bCs/>
        </w:rPr>
        <w:t xml:space="preserve">L3e ↔ L4d · Macroprudential ↔ Volatility Surface</w:t>
      </w:r>
    </w:p>
    <w:p>
      <w:pPr>
        <w:spacing w:after="160"/>
      </w:pPr>
      <w:r>
        <w:t xml:space="preserve">Macropru should suppress excess volatility from credit cycles. Dissonance: macropru active but vol still rising — leverage cycle is in dealers/NBFI, not banks.</w:t>
      </w:r>
    </w:p>
    <w:p>
      <w:pPr>
        <w:pStyle w:val="Heading3"/>
        <w:spacing w:after="80" w:before="220"/>
      </w:pPr>
      <w:r>
        <w:rPr>
          <w:b/>
          <w:bCs/>
        </w:rPr>
        <w:t xml:space="preserve">L3f ↔ L4a · Liquidity Facilities ↔ Yield Curve</w:t>
      </w:r>
    </w:p>
    <w:p>
      <w:pPr>
        <w:spacing w:after="160"/>
      </w:pPr>
      <w:r>
        <w:t xml:space="preserve">Facilities support market functioning, affecting the curve via liquidity premia. Dissonance: facility usage spikes but the curve does not respond — dysfunction localised elsewhere.</w:t>
      </w:r>
    </w:p>
    <w:p>
      <w:pPr>
        <w:pStyle w:val="Heading3"/>
        <w:spacing w:after="80" w:before="220"/>
      </w:pPr>
      <w:r>
        <w:rPr>
          <w:b/>
          <w:bCs/>
        </w:rPr>
        <w:t xml:space="preserve">L3f ↔ L4b · Liquidity Facilities ↔ FX</w:t>
      </w:r>
    </w:p>
    <w:p>
      <w:pPr>
        <w:spacing w:after="160"/>
      </w:pPr>
      <w:r>
        <w:t xml:space="preserve">FX swap lines compress cross-currency basis. Dissonance: dollar funding stress persists despite swap line availability.</w:t>
      </w:r>
    </w:p>
    <w:p>
      <w:pPr>
        <w:pStyle w:val="Heading3"/>
        <w:spacing w:after="80" w:before="220"/>
      </w:pPr>
      <w:r>
        <w:rPr>
          <w:b/>
          <w:bCs/>
        </w:rPr>
        <w:t xml:space="preserve">L3f ↔ L4c · Liquidity Facilities ↔ Inflation-Linked</w:t>
      </w:r>
    </w:p>
    <w:p>
      <w:pPr>
        <w:spacing w:after="160"/>
      </w:pPr>
      <w:r>
        <w:t xml:space="preserve">Indirect; facilities for market functioning should not move BEIs. Dissonance: facility activation moves BEIs — signalling channel where the bank’s announcement of stress affects expectations.</w:t>
      </w:r>
    </w:p>
    <w:p>
      <w:pPr>
        <w:pStyle w:val="Heading3"/>
        <w:spacing w:after="80" w:before="220"/>
      </w:pPr>
      <w:r>
        <w:rPr>
          <w:b/>
          <w:bCs/>
        </w:rPr>
        <w:t xml:space="preserve">L3f ↔ L4d · Liquidity Facilities ↔ Volatility Surface</w:t>
      </w:r>
    </w:p>
    <w:p>
      <w:pPr>
        <w:spacing w:after="160"/>
      </w:pPr>
      <w:r>
        <w:t xml:space="preserve">Facilities suppress crisis-mode vol. Dissonance: facilities extended but vol stays elevated — crisis severity exceeds tool capacity.</w:t>
      </w:r>
    </w:p>
    <w:p>
      <w:pPr>
        <w:pStyle w:val="Heading2"/>
        <w:spacing w:after="160" w:before="300"/>
      </w:pPr>
      <w:r>
        <w:t xml:space="preserve">B.5 · L3 → L5 (30)</w:t>
      </w:r>
    </w:p>
    <w:p>
      <w:pPr>
        <w:pStyle w:val="Heading3"/>
        <w:spacing w:after="80" w:before="220"/>
      </w:pPr>
      <w:r>
        <w:rPr>
          <w:b/>
          <w:bCs/>
        </w:rPr>
        <w:t xml:space="preserve">L3a ↔ L5a · Policy Rate ↔ Banks</w:t>
      </w:r>
    </w:p>
    <w:p>
      <w:pPr>
        <w:spacing w:after="160"/>
      </w:pPr>
      <w:r>
        <w:t xml:space="preserve">Rate hikes pass through to deposit and loan rates via deposit beta and loan pricing. Dissonance: low pass-through indicating bank market power or impaired transmission.</w:t>
      </w:r>
    </w:p>
    <w:p>
      <w:pPr>
        <w:pStyle w:val="Heading3"/>
        <w:spacing w:after="80" w:before="220"/>
      </w:pPr>
      <w:r>
        <w:rPr>
          <w:b/>
          <w:bCs/>
        </w:rPr>
        <w:t xml:space="preserve">L3a ↔ L5b · Policy Rate ↔ NBFI</w:t>
      </w:r>
    </w:p>
    <w:p>
      <w:pPr>
        <w:spacing w:after="160"/>
      </w:pPr>
      <w:r>
        <w:t xml:space="preserve">Rate affects NBFI funding costs and carry trades. Dissonance: rate hikes producing disproportionate NBFI stress (MMF outflows, hedge fund deleveraging).</w:t>
      </w:r>
    </w:p>
    <w:p>
      <w:pPr>
        <w:pStyle w:val="Heading3"/>
        <w:spacing w:after="80" w:before="220"/>
      </w:pPr>
      <w:r>
        <w:rPr>
          <w:b/>
          <w:bCs/>
        </w:rPr>
        <w:t xml:space="preserve">L3a ↔ L5c · Policy Rate ↔ Dealers</w:t>
      </w:r>
    </w:p>
    <w:p>
      <w:pPr>
        <w:spacing w:after="160"/>
      </w:pPr>
      <w:r>
        <w:t xml:space="preserve">Rate affects dealer funding and inventory carry. Dissonance: rate moves coinciding with dealer balance sheet stress beyond expected.</w:t>
      </w:r>
    </w:p>
    <w:p>
      <w:pPr>
        <w:pStyle w:val="Heading3"/>
        <w:spacing w:after="80" w:before="220"/>
      </w:pPr>
      <w:r>
        <w:rPr>
          <w:b/>
          <w:bCs/>
        </w:rPr>
        <w:t xml:space="preserve">L3a ↔ L5d · Policy Rate ↔ Households &amp; Corporates</w:t>
      </w:r>
    </w:p>
    <w:p>
      <w:pPr>
        <w:spacing w:after="160"/>
      </w:pPr>
      <w:r>
        <w:t xml:space="preserve">Rate hits debt service via floating-rate exposure and refinancing. Dissonance: large rate move with small private-sector response — debt structure binding transmission.</w:t>
      </w:r>
    </w:p>
    <w:p>
      <w:pPr>
        <w:pStyle w:val="Heading3"/>
        <w:spacing w:after="80" w:before="220"/>
      </w:pPr>
      <w:r>
        <w:rPr>
          <w:b/>
          <w:bCs/>
        </w:rPr>
        <w:t xml:space="preserve">L3a ↔ L5e · Policy Rate ↔ Sovereign</w:t>
      </w:r>
    </w:p>
    <w:p>
      <w:pPr>
        <w:spacing w:after="160"/>
      </w:pPr>
      <w:r>
        <w:t xml:space="preserve">Rate raises sovereign funding costs. Dissonance: rate hike raises sovereign CDS more than yields imply — fiscal sustainability concern.</w:t>
      </w:r>
    </w:p>
    <w:p>
      <w:pPr>
        <w:pStyle w:val="Heading3"/>
        <w:spacing w:after="80" w:before="220"/>
      </w:pPr>
      <w:r>
        <w:rPr>
          <w:b/>
          <w:bCs/>
        </w:rPr>
        <w:t xml:space="preserve">L3b ↔ L5a · Balance Sheet ↔ Banks</w:t>
      </w:r>
    </w:p>
    <w:p>
      <w:pPr>
        <w:spacing w:after="160"/>
      </w:pPr>
      <w:r>
        <w:t xml:space="preserve">Reserves expansion affects bank liquidity and lending capacity. Dissonance: ample reserves not translating to lending — credit demand or capital constraint binding.</w:t>
      </w:r>
    </w:p>
    <w:p>
      <w:pPr>
        <w:pStyle w:val="Heading3"/>
        <w:spacing w:after="80" w:before="220"/>
      </w:pPr>
      <w:r>
        <w:rPr>
          <w:b/>
          <w:bCs/>
        </w:rPr>
        <w:t xml:space="preserve">L3b ↔ L5b · Balance Sheet ↔ NBFI</w:t>
      </w:r>
    </w:p>
    <w:p>
      <w:pPr>
        <w:spacing w:after="160"/>
      </w:pPr>
      <w:r>
        <w:t xml:space="preserve">QE supports NBFI risk-taking via lower yields and reach for yield. Dissonance: NBFI stress emerging during QE — risk migration outpacing supervision.</w:t>
      </w:r>
    </w:p>
    <w:p>
      <w:pPr>
        <w:pStyle w:val="Heading3"/>
        <w:spacing w:after="80" w:before="220"/>
      </w:pPr>
      <w:r>
        <w:rPr>
          <w:b/>
          <w:bCs/>
        </w:rPr>
        <w:t xml:space="preserve">L3b ↔ L5c · Balance Sheet ↔ Dealers</w:t>
      </w:r>
    </w:p>
    <w:p>
      <w:pPr>
        <w:spacing w:after="160"/>
      </w:pPr>
      <w:r>
        <w:t xml:space="preserve">QE relieves dealer balance sheet by removing duration. Dissonance: dealer stress despite active QE — leverage constraints binding elsewhere.</w:t>
      </w:r>
    </w:p>
    <w:p>
      <w:pPr>
        <w:pStyle w:val="Heading3"/>
        <w:spacing w:after="80" w:before="220"/>
      </w:pPr>
      <w:r>
        <w:rPr>
          <w:b/>
          <w:bCs/>
        </w:rPr>
        <w:t xml:space="preserve">L3b ↔ L5d · Balance Sheet ↔ Households &amp; Corporates</w:t>
      </w:r>
    </w:p>
    <w:p>
      <w:pPr>
        <w:spacing w:after="160"/>
      </w:pPr>
      <w:r>
        <w:t xml:space="preserve">QE supports asset prices, wealth effects, refinancing windows. Dissonance: QE without HH/corporate response — wealth concentrated, debt unaffected.</w:t>
      </w:r>
    </w:p>
    <w:p>
      <w:pPr>
        <w:pStyle w:val="Heading3"/>
        <w:spacing w:after="80" w:before="220"/>
      </w:pPr>
      <w:r>
        <w:rPr>
          <w:b/>
          <w:bCs/>
        </w:rPr>
        <w:t xml:space="preserve">L3b ↔ L5e · Balance Sheet ↔ Sovereign</w:t>
      </w:r>
    </w:p>
    <w:p>
      <w:pPr>
        <w:spacing w:after="160"/>
      </w:pPr>
      <w:r>
        <w:t xml:space="preserve">QE absorbs sovereign issuance, lowering funding costs. Dissonance: QE active but sovereign spreads widen — fiscal dominance signal.</w:t>
      </w:r>
    </w:p>
    <w:p>
      <w:pPr>
        <w:pStyle w:val="Heading3"/>
        <w:spacing w:after="80" w:before="220"/>
      </w:pPr>
      <w:r>
        <w:rPr>
          <w:b/>
          <w:bCs/>
        </w:rPr>
        <w:t xml:space="preserve">L3c ↔ L5a · Forward Guidance ↔ Banks</w:t>
      </w:r>
    </w:p>
    <w:p>
      <w:pPr>
        <w:spacing w:after="160"/>
      </w:pPr>
      <w:r>
        <w:t xml:space="preserve">Guidance shapes bank funding plans and ALM. Dissonance: bank ALM stress despite clear guidance — guidance not believed or duration mismatch already locked in.</w:t>
      </w:r>
    </w:p>
    <w:p>
      <w:pPr>
        <w:pStyle w:val="Heading3"/>
        <w:spacing w:after="80" w:before="220"/>
      </w:pPr>
      <w:r>
        <w:rPr>
          <w:b/>
          <w:bCs/>
        </w:rPr>
        <w:t xml:space="preserve">L3c ↔ L5b · Forward Guidance ↔ NBFI</w:t>
      </w:r>
    </w:p>
    <w:p>
      <w:pPr>
        <w:spacing w:after="160"/>
      </w:pPr>
      <w:r>
        <w:t xml:space="preserve">Guidance affects NBFI positioning. Dissonance: NBFI positioning misaligned with guidance — partial belief or different state view.</w:t>
      </w:r>
    </w:p>
    <w:p>
      <w:pPr>
        <w:pStyle w:val="Heading3"/>
        <w:spacing w:after="80" w:before="220"/>
      </w:pPr>
      <w:r>
        <w:rPr>
          <w:b/>
          <w:bCs/>
        </w:rPr>
        <w:t xml:space="preserve">L3c ↔ L5c · Forward Guidance ↔ Dealers</w:t>
      </w:r>
    </w:p>
    <w:p>
      <w:pPr>
        <w:spacing w:after="160"/>
      </w:pPr>
      <w:r>
        <w:t xml:space="preserve">Guidance compresses dealer hedging costs by reducing uncertainty. Dissonance: dealer hedging activity rises despite clear guidance.</w:t>
      </w:r>
    </w:p>
    <w:p>
      <w:pPr>
        <w:pStyle w:val="Heading3"/>
        <w:spacing w:after="80" w:before="220"/>
      </w:pPr>
      <w:r>
        <w:rPr>
          <w:b/>
          <w:bCs/>
        </w:rPr>
        <w:t xml:space="preserve">L3c ↔ L5d · Forward Guidance ↔ Households &amp; Corporates</w:t>
      </w:r>
    </w:p>
    <w:p>
      <w:pPr>
        <w:spacing w:after="160"/>
      </w:pPr>
      <w:r>
        <w:t xml:space="preserve">Guidance affects refinancing and capex timing. Dissonance: HH/corporate behaviour inconsistent with guidance — disbelief or different planning horizon.</w:t>
      </w:r>
    </w:p>
    <w:p>
      <w:pPr>
        <w:pStyle w:val="Heading3"/>
        <w:spacing w:after="80" w:before="220"/>
      </w:pPr>
      <w:r>
        <w:rPr>
          <w:b/>
          <w:bCs/>
        </w:rPr>
        <w:t xml:space="preserve">L3c ↔ L5e · Forward Guidance ↔ Sovereign</w:t>
      </w:r>
    </w:p>
    <w:p>
      <w:pPr>
        <w:spacing w:after="160"/>
      </w:pPr>
      <w:r>
        <w:t xml:space="preserve">Guidance shapes sovereign issuance strategy and demand. Dissonance: sovereign issuance facing weak demand despite supportive guidance — credibility deficit.</w:t>
      </w:r>
    </w:p>
    <w:p>
      <w:pPr>
        <w:pStyle w:val="Heading3"/>
        <w:spacing w:after="80" w:before="220"/>
      </w:pPr>
      <w:r>
        <w:rPr>
          <w:b/>
          <w:bCs/>
        </w:rPr>
        <w:t xml:space="preserve">L3d ↔ L5a · FX Intervention ↔ Banks</w:t>
      </w:r>
    </w:p>
    <w:p>
      <w:pPr>
        <w:spacing w:after="160"/>
      </w:pPr>
      <w:r>
        <w:t xml:space="preserve">Intervention affects bank FX exposure and reserves. Dissonance: intervention not visible in bank FX position — off-balance-sheet exposure.</w:t>
      </w:r>
    </w:p>
    <w:p>
      <w:pPr>
        <w:pStyle w:val="Heading3"/>
        <w:spacing w:after="80" w:before="220"/>
      </w:pPr>
      <w:r>
        <w:rPr>
          <w:b/>
          <w:bCs/>
        </w:rPr>
        <w:t xml:space="preserve">L3d ↔ L5b · FX Intervention ↔ NBFI</w:t>
      </w:r>
    </w:p>
    <w:p>
      <w:pPr>
        <w:spacing w:after="160"/>
      </w:pPr>
      <w:r>
        <w:t xml:space="preserve">Intervention affects NBFI carry positioning. Dissonance: NBFI flow data inconsistent with intervention scale — flow recycling or hidden positioning.</w:t>
      </w:r>
    </w:p>
    <w:p>
      <w:pPr>
        <w:pStyle w:val="Heading3"/>
        <w:spacing w:after="80" w:before="220"/>
      </w:pPr>
      <w:r>
        <w:rPr>
          <w:b/>
          <w:bCs/>
        </w:rPr>
        <w:t xml:space="preserve">L3d ↔ L5c · FX Intervention ↔ Dealers</w:t>
      </w:r>
    </w:p>
    <w:p>
      <w:pPr>
        <w:spacing w:after="160"/>
      </w:pPr>
      <w:r>
        <w:t xml:space="preserve">Dealers facilitate FX intervention transactions. Dissonance: large intervention but dealer FX inventories stable — intermediation friction.</w:t>
      </w:r>
    </w:p>
    <w:p>
      <w:pPr>
        <w:pStyle w:val="Heading3"/>
        <w:spacing w:after="80" w:before="220"/>
      </w:pPr>
      <w:r>
        <w:rPr>
          <w:b/>
          <w:bCs/>
        </w:rPr>
        <w:t xml:space="preserve">L3d ↔ L5d · FX Intervention ↔ Households &amp; Corporates</w:t>
      </w:r>
    </w:p>
    <w:p>
      <w:pPr>
        <w:spacing w:after="160"/>
      </w:pPr>
      <w:r>
        <w:t xml:space="preserve">Intervention smooths FX pass-through. Dissonance: corporate FX hedging stress despite active intervention — intervention not seen as durable.</w:t>
      </w:r>
    </w:p>
    <w:p>
      <w:pPr>
        <w:pStyle w:val="Heading3"/>
        <w:spacing w:after="80" w:before="220"/>
      </w:pPr>
      <w:r>
        <w:rPr>
          <w:b/>
          <w:bCs/>
        </w:rPr>
        <w:t xml:space="preserve">L3d ↔ L5e · FX Intervention ↔ Sovereign</w:t>
      </w:r>
    </w:p>
    <w:p>
      <w:pPr>
        <w:spacing w:after="160"/>
      </w:pPr>
      <w:r>
        <w:t xml:space="preserve">Intervention burns reserves, affecting sovereign balance sheet. Dissonance: reserves declining fast but sovereign CDS does not price the stress.</w:t>
      </w:r>
    </w:p>
    <w:p>
      <w:pPr>
        <w:pStyle w:val="Heading3"/>
        <w:spacing w:after="80" w:before="220"/>
      </w:pPr>
      <w:r>
        <w:rPr>
          <w:b/>
          <w:bCs/>
        </w:rPr>
        <w:t xml:space="preserve">L3e ↔ L5a · Macroprudential ↔ Banks</w:t>
      </w:r>
    </w:p>
    <w:p>
      <w:pPr>
        <w:spacing w:after="160"/>
      </w:pPr>
      <w:r>
        <w:t xml:space="preserve">Macropru directly targets bank balance sheets. Dissonance: macropru tightened but bank lending continues to grow — circumvention or grandfathering.</w:t>
      </w:r>
    </w:p>
    <w:p>
      <w:pPr>
        <w:pStyle w:val="Heading3"/>
        <w:spacing w:after="80" w:before="220"/>
      </w:pPr>
      <w:r>
        <w:rPr>
          <w:b/>
          <w:bCs/>
        </w:rPr>
        <w:t xml:space="preserve">L3e ↔ L5b · Macroprudential ↔ NBFI</w:t>
      </w:r>
    </w:p>
    <w:p>
      <w:pPr>
        <w:spacing w:after="160"/>
      </w:pPr>
      <w:r>
        <w:t xml:space="preserve">NBFI sits outside most macropru perimeters. Dissonance: macropru tightening on banks while NBFI risk builds — risk migration.</w:t>
      </w:r>
    </w:p>
    <w:p>
      <w:pPr>
        <w:pStyle w:val="Heading3"/>
        <w:spacing w:after="80" w:before="220"/>
      </w:pPr>
      <w:r>
        <w:rPr>
          <w:b/>
          <w:bCs/>
        </w:rPr>
        <w:t xml:space="preserve">L3e ↔ L5c · Macroprudential ↔ Dealers</w:t>
      </w:r>
    </w:p>
    <w:p>
      <w:pPr>
        <w:spacing w:after="160"/>
      </w:pPr>
      <w:r>
        <w:t xml:space="preserve">Dealers subject to capital rules (SLR, G-SIB). Dissonance: macropru tightening dealer constraints while liquidity needs are rising.</w:t>
      </w:r>
    </w:p>
    <w:p>
      <w:pPr>
        <w:pStyle w:val="Heading3"/>
        <w:spacing w:after="80" w:before="220"/>
      </w:pPr>
      <w:r>
        <w:rPr>
          <w:b/>
          <w:bCs/>
        </w:rPr>
        <w:t xml:space="preserve">L3e ↔ L5d · Macroprudential ↔ Households &amp; Corporates</w:t>
      </w:r>
    </w:p>
    <w:p>
      <w:pPr>
        <w:spacing w:after="160"/>
      </w:pPr>
      <w:r>
        <w:t xml:space="preserve">LTV and DSTI caps target households directly. Dissonance: caps tightened but household credit continues to expand — informal channels.</w:t>
      </w:r>
    </w:p>
    <w:p>
      <w:pPr>
        <w:pStyle w:val="Heading3"/>
        <w:spacing w:after="80" w:before="220"/>
      </w:pPr>
      <w:r>
        <w:rPr>
          <w:b/>
          <w:bCs/>
        </w:rPr>
        <w:t xml:space="preserve">L3e ↔ L5e · Macroprudential ↔ Sovereign</w:t>
      </w:r>
    </w:p>
    <w:p>
      <w:pPr>
        <w:spacing w:after="160"/>
      </w:pPr>
      <w:r>
        <w:t xml:space="preserve">Sovereign concentration limits, Basel zero-risk-weight rules shape the bank-sovereign linkage. Dissonance: rules tightened but bank sovereign exposure grows — sovereign-bank loop intensifying.</w:t>
      </w:r>
    </w:p>
    <w:p>
      <w:pPr>
        <w:pStyle w:val="Heading3"/>
        <w:spacing w:after="80" w:before="220"/>
      </w:pPr>
      <w:r>
        <w:rPr>
          <w:b/>
          <w:bCs/>
        </w:rPr>
        <w:t xml:space="preserve">L3f ↔ L5a · Liquidity Facilities ↔ Banks</w:t>
      </w:r>
    </w:p>
    <w:p>
      <w:pPr>
        <w:spacing w:after="160"/>
      </w:pPr>
      <w:r>
        <w:t xml:space="preserve">Discount window for banks; primary stress relief channel. Dissonance: bank stress signals high but discount window underused — stigma effect.</w:t>
      </w:r>
    </w:p>
    <w:p>
      <w:pPr>
        <w:pStyle w:val="Heading3"/>
        <w:spacing w:after="80" w:before="220"/>
      </w:pPr>
      <w:r>
        <w:rPr>
          <w:b/>
          <w:bCs/>
        </w:rPr>
        <w:t xml:space="preserve">L3f ↔ L5b · Liquidity Facilities ↔ NBFI</w:t>
      </w:r>
    </w:p>
    <w:p>
      <w:pPr>
        <w:spacing w:after="160"/>
      </w:pPr>
      <w:r>
        <w:t xml:space="preserve">Most facilities exclude NBFIs (except specific crisis tools). Dissonance: NBFI stress without facility access — coverage gap.</w:t>
      </w:r>
    </w:p>
    <w:p>
      <w:pPr>
        <w:pStyle w:val="Heading3"/>
        <w:spacing w:after="80" w:before="220"/>
      </w:pPr>
      <w:r>
        <w:rPr>
          <w:b/>
          <w:bCs/>
        </w:rPr>
        <w:t xml:space="preserve">L3f ↔ L5c · Liquidity Facilities ↔ Dealers</w:t>
      </w:r>
    </w:p>
    <w:p>
      <w:pPr>
        <w:spacing w:after="160"/>
      </w:pPr>
      <w:r>
        <w:t xml:space="preserve">PDCF, SRF for dealers. Dissonance: dealer stress but PDCF access constrained — collateral or operational frictions.</w:t>
      </w:r>
    </w:p>
    <w:p>
      <w:pPr>
        <w:pStyle w:val="Heading3"/>
        <w:spacing w:after="80" w:before="220"/>
      </w:pPr>
      <w:r>
        <w:rPr>
          <w:b/>
          <w:bCs/>
        </w:rPr>
        <w:t xml:space="preserve">L3f ↔ L5d · Liquidity Facilities ↔ Households &amp; Corporates</w:t>
      </w:r>
    </w:p>
    <w:p>
      <w:pPr>
        <w:spacing w:after="160"/>
      </w:pPr>
      <w:r>
        <w:t xml:space="preserve">Indirect (Main Street, PPP-style crisis tools). Dissonance: HH/corporate funding stress not addressed by available facilities.</w:t>
      </w:r>
    </w:p>
    <w:p>
      <w:pPr>
        <w:pStyle w:val="Heading3"/>
        <w:spacing w:after="80" w:before="220"/>
      </w:pPr>
      <w:r>
        <w:rPr>
          <w:b/>
          <w:bCs/>
        </w:rPr>
        <w:t xml:space="preserve">L3f ↔ L5e · Liquidity Facilities ↔ Sovereign</w:t>
      </w:r>
    </w:p>
    <w:p>
      <w:pPr>
        <w:spacing w:after="160"/>
      </w:pPr>
      <w:r>
        <w:t xml:space="preserve">Facilities can require Treasury indemnification. Dissonance: facility usage requiring fiscal backstop — sovereign-CB linkage stressed.</w:t>
      </w:r>
    </w:p>
    <w:p>
      <w:pPr>
        <w:pStyle w:val="Heading2"/>
        <w:spacing w:after="160" w:before="300"/>
      </w:pPr>
      <w:r>
        <w:t xml:space="preserve">B.6 · L3 → L6 / L7 / L8 / L9 / L10 (42)</w:t>
      </w:r>
    </w:p>
    <w:p>
      <w:pPr>
        <w:pStyle w:val="Heading3"/>
        <w:spacing w:after="80" w:before="220"/>
      </w:pPr>
      <w:r>
        <w:rPr>
          <w:b/>
          <w:bCs/>
        </w:rPr>
        <w:t xml:space="preserve">L3a ↔ L6 · Policy Rate ↔ Expectations</w:t>
      </w:r>
    </w:p>
    <w:p>
      <w:pPr>
        <w:spacing w:after="160"/>
      </w:pPr>
      <w:r>
        <w:t xml:space="preserve">Rate moves shape near-term policy expectations and feedback on inflation expectations. Dissonance: rate hike fails to shift expectations — credibility issue.</w:t>
      </w:r>
    </w:p>
    <w:p>
      <w:pPr>
        <w:pStyle w:val="Heading3"/>
        <w:spacing w:after="80" w:before="220"/>
      </w:pPr>
      <w:r>
        <w:rPr>
          <w:b/>
          <w:bCs/>
        </w:rPr>
        <w:t xml:space="preserve">L3b ↔ L6 · Balance Sheet ↔ Expectations</w:t>
      </w:r>
    </w:p>
    <w:p>
      <w:pPr>
        <w:spacing w:after="160"/>
      </w:pPr>
      <w:r>
        <w:t xml:space="preserve">QE/QT shape expectations about future stance and inflation. Dissonance: QE fails to lift inflation expectations from below target (the Japan story).</w:t>
      </w:r>
    </w:p>
    <w:p>
      <w:pPr>
        <w:pStyle w:val="Heading3"/>
        <w:spacing w:after="80" w:before="220"/>
      </w:pPr>
      <w:r>
        <w:rPr>
          <w:b/>
          <w:bCs/>
        </w:rPr>
        <w:t xml:space="preserve">L3c ↔ L6 · Forward Guidance ↔ Expectations</w:t>
      </w:r>
    </w:p>
    <w:p>
      <w:pPr>
        <w:spacing w:after="160"/>
      </w:pPr>
      <w:r>
        <w:t xml:space="preserve">Direct mapping — guidance is meant to shape expectations. Dissonance: stated guidance not reflected in expectations data — credibility deficit.</w:t>
      </w:r>
    </w:p>
    <w:p>
      <w:pPr>
        <w:pStyle w:val="Heading3"/>
        <w:spacing w:after="80" w:before="220"/>
      </w:pPr>
      <w:r>
        <w:rPr>
          <w:b/>
          <w:bCs/>
        </w:rPr>
        <w:t xml:space="preserve">L3d ↔ L6 · FX Intervention ↔ Expectations</w:t>
      </w:r>
    </w:p>
    <w:p>
      <w:pPr>
        <w:spacing w:after="160"/>
      </w:pPr>
      <w:r>
        <w:t xml:space="preserve">Intervention shapes FX expectations and inflation pass-through. Dissonance: heavy intervention with inflation expectations still drifting — pass-through unanchored.</w:t>
      </w:r>
    </w:p>
    <w:p>
      <w:pPr>
        <w:pStyle w:val="Heading3"/>
        <w:spacing w:after="80" w:before="220"/>
      </w:pPr>
      <w:r>
        <w:rPr>
          <w:b/>
          <w:bCs/>
        </w:rPr>
        <w:t xml:space="preserve">L3e ↔ L6 · Macroprudential ↔ Expectations</w:t>
      </w:r>
    </w:p>
    <w:p>
      <w:pPr>
        <w:spacing w:after="160"/>
      </w:pPr>
      <w:r>
        <w:t xml:space="preserve">Macropru affects credit-cycle expectations. Dissonance: tightening macropru without dampening credit-cycle expectations.</w:t>
      </w:r>
    </w:p>
    <w:p>
      <w:pPr>
        <w:pStyle w:val="Heading3"/>
        <w:spacing w:after="80" w:before="220"/>
      </w:pPr>
      <w:r>
        <w:rPr>
          <w:b/>
          <w:bCs/>
        </w:rPr>
        <w:t xml:space="preserve">L3f ↔ L6 · Liquidity Facilities ↔ Expectations</w:t>
      </w:r>
    </w:p>
    <w:p>
      <w:pPr>
        <w:spacing w:after="160"/>
      </w:pPr>
      <w:r>
        <w:t xml:space="preserve">Facility activation shapes crisis expectations. Dissonance: facility activation amplifies rather than dampens stress expectations.</w:t>
      </w:r>
    </w:p>
    <w:p>
      <w:pPr>
        <w:pStyle w:val="Heading3"/>
        <w:spacing w:after="80" w:before="220"/>
      </w:pPr>
      <w:r>
        <w:rPr>
          <w:b/>
          <w:bCs/>
        </w:rPr>
        <w:t xml:space="preserve">L3a ↔ L7 · Policy Rate ↔ Financial Conditions</w:t>
      </w:r>
    </w:p>
    <w:p>
      <w:pPr>
        <w:spacing w:after="160"/>
      </w:pPr>
      <w:r>
        <w:t xml:space="preserve">Rate is one component of FCI. Dissonance: rate hikes but FCI eases via other components — net stance opposite of intent.</w:t>
      </w:r>
    </w:p>
    <w:p>
      <w:pPr>
        <w:pStyle w:val="Heading3"/>
        <w:spacing w:after="80" w:before="220"/>
      </w:pPr>
      <w:r>
        <w:rPr>
          <w:b/>
          <w:bCs/>
        </w:rPr>
        <w:t xml:space="preserve">L3b ↔ L7 · Balance Sheet ↔ Financial Conditions</w:t>
      </w:r>
    </w:p>
    <w:p>
      <w:pPr>
        <w:spacing w:after="160"/>
      </w:pPr>
      <w:r>
        <w:t xml:space="preserve">Balance sheet affects long-end rates and credit spreads in FCI. Dissonance: balance sheet contraction not showing up in FCI.</w:t>
      </w:r>
    </w:p>
    <w:p>
      <w:pPr>
        <w:pStyle w:val="Heading3"/>
        <w:spacing w:after="80" w:before="220"/>
      </w:pPr>
      <w:r>
        <w:rPr>
          <w:b/>
          <w:bCs/>
        </w:rPr>
        <w:t xml:space="preserve">L3c ↔ L7 · Forward Guidance ↔ Financial Conditions</w:t>
      </w:r>
    </w:p>
    <w:p>
      <w:pPr>
        <w:spacing w:after="160"/>
      </w:pPr>
      <w:r>
        <w:t xml:space="preserve">Guidance shapes expectations of future FCI. Dissonance: guidance does not move FCI — words do not translate.</w:t>
      </w:r>
    </w:p>
    <w:p>
      <w:pPr>
        <w:pStyle w:val="Heading3"/>
        <w:spacing w:after="80" w:before="220"/>
      </w:pPr>
      <w:r>
        <w:rPr>
          <w:b/>
          <w:bCs/>
        </w:rPr>
        <w:t xml:space="preserve">L3d ↔ L7 · FX Intervention ↔ Financial Conditions</w:t>
      </w:r>
    </w:p>
    <w:p>
      <w:pPr>
        <w:spacing w:after="160"/>
      </w:pPr>
      <w:r>
        <w:t xml:space="preserve">FX is an FCI component. Dissonance: intervention does not move the trade-weighted FX component of FCI.</w:t>
      </w:r>
    </w:p>
    <w:p>
      <w:pPr>
        <w:pStyle w:val="Heading3"/>
        <w:spacing w:after="80" w:before="220"/>
      </w:pPr>
      <w:r>
        <w:rPr>
          <w:b/>
          <w:bCs/>
        </w:rPr>
        <w:t xml:space="preserve">L3e ↔ L7 · Macroprudential ↔ Financial Conditions</w:t>
      </w:r>
    </w:p>
    <w:p>
      <w:pPr>
        <w:spacing w:after="160"/>
      </w:pPr>
      <w:r>
        <w:t xml:space="preserve">Macropru affects credit spreads in FCI. Dissonance: macropru tightening without FCI tightening.</w:t>
      </w:r>
    </w:p>
    <w:p>
      <w:pPr>
        <w:pStyle w:val="Heading3"/>
        <w:spacing w:after="80" w:before="220"/>
      </w:pPr>
      <w:r>
        <w:rPr>
          <w:b/>
          <w:bCs/>
        </w:rPr>
        <w:t xml:space="preserve">L3f ↔ L7 · Liquidity Facilities ↔ Financial Conditions</w:t>
      </w:r>
    </w:p>
    <w:p>
      <w:pPr>
        <w:spacing w:after="160"/>
      </w:pPr>
      <w:r>
        <w:t xml:space="preserve">Facilities ease funding-related FCI components. Dissonance: facilities active but FCI continues to tighten — stress severity high.</w:t>
      </w:r>
    </w:p>
    <w:p>
      <w:pPr>
        <w:pStyle w:val="Heading3"/>
        <w:spacing w:after="80" w:before="220"/>
      </w:pPr>
      <w:r>
        <w:rPr>
          <w:b/>
          <w:bCs/>
        </w:rPr>
        <w:t xml:space="preserve">L3a ↔ L8 · Policy Rate ↔ Valuation Drivers</w:t>
      </w:r>
    </w:p>
    <w:p>
      <w:pPr>
        <w:spacing w:after="160"/>
      </w:pPr>
      <w:r>
        <w:t xml:space="preserve">Rate sets the risk-free component of discount rate. Dissonance: rate move not flowing through to discount rates — segmentation.</w:t>
      </w:r>
    </w:p>
    <w:p>
      <w:pPr>
        <w:pStyle w:val="Heading3"/>
        <w:spacing w:after="80" w:before="220"/>
      </w:pPr>
      <w:r>
        <w:rPr>
          <w:b/>
          <w:bCs/>
        </w:rPr>
        <w:t xml:space="preserve">L3b ↔ L8 · Balance Sheet ↔ Valuation Drivers</w:t>
      </w:r>
    </w:p>
    <w:p>
      <w:pPr>
        <w:spacing w:after="160"/>
      </w:pPr>
      <w:r>
        <w:t xml:space="preserve">Balance sheet operations affect term premium and convenience yield. Dissonance: balance sheet move without expected driver response.</w:t>
      </w:r>
    </w:p>
    <w:p>
      <w:pPr>
        <w:pStyle w:val="Heading3"/>
        <w:spacing w:after="80" w:before="220"/>
      </w:pPr>
      <w:r>
        <w:rPr>
          <w:b/>
          <w:bCs/>
        </w:rPr>
        <w:t xml:space="preserve">L3c ↔ L8 · Forward Guidance ↔ Valuation Drivers</w:t>
      </w:r>
    </w:p>
    <w:p>
      <w:pPr>
        <w:spacing w:after="160"/>
      </w:pPr>
      <w:r>
        <w:t xml:space="preserve">Guidance shapes expected future discount rates. Dissonance: guidance moves but forward discount rates do not.</w:t>
      </w:r>
    </w:p>
    <w:p>
      <w:pPr>
        <w:pStyle w:val="Heading3"/>
        <w:spacing w:after="80" w:before="220"/>
      </w:pPr>
      <w:r>
        <w:rPr>
          <w:b/>
          <w:bCs/>
        </w:rPr>
        <w:t xml:space="preserve">L3d ↔ L8 · FX Intervention ↔ Valuation Drivers</w:t>
      </w:r>
    </w:p>
    <w:p>
      <w:pPr>
        <w:spacing w:after="160"/>
      </w:pPr>
      <w:r>
        <w:t xml:space="preserve">Intervention affects FX risk premium. Dissonance: intervention without FX risk premium response.</w:t>
      </w:r>
    </w:p>
    <w:p>
      <w:pPr>
        <w:pStyle w:val="Heading3"/>
        <w:spacing w:after="80" w:before="220"/>
      </w:pPr>
      <w:r>
        <w:rPr>
          <w:b/>
          <w:bCs/>
        </w:rPr>
        <w:t xml:space="preserve">L3e ↔ L8 · Macroprudential ↔ Valuation Drivers</w:t>
      </w:r>
    </w:p>
    <w:p>
      <w:pPr>
        <w:spacing w:after="160"/>
      </w:pPr>
      <w:r>
        <w:t xml:space="preserve">Macropru affects credit risk premium. Dissonance: tightening without credit spread response.</w:t>
      </w:r>
    </w:p>
    <w:p>
      <w:pPr>
        <w:pStyle w:val="Heading3"/>
        <w:spacing w:after="80" w:before="220"/>
      </w:pPr>
      <w:r>
        <w:rPr>
          <w:b/>
          <w:bCs/>
        </w:rPr>
        <w:t xml:space="preserve">L3f ↔ L8 · Liquidity Facilities ↔ Valuation Drivers</w:t>
      </w:r>
    </w:p>
    <w:p>
      <w:pPr>
        <w:spacing w:after="160"/>
      </w:pPr>
      <w:r>
        <w:t xml:space="preserve">Facilities compress liquidity premia. Dissonance: facility usage without liquidity premium compression — facility ineffective.</w:t>
      </w:r>
    </w:p>
    <w:p>
      <w:pPr>
        <w:pStyle w:val="Heading3"/>
        <w:spacing w:after="80" w:before="220"/>
      </w:pPr>
      <w:r>
        <w:rPr>
          <w:b/>
          <w:bCs/>
        </w:rPr>
        <w:t xml:space="preserve">L3a ↔ L9 · Policy Rate ↔ Asset Prices</w:t>
      </w:r>
    </w:p>
    <w:p>
      <w:pPr>
        <w:spacing w:after="160"/>
      </w:pPr>
      <w:r>
        <w:t xml:space="preserve">Rate moves should produce predictable asset price responses. Dissonance: perverse asset response (equities rally on hawkish hike).</w:t>
      </w:r>
    </w:p>
    <w:p>
      <w:pPr>
        <w:pStyle w:val="Heading3"/>
        <w:spacing w:after="80" w:before="220"/>
      </w:pPr>
      <w:r>
        <w:rPr>
          <w:b/>
          <w:bCs/>
        </w:rPr>
        <w:t xml:space="preserve">L3b ↔ L9 · Balance Sheet ↔ Asset Prices</w:t>
      </w:r>
    </w:p>
    <w:p>
      <w:pPr>
        <w:spacing w:after="160"/>
      </w:pPr>
      <w:r>
        <w:t xml:space="preserve">QE supports asset prices via duration absorption and signalling. Dissonance: QE without asset price response — wealth-effect transmission broken.</w:t>
      </w:r>
    </w:p>
    <w:p>
      <w:pPr>
        <w:pStyle w:val="Heading3"/>
        <w:spacing w:after="80" w:before="220"/>
      </w:pPr>
      <w:r>
        <w:rPr>
          <w:b/>
          <w:bCs/>
        </w:rPr>
        <w:t xml:space="preserve">L3c ↔ L9 · Forward Guidance ↔ Asset Prices</w:t>
      </w:r>
    </w:p>
    <w:p>
      <w:pPr>
        <w:spacing w:after="160"/>
      </w:pPr>
      <w:r>
        <w:t xml:space="preserve">Guidance moves asset prices through expected path. Dissonance: guidance shift without asset price response — guidance ignored.</w:t>
      </w:r>
    </w:p>
    <w:p>
      <w:pPr>
        <w:pStyle w:val="Heading3"/>
        <w:spacing w:after="80" w:before="220"/>
      </w:pPr>
      <w:r>
        <w:rPr>
          <w:b/>
          <w:bCs/>
        </w:rPr>
        <w:t xml:space="preserve">L3d ↔ L9 · FX Intervention ↔ Asset Prices</w:t>
      </w:r>
    </w:p>
    <w:p>
      <w:pPr>
        <w:spacing w:after="160"/>
      </w:pPr>
      <w:r>
        <w:t xml:space="preserve">Intervention affects FX-linked asset prices. Dissonance: intervention with no FX-asset response — credibility leak.</w:t>
      </w:r>
    </w:p>
    <w:p>
      <w:pPr>
        <w:pStyle w:val="Heading3"/>
        <w:spacing w:after="80" w:before="220"/>
      </w:pPr>
      <w:r>
        <w:rPr>
          <w:b/>
          <w:bCs/>
        </w:rPr>
        <w:t xml:space="preserve">L3e ↔ L9 · Macroprudential ↔ Asset Prices</w:t>
      </w:r>
    </w:p>
    <w:p>
      <w:pPr>
        <w:spacing w:after="160"/>
      </w:pPr>
      <w:r>
        <w:t xml:space="preserve">Macropru affects credit-sensitive assets. Dissonance: macropru without spillover to housing or corporate credit prices.</w:t>
      </w:r>
    </w:p>
    <w:p>
      <w:pPr>
        <w:pStyle w:val="Heading3"/>
        <w:spacing w:after="80" w:before="220"/>
      </w:pPr>
      <w:r>
        <w:rPr>
          <w:b/>
          <w:bCs/>
        </w:rPr>
        <w:t xml:space="preserve">L3f ↔ L9 · Liquidity Facilities ↔ Asset Prices</w:t>
      </w:r>
    </w:p>
    <w:p>
      <w:pPr>
        <w:spacing w:after="160"/>
      </w:pPr>
      <w:r>
        <w:t xml:space="preserve">Facilities stabilise stressed asset prices. Dissonance: facility activation without expected asset-price stabilisation.</w:t>
      </w:r>
    </w:p>
    <w:p>
      <w:pPr>
        <w:pStyle w:val="Heading3"/>
        <w:spacing w:after="80" w:before="220"/>
      </w:pPr>
      <w:r>
        <w:rPr>
          <w:b/>
          <w:bCs/>
        </w:rPr>
        <w:t xml:space="preserve">L3a ↔ L10a · Policy Rate ↔ Real Economy</w:t>
      </w:r>
    </w:p>
    <w:p>
      <w:pPr>
        <w:spacing w:after="160"/>
      </w:pPr>
      <w:r>
        <w:t xml:space="preserve">Rate transmission to demand and inflation. Dissonance: rate moves without expected real-economy response.</w:t>
      </w:r>
    </w:p>
    <w:p>
      <w:pPr>
        <w:pStyle w:val="Heading3"/>
        <w:spacing w:after="80" w:before="220"/>
      </w:pPr>
      <w:r>
        <w:rPr>
          <w:b/>
          <w:bCs/>
        </w:rPr>
        <w:t xml:space="preserve">L3a ↔ L10b · Policy Rate ↔ Financial Stability</w:t>
      </w:r>
    </w:p>
    <w:p>
      <w:pPr>
        <w:spacing w:after="160"/>
      </w:pPr>
      <w:r>
        <w:t xml:space="preserve">Rate moves affect leverage dynamics. Dissonance: rate hike triggers financial-stability event (SVB).</w:t>
      </w:r>
    </w:p>
    <w:p>
      <w:pPr>
        <w:pStyle w:val="Heading3"/>
        <w:spacing w:after="80" w:before="220"/>
      </w:pPr>
      <w:r>
        <w:rPr>
          <w:b/>
          <w:bCs/>
        </w:rPr>
        <w:t xml:space="preserve">L3a ↔ L10c · Policy Rate ↔ Global Spillovers</w:t>
      </w:r>
    </w:p>
    <w:p>
      <w:pPr>
        <w:spacing w:after="160"/>
      </w:pPr>
      <w:r>
        <w:t xml:space="preserve">Rate moves spill over globally. Dissonance: domestic rate move generates outsized international response.</w:t>
      </w:r>
    </w:p>
    <w:p>
      <w:pPr>
        <w:pStyle w:val="Heading3"/>
        <w:spacing w:after="80" w:before="220"/>
      </w:pPr>
      <w:r>
        <w:rPr>
          <w:b/>
          <w:bCs/>
        </w:rPr>
        <w:t xml:space="preserve">L3b ↔ L10a · Balance Sheet ↔ Real Economy</w:t>
      </w:r>
    </w:p>
    <w:p>
      <w:pPr>
        <w:spacing w:after="160"/>
      </w:pPr>
      <w:r>
        <w:t xml:space="preserve">QE supports demand via wealth effects and cost of capital. Dissonance: QE without real-economy response — the Japan story.</w:t>
      </w:r>
    </w:p>
    <w:p>
      <w:pPr>
        <w:pStyle w:val="Heading3"/>
        <w:spacing w:after="80" w:before="220"/>
      </w:pPr>
      <w:r>
        <w:rPr>
          <w:b/>
          <w:bCs/>
        </w:rPr>
        <w:t xml:space="preserve">L3b ↔ L10b · Balance Sheet ↔ Financial Stability</w:t>
      </w:r>
    </w:p>
    <w:p>
      <w:pPr>
        <w:spacing w:after="160"/>
      </w:pPr>
      <w:r>
        <w:t xml:space="preserve">QE can build leverage; QT can unwind disorderly. Dissonance: balance sheet operations produce financial-stability strain.</w:t>
      </w:r>
    </w:p>
    <w:p>
      <w:pPr>
        <w:pStyle w:val="Heading3"/>
        <w:spacing w:after="80" w:before="220"/>
      </w:pPr>
      <w:r>
        <w:rPr>
          <w:b/>
          <w:bCs/>
        </w:rPr>
        <w:t xml:space="preserve">L3b ↔ L10c · Balance Sheet ↔ Global Spillovers</w:t>
      </w:r>
    </w:p>
    <w:p>
      <w:pPr>
        <w:spacing w:after="160"/>
      </w:pPr>
      <w:r>
        <w:t xml:space="preserve">QE produces global yield compression and capital outflows. Dissonance: QE without expected EM capital inflow response.</w:t>
      </w:r>
    </w:p>
    <w:p>
      <w:pPr>
        <w:pStyle w:val="Heading3"/>
        <w:spacing w:after="80" w:before="220"/>
      </w:pPr>
      <w:r>
        <w:rPr>
          <w:b/>
          <w:bCs/>
        </w:rPr>
        <w:t xml:space="preserve">L3c ↔ L10a · Forward Guidance ↔ Real Economy</w:t>
      </w:r>
    </w:p>
    <w:p>
      <w:pPr>
        <w:spacing w:after="160"/>
      </w:pPr>
      <w:r>
        <w:t xml:space="preserve">Guidance affects planning and capex. Dissonance: guidance shift without real-economy planning response.</w:t>
      </w:r>
    </w:p>
    <w:p>
      <w:pPr>
        <w:pStyle w:val="Heading3"/>
        <w:spacing w:after="80" w:before="220"/>
      </w:pPr>
      <w:r>
        <w:rPr>
          <w:b/>
          <w:bCs/>
        </w:rPr>
        <w:t xml:space="preserve">L3c ↔ L10b · Forward Guidance ↔ Financial Stability</w:t>
      </w:r>
    </w:p>
    <w:p>
      <w:pPr>
        <w:spacing w:after="160"/>
      </w:pPr>
      <w:r>
        <w:t xml:space="preserve">Guidance affects leverage trajectories via expected rate path. Dissonance: hawkish guidance fails to dampen leverage.</w:t>
      </w:r>
    </w:p>
    <w:p>
      <w:pPr>
        <w:pStyle w:val="Heading3"/>
        <w:spacing w:after="80" w:before="220"/>
      </w:pPr>
      <w:r>
        <w:rPr>
          <w:b/>
          <w:bCs/>
        </w:rPr>
        <w:t xml:space="preserve">L3c ↔ L10c · Forward Guidance ↔ Global Spillovers</w:t>
      </w:r>
    </w:p>
    <w:p>
      <w:pPr>
        <w:spacing w:after="160"/>
      </w:pPr>
      <w:r>
        <w:t xml:space="preserve">Guidance moves global rate expectations. Dissonance: guidance change with no peer-country response — guidance localised.</w:t>
      </w:r>
    </w:p>
    <w:p>
      <w:pPr>
        <w:pStyle w:val="Heading3"/>
        <w:spacing w:after="80" w:before="220"/>
      </w:pPr>
      <w:r>
        <w:rPr>
          <w:b/>
          <w:bCs/>
        </w:rPr>
        <w:t xml:space="preserve">L3d ↔ L10a · FX Intervention ↔ Real Economy</w:t>
      </w:r>
    </w:p>
    <w:p>
      <w:pPr>
        <w:spacing w:after="160"/>
      </w:pPr>
      <w:r>
        <w:t xml:space="preserve">Intervention smooths FX, affecting trade and inflation. Dissonance: heavy intervention without trade-balance response.</w:t>
      </w:r>
    </w:p>
    <w:p>
      <w:pPr>
        <w:pStyle w:val="Heading3"/>
        <w:spacing w:after="80" w:before="220"/>
      </w:pPr>
      <w:r>
        <w:rPr>
          <w:b/>
          <w:bCs/>
        </w:rPr>
        <w:t xml:space="preserve">L3d ↔ L10b · FX Intervention ↔ Financial Stability</w:t>
      </w:r>
    </w:p>
    <w:p>
      <w:pPr>
        <w:spacing w:after="160"/>
      </w:pPr>
      <w:r>
        <w:t xml:space="preserve">Intervention affects FX hedging stress in the private sector. Dissonance: intervention without dampening FX hedging stress.</w:t>
      </w:r>
    </w:p>
    <w:p>
      <w:pPr>
        <w:pStyle w:val="Heading3"/>
        <w:spacing w:after="80" w:before="220"/>
      </w:pPr>
      <w:r>
        <w:rPr>
          <w:b/>
          <w:bCs/>
        </w:rPr>
        <w:t xml:space="preserve">L3d ↔ L10c · FX Intervention ↔ Global Spillovers</w:t>
      </w:r>
    </w:p>
    <w:p>
      <w:pPr>
        <w:spacing w:after="160"/>
      </w:pPr>
      <w:r>
        <w:t xml:space="preserve">Intervention exports adjustment to other countries. Dissonance: large intervention with no peer-country FX response.</w:t>
      </w:r>
    </w:p>
    <w:p>
      <w:pPr>
        <w:pStyle w:val="Heading3"/>
        <w:spacing w:after="80" w:before="220"/>
      </w:pPr>
      <w:r>
        <w:rPr>
          <w:b/>
          <w:bCs/>
        </w:rPr>
        <w:t xml:space="preserve">L3e ↔ L10a · Macroprudential ↔ Real Economy</w:t>
      </w:r>
    </w:p>
    <w:p>
      <w:pPr>
        <w:spacing w:after="160"/>
      </w:pPr>
      <w:r>
        <w:t xml:space="preserve">Macropru affects credit-sensitive demand. Dissonance: macropru without demand-side response.</w:t>
      </w:r>
    </w:p>
    <w:p>
      <w:pPr>
        <w:pStyle w:val="Heading3"/>
        <w:spacing w:after="80" w:before="220"/>
      </w:pPr>
      <w:r>
        <w:rPr>
          <w:b/>
          <w:bCs/>
        </w:rPr>
        <w:t xml:space="preserve">L3e ↔ L10b · Macroprudential ↔ Financial Stability</w:t>
      </w:r>
    </w:p>
    <w:p>
      <w:pPr>
        <w:spacing w:after="160"/>
      </w:pPr>
      <w:r>
        <w:t xml:space="preserve">Direct mapping — macropru targets stability. Dissonance: macropru active but stability indicators worsen — targeting wrong segment.</w:t>
      </w:r>
    </w:p>
    <w:p>
      <w:pPr>
        <w:pStyle w:val="Heading3"/>
        <w:spacing w:after="80" w:before="220"/>
      </w:pPr>
      <w:r>
        <w:rPr>
          <w:b/>
          <w:bCs/>
        </w:rPr>
        <w:t xml:space="preserve">L3e ↔ L10c · Macroprudential ↔ Global Spillovers</w:t>
      </w:r>
    </w:p>
    <w:p>
      <w:pPr>
        <w:spacing w:after="160"/>
      </w:pPr>
      <w:r>
        <w:t xml:space="preserve">CFM affects cross-border flows. Dissonance: CFM imposed but spillovers continue.</w:t>
      </w:r>
    </w:p>
    <w:p>
      <w:pPr>
        <w:pStyle w:val="Heading3"/>
        <w:spacing w:after="80" w:before="220"/>
      </w:pPr>
      <w:r>
        <w:rPr>
          <w:b/>
          <w:bCs/>
        </w:rPr>
        <w:t xml:space="preserve">L3f ↔ L10a · Liquidity Facilities ↔ Real Economy</w:t>
      </w:r>
    </w:p>
    <w:p>
      <w:pPr>
        <w:spacing w:after="160"/>
      </w:pPr>
      <w:r>
        <w:t xml:space="preserve">Facilities prevent credit crunch. Dissonance: facilities active but credit crunch still binding real economy.</w:t>
      </w:r>
    </w:p>
    <w:p>
      <w:pPr>
        <w:pStyle w:val="Heading3"/>
        <w:spacing w:after="80" w:before="220"/>
      </w:pPr>
      <w:r>
        <w:rPr>
          <w:b/>
          <w:bCs/>
        </w:rPr>
        <w:t xml:space="preserve">L3f ↔ L10b · Liquidity Facilities ↔ Financial Stability</w:t>
      </w:r>
    </w:p>
    <w:p>
      <w:pPr>
        <w:spacing w:after="160"/>
      </w:pPr>
      <w:r>
        <w:t xml:space="preserve">Direct mapping. Dissonance: facilities cannot contain instability (crisis severity exceeds tool capacity).</w:t>
      </w:r>
    </w:p>
    <w:p>
      <w:pPr>
        <w:pStyle w:val="Heading3"/>
        <w:spacing w:after="80" w:before="220"/>
      </w:pPr>
      <w:r>
        <w:rPr>
          <w:b/>
          <w:bCs/>
        </w:rPr>
        <w:t xml:space="preserve">L3f ↔ L10c · Liquidity Facilities ↔ Global Spillovers</w:t>
      </w:r>
    </w:p>
    <w:p>
      <w:pPr>
        <w:spacing w:after="160"/>
      </w:pPr>
      <w:r>
        <w:t xml:space="preserve">Swap lines export liquidity. Dissonance: swap lines extended but global dollar stress persists.</w:t>
      </w:r>
    </w:p>
    <w:p>
      <w:pPr>
        <w:pStyle w:val="Heading2"/>
        <w:spacing w:after="160" w:before="300"/>
      </w:pPr>
      <w:r>
        <w:t xml:space="preserve">B.7 · L4 Peer (6)</w:t>
      </w:r>
    </w:p>
    <w:p>
      <w:pPr>
        <w:pStyle w:val="Heading3"/>
        <w:spacing w:after="80" w:before="220"/>
      </w:pPr>
      <w:r>
        <w:rPr>
          <w:b/>
          <w:bCs/>
        </w:rPr>
        <w:t xml:space="preserve">L4a ↔ L4b · Yield Curve ↔ FX</w:t>
      </w:r>
    </w:p>
    <w:p>
      <w:pPr>
        <w:spacing w:after="160"/>
      </w:pPr>
      <w:r>
        <w:t xml:space="preserve">Rate differentials drive FX. Dissonance: curve and FX disagree on policy outlook.</w:t>
      </w:r>
    </w:p>
    <w:p>
      <w:pPr>
        <w:pStyle w:val="Heading3"/>
        <w:spacing w:after="80" w:before="220"/>
      </w:pPr>
      <w:r>
        <w:rPr>
          <w:b/>
          <w:bCs/>
        </w:rPr>
        <w:t xml:space="preserve">L4a ↔ L4c · Yield Curve ↔ Inflation-Linked</w:t>
      </w:r>
    </w:p>
    <w:p>
      <w:pPr>
        <w:spacing w:after="160"/>
      </w:pPr>
      <w:r>
        <w:t xml:space="preserve">Nominal = real + BEI; same horizon should be consistent. Dissonance: nominal curve moves without consistent real/BEI decomposition.</w:t>
      </w:r>
    </w:p>
    <w:p>
      <w:pPr>
        <w:pStyle w:val="Heading3"/>
        <w:spacing w:after="80" w:before="220"/>
      </w:pPr>
      <w:r>
        <w:rPr>
          <w:b/>
          <w:bCs/>
        </w:rPr>
        <w:t xml:space="preserve">L4a ↔ L4d · Yield Curve ↔ Volatility Surface</w:t>
      </w:r>
    </w:p>
    <w:p>
      <w:pPr>
        <w:spacing w:after="160"/>
      </w:pPr>
      <w:r>
        <w:t xml:space="preserve">Curve and vol jointly characterise the rates regime. Dissonance: vol move without curve move (or vice versa) — surprise vs known move.</w:t>
      </w:r>
    </w:p>
    <w:p>
      <w:pPr>
        <w:pStyle w:val="Heading3"/>
        <w:spacing w:after="80" w:before="220"/>
      </w:pPr>
      <w:r>
        <w:rPr>
          <w:b/>
          <w:bCs/>
        </w:rPr>
        <w:t xml:space="preserve">L4b ↔ L4c · FX ↔ Inflation-Linked</w:t>
      </w:r>
    </w:p>
    <w:p>
      <w:pPr>
        <w:spacing w:after="160"/>
      </w:pPr>
      <w:r>
        <w:t xml:space="preserve">FX shocks transmit to inflation expectations via pass-through. Dissonance: FX move without BEI response — pass-through expectations anchored.</w:t>
      </w:r>
    </w:p>
    <w:p>
      <w:pPr>
        <w:pStyle w:val="Heading3"/>
        <w:spacing w:after="80" w:before="220"/>
      </w:pPr>
      <w:r>
        <w:rPr>
          <w:b/>
          <w:bCs/>
        </w:rPr>
        <w:t xml:space="preserve">L4b ↔ L4d · FX ↔ Volatility Surface</w:t>
      </w:r>
    </w:p>
    <w:p>
      <w:pPr>
        <w:spacing w:after="160"/>
      </w:pPr>
      <w:r>
        <w:t xml:space="preserve">FX vol mirrors realised FX movements. Dissonance: FX moves without vol rising — controlled adjustment vs unanchored move.</w:t>
      </w:r>
    </w:p>
    <w:p>
      <w:pPr>
        <w:pStyle w:val="Heading3"/>
        <w:spacing w:after="80" w:before="220"/>
      </w:pPr>
      <w:r>
        <w:rPr>
          <w:b/>
          <w:bCs/>
        </w:rPr>
        <w:t xml:space="preserve">L4c ↔ L4d · Inflation-Linked ↔ Volatility Surface</w:t>
      </w:r>
    </w:p>
    <w:p>
      <w:pPr>
        <w:spacing w:after="160"/>
      </w:pPr>
      <w:r>
        <w:t xml:space="preserve">Inflation uncertainty shows up in BEI vol. Dissonance: BEI moves without inflation vol — expected drift, not surprise.</w:t>
      </w:r>
    </w:p>
    <w:p>
      <w:pPr>
        <w:pStyle w:val="Heading2"/>
        <w:spacing w:after="160" w:before="300"/>
      </w:pPr>
      <w:r>
        <w:t xml:space="preserve">B.8 · L4 → L5 (20)</w:t>
      </w:r>
    </w:p>
    <w:p>
      <w:pPr>
        <w:pStyle w:val="Heading3"/>
        <w:spacing w:after="80" w:before="220"/>
      </w:pPr>
      <w:r>
        <w:rPr>
          <w:b/>
          <w:bCs/>
        </w:rPr>
        <w:t xml:space="preserve">L4a ↔ L5a · Yield Curve ↔ Banks</w:t>
      </w:r>
    </w:p>
    <w:p>
      <w:pPr>
        <w:spacing w:after="160"/>
      </w:pPr>
      <w:r>
        <w:t xml:space="preserve">Curve shape drives NIM. Dissonance: curve flattening without NIM compression — bank pricing power masking transmission.</w:t>
      </w:r>
    </w:p>
    <w:p>
      <w:pPr>
        <w:pStyle w:val="Heading3"/>
        <w:spacing w:after="80" w:before="220"/>
      </w:pPr>
      <w:r>
        <w:rPr>
          <w:b/>
          <w:bCs/>
        </w:rPr>
        <w:t xml:space="preserve">L4a ↔ L5b · Yield Curve ↔ NBFI</w:t>
      </w:r>
    </w:p>
    <w:p>
      <w:pPr>
        <w:spacing w:after="160"/>
      </w:pPr>
      <w:r>
        <w:t xml:space="preserve">Curve shape drives carry trades. Dissonance: flat curve but heavy carry-trade unwind — leverage forcing exit.</w:t>
      </w:r>
    </w:p>
    <w:p>
      <w:pPr>
        <w:pStyle w:val="Heading3"/>
        <w:spacing w:after="80" w:before="220"/>
      </w:pPr>
      <w:r>
        <w:rPr>
          <w:b/>
          <w:bCs/>
        </w:rPr>
        <w:t xml:space="preserve">L4a ↔ L5c · Yield Curve ↔ Dealers</w:t>
      </w:r>
    </w:p>
    <w:p>
      <w:pPr>
        <w:spacing w:after="160"/>
      </w:pPr>
      <w:r>
        <w:t xml:space="preserve">Dealers absorb curve volatility. Dissonance: curve dislocations not met with dealer absorption — capacity binding.</w:t>
      </w:r>
    </w:p>
    <w:p>
      <w:pPr>
        <w:pStyle w:val="Heading3"/>
        <w:spacing w:after="80" w:before="220"/>
      </w:pPr>
      <w:r>
        <w:rPr>
          <w:b/>
          <w:bCs/>
        </w:rPr>
        <w:t xml:space="preserve">L4a ↔ L5d · Yield Curve ↔ Households &amp; Corporates</w:t>
      </w:r>
    </w:p>
    <w:p>
      <w:pPr>
        <w:spacing w:after="160"/>
      </w:pPr>
      <w:r>
        <w:t xml:space="preserve">Curve sets mortgage and corporate borrowing rates. Dissonance: curve moves not transmitting to private borrowing rates.</w:t>
      </w:r>
    </w:p>
    <w:p>
      <w:pPr>
        <w:pStyle w:val="Heading3"/>
        <w:spacing w:after="80" w:before="220"/>
      </w:pPr>
      <w:r>
        <w:rPr>
          <w:b/>
          <w:bCs/>
        </w:rPr>
        <w:t xml:space="preserve">L4a ↔ L5e · Yield Curve ↔ Sovereign</w:t>
      </w:r>
    </w:p>
    <w:p>
      <w:pPr>
        <w:spacing w:after="160"/>
      </w:pPr>
      <w:r>
        <w:t xml:space="preserve">Curve is largely sovereign yields. Dissonance: sovereign yields decouple from the curve — CDS-bond basis blowing out.</w:t>
      </w:r>
    </w:p>
    <w:p>
      <w:pPr>
        <w:pStyle w:val="Heading3"/>
        <w:spacing w:after="80" w:before="220"/>
      </w:pPr>
      <w:r>
        <w:rPr>
          <w:b/>
          <w:bCs/>
        </w:rPr>
        <w:t xml:space="preserve">L4b ↔ L5a · FX ↔ Banks</w:t>
      </w:r>
    </w:p>
    <w:p>
      <w:pPr>
        <w:spacing w:after="160"/>
      </w:pPr>
      <w:r>
        <w:t xml:space="preserve">FX exposure on bank balance sheets. Dissonance: FX move produces unexpected bank P&amp;L — mismatch undisclosed.</w:t>
      </w:r>
    </w:p>
    <w:p>
      <w:pPr>
        <w:pStyle w:val="Heading3"/>
        <w:spacing w:after="80" w:before="220"/>
      </w:pPr>
      <w:r>
        <w:rPr>
          <w:b/>
          <w:bCs/>
        </w:rPr>
        <w:t xml:space="preserve">L4b ↔ L5b · FX ↔ NBFI</w:t>
      </w:r>
    </w:p>
    <w:p>
      <w:pPr>
        <w:spacing w:after="160"/>
      </w:pPr>
      <w:r>
        <w:t xml:space="preserve">FX carry positions in NBFIs. Dissonance: FX move triggers NBFI deleveraging cascade.</w:t>
      </w:r>
    </w:p>
    <w:p>
      <w:pPr>
        <w:pStyle w:val="Heading3"/>
        <w:spacing w:after="80" w:before="220"/>
      </w:pPr>
      <w:r>
        <w:rPr>
          <w:b/>
          <w:bCs/>
        </w:rPr>
        <w:t xml:space="preserve">L4b ↔ L5c · FX ↔ Dealers</w:t>
      </w:r>
    </w:p>
    <w:p>
      <w:pPr>
        <w:spacing w:after="160"/>
      </w:pPr>
      <w:r>
        <w:t xml:space="preserve">Dealers make FX markets. Dissonance: FX dislocation without dealer capacity response — basis blowing out.</w:t>
      </w:r>
    </w:p>
    <w:p>
      <w:pPr>
        <w:pStyle w:val="Heading3"/>
        <w:spacing w:after="80" w:before="220"/>
      </w:pPr>
      <w:r>
        <w:rPr>
          <w:b/>
          <w:bCs/>
        </w:rPr>
        <w:t xml:space="preserve">L4b ↔ L5d · FX ↔ Households &amp; Corporates</w:t>
      </w:r>
    </w:p>
    <w:p>
      <w:pPr>
        <w:spacing w:after="160"/>
      </w:pPr>
      <w:r>
        <w:t xml:space="preserve">Corporate FX exposure via debt or hedging. Dissonance: FX move with disproportionate corporate stress — currency mismatch.</w:t>
      </w:r>
    </w:p>
    <w:p>
      <w:pPr>
        <w:pStyle w:val="Heading3"/>
        <w:spacing w:after="80" w:before="220"/>
      </w:pPr>
      <w:r>
        <w:rPr>
          <w:b/>
          <w:bCs/>
        </w:rPr>
        <w:t xml:space="preserve">L4b ↔ L5e · FX ↔ Sovereign</w:t>
      </w:r>
    </w:p>
    <w:p>
      <w:pPr>
        <w:spacing w:after="160"/>
      </w:pPr>
      <w:r>
        <w:t xml:space="preserve">Sovereign FX exposure via debt composition. Dissonance: FX weakening with sovereign spreads widening — currency mismatch in sovereign.</w:t>
      </w:r>
    </w:p>
    <w:p>
      <w:pPr>
        <w:pStyle w:val="Heading3"/>
        <w:spacing w:after="80" w:before="220"/>
      </w:pPr>
      <w:r>
        <w:rPr>
          <w:b/>
          <w:bCs/>
        </w:rPr>
        <w:t xml:space="preserve">L4c ↔ L5a · Inflation-Linked ↔ Banks</w:t>
      </w:r>
    </w:p>
    <w:p>
      <w:pPr>
        <w:spacing w:after="160"/>
      </w:pPr>
      <w:r>
        <w:t xml:space="preserve">BEIs affect bank ALM (inflation-protected lending). Dissonance: BEIs move without bank ALM response — exposure not hedged.</w:t>
      </w:r>
    </w:p>
    <w:p>
      <w:pPr>
        <w:pStyle w:val="Heading3"/>
        <w:spacing w:after="80" w:before="220"/>
      </w:pPr>
      <w:r>
        <w:rPr>
          <w:b/>
          <w:bCs/>
        </w:rPr>
        <w:t xml:space="preserve">L4c ↔ L5b · Inflation-Linked ↔ NBFI</w:t>
      </w:r>
    </w:p>
    <w:p>
      <w:pPr>
        <w:spacing w:after="160"/>
      </w:pPr>
      <w:r>
        <w:t xml:space="preserve">NBFI inflation-linked positioning. Dissonance: BEI moves trigger NBFI rebalancing — momentum trade.</w:t>
      </w:r>
    </w:p>
    <w:p>
      <w:pPr>
        <w:pStyle w:val="Heading3"/>
        <w:spacing w:after="80" w:before="220"/>
      </w:pPr>
      <w:r>
        <w:rPr>
          <w:b/>
          <w:bCs/>
        </w:rPr>
        <w:t xml:space="preserve">L4c ↔ L5c · Inflation-Linked ↔ Dealers</w:t>
      </w:r>
    </w:p>
    <w:p>
      <w:pPr>
        <w:spacing w:after="160"/>
      </w:pPr>
      <w:r>
        <w:t xml:space="preserve">Dealers market-make linkers. Dissonance: BEI moves on low volumes — dealer capacity constraint.</w:t>
      </w:r>
    </w:p>
    <w:p>
      <w:pPr>
        <w:pStyle w:val="Heading3"/>
        <w:spacing w:after="80" w:before="220"/>
      </w:pPr>
      <w:r>
        <w:rPr>
          <w:b/>
          <w:bCs/>
        </w:rPr>
        <w:t xml:space="preserve">L4c ↔ L5d · Inflation-Linked ↔ Households &amp; Corporates</w:t>
      </w:r>
    </w:p>
    <w:p>
      <w:pPr>
        <w:spacing w:after="160"/>
      </w:pPr>
      <w:r>
        <w:t xml:space="preserve">HH inflation expectations and wage demands. Dissonance: BEIs anchored but wage demands rising — disconnected channels.</w:t>
      </w:r>
    </w:p>
    <w:p>
      <w:pPr>
        <w:pStyle w:val="Heading3"/>
        <w:spacing w:after="80" w:before="220"/>
      </w:pPr>
      <w:r>
        <w:rPr>
          <w:b/>
          <w:bCs/>
        </w:rPr>
        <w:t xml:space="preserve">L4c ↔ L5e · Inflation-Linked ↔ Sovereign</w:t>
      </w:r>
    </w:p>
    <w:p>
      <w:pPr>
        <w:spacing w:after="160"/>
      </w:pPr>
      <w:r>
        <w:t xml:space="preserve">Sovereign issues linkers; affects fiscal arithmetic. Dissonance: BEI moves change sovereign debt-servicing burden materially.</w:t>
      </w:r>
    </w:p>
    <w:p>
      <w:pPr>
        <w:pStyle w:val="Heading3"/>
        <w:spacing w:after="80" w:before="220"/>
      </w:pPr>
      <w:r>
        <w:rPr>
          <w:b/>
          <w:bCs/>
        </w:rPr>
        <w:t xml:space="preserve">L4d ↔ L5a · Volatility Surface ↔ Banks</w:t>
      </w:r>
    </w:p>
    <w:p>
      <w:pPr>
        <w:spacing w:after="160"/>
      </w:pPr>
      <w:r>
        <w:t xml:space="preserve">Bank vol exposure via trading books. Dissonance: vol spike with disproportionate bank P&amp;L damage.</w:t>
      </w:r>
    </w:p>
    <w:p>
      <w:pPr>
        <w:pStyle w:val="Heading3"/>
        <w:spacing w:after="80" w:before="220"/>
      </w:pPr>
      <w:r>
        <w:rPr>
          <w:b/>
          <w:bCs/>
        </w:rPr>
        <w:t xml:space="preserve">L4d ↔ L5b · Volatility Surface ↔ NBFI</w:t>
      </w:r>
    </w:p>
    <w:p>
      <w:pPr>
        <w:spacing w:after="160"/>
      </w:pPr>
      <w:r>
        <w:t xml:space="preserve">Vol drives leverage haircuts and margin. Dissonance: vol rises with NBFI deleveraging cascade.</w:t>
      </w:r>
    </w:p>
    <w:p>
      <w:pPr>
        <w:pStyle w:val="Heading3"/>
        <w:spacing w:after="80" w:before="220"/>
      </w:pPr>
      <w:r>
        <w:rPr>
          <w:b/>
          <w:bCs/>
        </w:rPr>
        <w:t xml:space="preserve">L4d ↔ L5c · Volatility Surface ↔ Dealers</w:t>
      </w:r>
    </w:p>
    <w:p>
      <w:pPr>
        <w:spacing w:after="160"/>
      </w:pPr>
      <w:r>
        <w:t xml:space="preserve">Dealers warehouse vol risk. Dissonance: vol surface dislocates with dealer constraints binding.</w:t>
      </w:r>
    </w:p>
    <w:p>
      <w:pPr>
        <w:pStyle w:val="Heading3"/>
        <w:spacing w:after="80" w:before="220"/>
      </w:pPr>
      <w:r>
        <w:rPr>
          <w:b/>
          <w:bCs/>
        </w:rPr>
        <w:t xml:space="preserve">L4d ↔ L5d · Volatility Surface ↔ Households &amp; Corporates</w:t>
      </w:r>
    </w:p>
    <w:p>
      <w:pPr>
        <w:spacing w:after="160"/>
      </w:pPr>
      <w:r>
        <w:t xml:space="preserve">Vol affects corporate hedging costs. Dissonance: vol spike makes corporate hedging unaffordable, forcing exposure changes.</w:t>
      </w:r>
    </w:p>
    <w:p>
      <w:pPr>
        <w:pStyle w:val="Heading3"/>
        <w:spacing w:after="80" w:before="220"/>
      </w:pPr>
      <w:r>
        <w:rPr>
          <w:b/>
          <w:bCs/>
        </w:rPr>
        <w:t xml:space="preserve">L4d ↔ L5e · Volatility Surface ↔ Sovereign</w:t>
      </w:r>
    </w:p>
    <w:p>
      <w:pPr>
        <w:spacing w:after="160"/>
      </w:pPr>
      <w:r>
        <w:t xml:space="preserve">Sovereign CDS vol. Dissonance: sovereign vol decouples from rates vol — tail-risk pricing intensifying.</w:t>
      </w:r>
    </w:p>
    <w:p>
      <w:pPr>
        <w:pStyle w:val="Heading2"/>
        <w:spacing w:after="160" w:before="300"/>
      </w:pPr>
      <w:r>
        <w:t xml:space="preserve">B.9 · L4 → L6 / L7 / L8 / L9 / L10 (28)</w:t>
      </w:r>
    </w:p>
    <w:p>
      <w:pPr>
        <w:pStyle w:val="Heading3"/>
        <w:spacing w:after="80" w:before="220"/>
      </w:pPr>
      <w:r>
        <w:rPr>
          <w:b/>
          <w:bCs/>
        </w:rPr>
        <w:t xml:space="preserve">L4a ↔ L6 · Yield Curve ↔ Expectations</w:t>
      </w:r>
    </w:p>
    <w:p>
      <w:pPr>
        <w:spacing w:after="160"/>
      </w:pPr>
      <w:r>
        <w:t xml:space="preserve">Curve embeds expectations of future rates. Dissonance: curve and survey expectations disagree.</w:t>
      </w:r>
    </w:p>
    <w:p>
      <w:pPr>
        <w:pStyle w:val="Heading3"/>
        <w:spacing w:after="80" w:before="220"/>
      </w:pPr>
      <w:r>
        <w:rPr>
          <w:b/>
          <w:bCs/>
        </w:rPr>
        <w:t xml:space="preserve">L4b ↔ L6 · FX ↔ Expectations</w:t>
      </w:r>
    </w:p>
    <w:p>
      <w:pPr>
        <w:spacing w:after="160"/>
      </w:pPr>
      <w:r>
        <w:t xml:space="preserve">FX moves shape inflation pass-through expectations. Dissonance: FX move without expectation adjustment — pass-through anchored.</w:t>
      </w:r>
    </w:p>
    <w:p>
      <w:pPr>
        <w:pStyle w:val="Heading3"/>
        <w:spacing w:after="80" w:before="220"/>
      </w:pPr>
      <w:r>
        <w:rPr>
          <w:b/>
          <w:bCs/>
        </w:rPr>
        <w:t xml:space="preserve">L4c ↔ L6 · Inflation-Linked ↔ Expectations</w:t>
      </w:r>
    </w:p>
    <w:p>
      <w:pPr>
        <w:spacing w:after="160"/>
      </w:pPr>
      <w:r>
        <w:t xml:space="preserve">BEIs are market-implied inflation expectations. Dissonance: survey expectations and BEIs diverge — heterogeneous beliefs.</w:t>
      </w:r>
    </w:p>
    <w:p>
      <w:pPr>
        <w:pStyle w:val="Heading3"/>
        <w:spacing w:after="80" w:before="220"/>
      </w:pPr>
      <w:r>
        <w:rPr>
          <w:b/>
          <w:bCs/>
        </w:rPr>
        <w:t xml:space="preserve">L4d ↔ L6 · Volatility Surface ↔ Expectations</w:t>
      </w:r>
    </w:p>
    <w:p>
      <w:pPr>
        <w:spacing w:after="160"/>
      </w:pPr>
      <w:r>
        <w:t xml:space="preserve">Vol embeds expectation uncertainty. Dissonance: vol high with concentrated expectations — risk premium driven, not expectation driven.</w:t>
      </w:r>
    </w:p>
    <w:p>
      <w:pPr>
        <w:pStyle w:val="Heading3"/>
        <w:spacing w:after="80" w:before="220"/>
      </w:pPr>
      <w:r>
        <w:rPr>
          <w:b/>
          <w:bCs/>
        </w:rPr>
        <w:t xml:space="preserve">L4a ↔ L7 · Yield Curve ↔ Financial Conditions</w:t>
      </w:r>
    </w:p>
    <w:p>
      <w:pPr>
        <w:spacing w:after="160"/>
      </w:pPr>
      <w:r>
        <w:t xml:space="preserve">Curve is a major FCI input. Dissonance: curve moves not flowing through to broader FCI — segmented transmission.</w:t>
      </w:r>
    </w:p>
    <w:p>
      <w:pPr>
        <w:pStyle w:val="Heading3"/>
        <w:spacing w:after="80" w:before="220"/>
      </w:pPr>
      <w:r>
        <w:rPr>
          <w:b/>
          <w:bCs/>
        </w:rPr>
        <w:t xml:space="preserve">L4b ↔ L7 · FX ↔ Financial Conditions</w:t>
      </w:r>
    </w:p>
    <w:p>
      <w:pPr>
        <w:spacing w:after="160"/>
      </w:pPr>
      <w:r>
        <w:t xml:space="preserve">FX is in FCI for open economies. Dissonance: FX move without FCI response — FCI weighting under-counts FX.</w:t>
      </w:r>
    </w:p>
    <w:p>
      <w:pPr>
        <w:pStyle w:val="Heading3"/>
        <w:spacing w:after="80" w:before="220"/>
      </w:pPr>
      <w:r>
        <w:rPr>
          <w:b/>
          <w:bCs/>
        </w:rPr>
        <w:t xml:space="preserve">L4c ↔ L7 · Inflation-Linked ↔ Financial Conditions</w:t>
      </w:r>
    </w:p>
    <w:p>
      <w:pPr>
        <w:spacing w:after="160"/>
      </w:pPr>
      <w:r>
        <w:t xml:space="preserve">Real rates from linkers enter FCI in some specifications. Dissonance: BEI moves shift effective real-rate FCI without conventional FCI moving.</w:t>
      </w:r>
    </w:p>
    <w:p>
      <w:pPr>
        <w:pStyle w:val="Heading3"/>
        <w:spacing w:after="80" w:before="220"/>
      </w:pPr>
      <w:r>
        <w:rPr>
          <w:b/>
          <w:bCs/>
        </w:rPr>
        <w:t xml:space="preserve">L4d ↔ L7 · Volatility Surface ↔ Financial Conditions</w:t>
      </w:r>
    </w:p>
    <w:p>
      <w:pPr>
        <w:spacing w:after="160"/>
      </w:pPr>
      <w:r>
        <w:t xml:space="preserve">Vol is sometimes an FCI component. Dissonance: vol spikes without FCI tightening.</w:t>
      </w:r>
    </w:p>
    <w:p>
      <w:pPr>
        <w:pStyle w:val="Heading3"/>
        <w:spacing w:after="80" w:before="220"/>
      </w:pPr>
      <w:r>
        <w:rPr>
          <w:b/>
          <w:bCs/>
        </w:rPr>
        <w:t xml:space="preserve">L4a ↔ L8 · Yield Curve ↔ Valuation Drivers</w:t>
      </w:r>
    </w:p>
    <w:p>
      <w:pPr>
        <w:spacing w:after="160"/>
      </w:pPr>
      <w:r>
        <w:t xml:space="preserve">Curve is the risk-free rate input to all valuations. Dissonance: curve moves without discount-rate adjustment — segmentation.</w:t>
      </w:r>
    </w:p>
    <w:p>
      <w:pPr>
        <w:pStyle w:val="Heading3"/>
        <w:spacing w:after="80" w:before="220"/>
      </w:pPr>
      <w:r>
        <w:rPr>
          <w:b/>
          <w:bCs/>
        </w:rPr>
        <w:t xml:space="preserve">L4b ↔ L8 · FX ↔ Valuation Drivers</w:t>
      </w:r>
    </w:p>
    <w:p>
      <w:pPr>
        <w:spacing w:after="160"/>
      </w:pPr>
      <w:r>
        <w:t xml:space="preserve">FX affects relative cross-currency valuations. Dissonance: FX move not reflected in cross-asset valuations.</w:t>
      </w:r>
    </w:p>
    <w:p>
      <w:pPr>
        <w:pStyle w:val="Heading3"/>
        <w:spacing w:after="80" w:before="220"/>
      </w:pPr>
      <w:r>
        <w:rPr>
          <w:b/>
          <w:bCs/>
        </w:rPr>
        <w:t xml:space="preserve">L4c ↔ L8 · Inflation-Linked ↔ Valuation Drivers</w:t>
      </w:r>
    </w:p>
    <w:p>
      <w:pPr>
        <w:spacing w:after="160"/>
      </w:pPr>
      <w:r>
        <w:t xml:space="preserve">Real rates from linkers feed equity/real-asset discounting. Dissonance: real-rate moves without real-asset response.</w:t>
      </w:r>
    </w:p>
    <w:p>
      <w:pPr>
        <w:pStyle w:val="Heading3"/>
        <w:spacing w:after="80" w:before="220"/>
      </w:pPr>
      <w:r>
        <w:rPr>
          <w:b/>
          <w:bCs/>
        </w:rPr>
        <w:t xml:space="preserve">L4d ↔ L8 · Volatility Surface ↔ Valuation Drivers</w:t>
      </w:r>
    </w:p>
    <w:p>
      <w:pPr>
        <w:spacing w:after="160"/>
      </w:pPr>
      <w:r>
        <w:t xml:space="preserve">Vol prices convexity in derivatives and skewness in risk premia. Dissonance: vol moves without risk premium changes — convenience yield separately driven.</w:t>
      </w:r>
    </w:p>
    <w:p>
      <w:pPr>
        <w:pStyle w:val="Heading3"/>
        <w:spacing w:after="80" w:before="220"/>
      </w:pPr>
      <w:r>
        <w:rPr>
          <w:b/>
          <w:bCs/>
        </w:rPr>
        <w:t xml:space="preserve">L4a ↔ L9 · Yield Curve ↔ Asset Prices</w:t>
      </w:r>
    </w:p>
    <w:p>
      <w:pPr>
        <w:spacing w:after="160"/>
      </w:pPr>
      <w:r>
        <w:t xml:space="preserve">Curve drives bond prices directly. Dissonance: bond prices decouple from the curve (CDS-bond basis, segmentation).</w:t>
      </w:r>
    </w:p>
    <w:p>
      <w:pPr>
        <w:pStyle w:val="Heading3"/>
        <w:spacing w:after="80" w:before="220"/>
      </w:pPr>
      <w:r>
        <w:rPr>
          <w:b/>
          <w:bCs/>
        </w:rPr>
        <w:t xml:space="preserve">L4b ↔ L9 · FX ↔ Asset Prices</w:t>
      </w:r>
    </w:p>
    <w:p>
      <w:pPr>
        <w:spacing w:after="160"/>
      </w:pPr>
      <w:r>
        <w:t xml:space="preserve">FX is itself an asset price and feeds back to others. Dissonance: FX moves not transmitting to other FX-sensitive assets.</w:t>
      </w:r>
    </w:p>
    <w:p>
      <w:pPr>
        <w:pStyle w:val="Heading3"/>
        <w:spacing w:after="80" w:before="220"/>
      </w:pPr>
      <w:r>
        <w:rPr>
          <w:b/>
          <w:bCs/>
        </w:rPr>
        <w:t xml:space="preserve">L4c ↔ L9 · Inflation-Linked ↔ Asset Prices</w:t>
      </w:r>
    </w:p>
    <w:p>
      <w:pPr>
        <w:spacing w:after="160"/>
      </w:pPr>
      <w:r>
        <w:t xml:space="preserve">Linkers are themselves assets; affect real-asset valuations. Dissonance: linker moves without real-asset response.</w:t>
      </w:r>
    </w:p>
    <w:p>
      <w:pPr>
        <w:pStyle w:val="Heading3"/>
        <w:spacing w:after="80" w:before="220"/>
      </w:pPr>
      <w:r>
        <w:rPr>
          <w:b/>
          <w:bCs/>
        </w:rPr>
        <w:t xml:space="preserve">L4d ↔ L9 · Volatility Surface ↔ Asset Prices</w:t>
      </w:r>
    </w:p>
    <w:p>
      <w:pPr>
        <w:spacing w:after="160"/>
      </w:pPr>
      <w:r>
        <w:t xml:space="preserve">Vol prices options and shapes skewness across assets. Dissonance: realised cross-asset response inconsistent with vol-implied distributions.</w:t>
      </w:r>
    </w:p>
    <w:p>
      <w:pPr>
        <w:pStyle w:val="Heading3"/>
        <w:spacing w:after="80" w:before="220"/>
      </w:pPr>
      <w:r>
        <w:rPr>
          <w:b/>
          <w:bCs/>
        </w:rPr>
        <w:t xml:space="preserve">L4a ↔ L10a · Yield Curve ↔ Real Economy</w:t>
      </w:r>
    </w:p>
    <w:p>
      <w:pPr>
        <w:spacing w:after="160"/>
      </w:pPr>
      <w:r>
        <w:t xml:space="preserve">Curve flatness/inversion historically predicts recession. Dissonance: inversion without recession (or vice versa).</w:t>
      </w:r>
    </w:p>
    <w:p>
      <w:pPr>
        <w:pStyle w:val="Heading3"/>
        <w:spacing w:after="80" w:before="220"/>
      </w:pPr>
      <w:r>
        <w:rPr>
          <w:b/>
          <w:bCs/>
        </w:rPr>
        <w:t xml:space="preserve">L4a ↔ L10b · Yield Curve ↔ Financial Stability</w:t>
      </w:r>
    </w:p>
    <w:p>
      <w:pPr>
        <w:spacing w:after="160"/>
      </w:pPr>
      <w:r>
        <w:t xml:space="preserve">Curve shape drives bank profitability and leverage incentives. Dissonance: flat curve without bank stress, or steep curve without bank profitability.</w:t>
      </w:r>
    </w:p>
    <w:p>
      <w:pPr>
        <w:pStyle w:val="Heading3"/>
        <w:spacing w:after="80" w:before="220"/>
      </w:pPr>
      <w:r>
        <w:rPr>
          <w:b/>
          <w:bCs/>
        </w:rPr>
        <w:t xml:space="preserve">L4a ↔ L10c · Yield Curve ↔ Global Spillovers</w:t>
      </w:r>
    </w:p>
    <w:p>
      <w:pPr>
        <w:spacing w:after="160"/>
      </w:pPr>
      <w:r>
        <w:t xml:space="preserve">Curve moves spill over via global rate channels. Dissonance: domestic curve moves without global response.</w:t>
      </w:r>
    </w:p>
    <w:p>
      <w:pPr>
        <w:pStyle w:val="Heading3"/>
        <w:spacing w:after="80" w:before="220"/>
      </w:pPr>
      <w:r>
        <w:rPr>
          <w:b/>
          <w:bCs/>
        </w:rPr>
        <w:t xml:space="preserve">L4b ↔ L10a · FX ↔ Real Economy</w:t>
      </w:r>
    </w:p>
    <w:p>
      <w:pPr>
        <w:spacing w:after="160"/>
      </w:pPr>
      <w:r>
        <w:t xml:space="preserve">FX affects trade and inflation. Dissonance: FX move without trade or inflation pass-through.</w:t>
      </w:r>
    </w:p>
    <w:p>
      <w:pPr>
        <w:pStyle w:val="Heading3"/>
        <w:spacing w:after="80" w:before="220"/>
      </w:pPr>
      <w:r>
        <w:rPr>
          <w:b/>
          <w:bCs/>
        </w:rPr>
        <w:t xml:space="preserve">L4b ↔ L10b · FX ↔ Financial Stability</w:t>
      </w:r>
    </w:p>
    <w:p>
      <w:pPr>
        <w:spacing w:after="160"/>
      </w:pPr>
      <w:r>
        <w:t xml:space="preserve">FX moves stress FX-mismatched balance sheets. Dissonance: FX move triggers a financial-stability event.</w:t>
      </w:r>
    </w:p>
    <w:p>
      <w:pPr>
        <w:pStyle w:val="Heading3"/>
        <w:spacing w:after="80" w:before="220"/>
      </w:pPr>
      <w:r>
        <w:rPr>
          <w:b/>
          <w:bCs/>
        </w:rPr>
        <w:t xml:space="preserve">L4b ↔ L10c · FX ↔ Global Spillovers</w:t>
      </w:r>
    </w:p>
    <w:p>
      <w:pPr>
        <w:spacing w:after="160"/>
      </w:pPr>
      <w:r>
        <w:t xml:space="preserve">FX is the relative cross-country price. Dissonance: domestic FX move without peer-country response.</w:t>
      </w:r>
    </w:p>
    <w:p>
      <w:pPr>
        <w:pStyle w:val="Heading3"/>
        <w:spacing w:after="80" w:before="220"/>
      </w:pPr>
      <w:r>
        <w:rPr>
          <w:b/>
          <w:bCs/>
        </w:rPr>
        <w:t xml:space="preserve">L4c ↔ L10a · Inflation-Linked ↔ Real Economy</w:t>
      </w:r>
    </w:p>
    <w:p>
      <w:pPr>
        <w:spacing w:after="160"/>
      </w:pPr>
      <w:r>
        <w:t xml:space="preserve">BEIs are forecasts of real outcomes. Dissonance: BEIs anchored but realised inflation drifts.</w:t>
      </w:r>
    </w:p>
    <w:p>
      <w:pPr>
        <w:pStyle w:val="Heading3"/>
        <w:spacing w:after="80" w:before="220"/>
      </w:pPr>
      <w:r>
        <w:rPr>
          <w:b/>
          <w:bCs/>
        </w:rPr>
        <w:t xml:space="preserve">L4c ↔ L10b · Inflation-Linked ↔ Financial Stability</w:t>
      </w:r>
    </w:p>
    <w:p>
      <w:pPr>
        <w:spacing w:after="160"/>
      </w:pPr>
      <w:r>
        <w:t xml:space="preserve">Inflation risk affects insurance and pension stability. Dissonance: BEI moves stress pension/insurance solvency.</w:t>
      </w:r>
    </w:p>
    <w:p>
      <w:pPr>
        <w:pStyle w:val="Heading3"/>
        <w:spacing w:after="80" w:before="220"/>
      </w:pPr>
      <w:r>
        <w:rPr>
          <w:b/>
          <w:bCs/>
        </w:rPr>
        <w:t xml:space="preserve">L4c ↔ L10c · Inflation-Linked ↔ Global Spillovers</w:t>
      </w:r>
    </w:p>
    <w:p>
      <w:pPr>
        <w:spacing w:after="160"/>
      </w:pPr>
      <w:r>
        <w:t xml:space="preserve">Inflation differentials drive cross-country flows. Dissonance: BEI differential moves without flow response.</w:t>
      </w:r>
    </w:p>
    <w:p>
      <w:pPr>
        <w:pStyle w:val="Heading3"/>
        <w:spacing w:after="80" w:before="220"/>
      </w:pPr>
      <w:r>
        <w:rPr>
          <w:b/>
          <w:bCs/>
        </w:rPr>
        <w:t xml:space="preserve">L4d ↔ L10a · Volatility Surface ↔ Real Economy</w:t>
      </w:r>
    </w:p>
    <w:p>
      <w:pPr>
        <w:spacing w:after="160"/>
      </w:pPr>
      <w:r>
        <w:t xml:space="preserve">Vol shapes uncertainty premium and investment. Dissonance: vol spike without investment retrenchment.</w:t>
      </w:r>
    </w:p>
    <w:p>
      <w:pPr>
        <w:pStyle w:val="Heading3"/>
        <w:spacing w:after="80" w:before="220"/>
      </w:pPr>
      <w:r>
        <w:rPr>
          <w:b/>
          <w:bCs/>
        </w:rPr>
        <w:t xml:space="preserve">L4d ↔ L10b · Volatility Surface ↔ Financial Stability</w:t>
      </w:r>
    </w:p>
    <w:p>
      <w:pPr>
        <w:spacing w:after="160"/>
      </w:pPr>
      <w:r>
        <w:t xml:space="preserve">Vol drives margin calls and forced selling. Dissonance: vol high without financial-stability event (yet) — building stress.</w:t>
      </w:r>
    </w:p>
    <w:p>
      <w:pPr>
        <w:pStyle w:val="Heading3"/>
        <w:spacing w:after="80" w:before="220"/>
      </w:pPr>
      <w:r>
        <w:rPr>
          <w:b/>
          <w:bCs/>
        </w:rPr>
        <w:t xml:space="preserve">L4d ↔ L10c · Volatility Surface ↔ Global Spillovers</w:t>
      </w:r>
    </w:p>
    <w:p>
      <w:pPr>
        <w:spacing w:after="160"/>
      </w:pPr>
      <w:r>
        <w:t xml:space="preserve">Vol exports through global risk-off channels. Dissonance: domestic vol spike without global response.</w:t>
      </w:r>
    </w:p>
    <w:p>
      <w:pPr>
        <w:pStyle w:val="Heading2"/>
        <w:spacing w:after="160" w:before="300"/>
      </w:pPr>
      <w:r>
        <w:t xml:space="preserve">B.10 · L5 Peer (10)</w:t>
      </w:r>
    </w:p>
    <w:p>
      <w:pPr>
        <w:pStyle w:val="Heading3"/>
        <w:spacing w:after="80" w:before="220"/>
      </w:pPr>
      <w:r>
        <w:rPr>
          <w:b/>
          <w:bCs/>
        </w:rPr>
        <w:t xml:space="preserve">L5a ↔ L5b · Banks ↔ NBFI</w:t>
      </w:r>
    </w:p>
    <w:p>
      <w:pPr>
        <w:spacing w:after="160"/>
      </w:pPr>
      <w:r>
        <w:t xml:space="preserve">Banks fund NBFIs (prime brokerage, securities financing). Dissonance: bank stress without NBFI stress (or vice versa) — risk migration vs containment.</w:t>
      </w:r>
    </w:p>
    <w:p>
      <w:pPr>
        <w:pStyle w:val="Heading3"/>
        <w:spacing w:after="80" w:before="220"/>
      </w:pPr>
      <w:r>
        <w:rPr>
          <w:b/>
          <w:bCs/>
        </w:rPr>
        <w:t xml:space="preserve">L5a ↔ L5c · Banks ↔ Dealers</w:t>
      </w:r>
    </w:p>
    <w:p>
      <w:pPr>
        <w:spacing w:after="160"/>
      </w:pPr>
      <w:r>
        <w:t xml:space="preserve">Major dealers usually sit within bank holding companies. Dissonance: bank stress and dealer stress decouple — separation effective.</w:t>
      </w:r>
    </w:p>
    <w:p>
      <w:pPr>
        <w:pStyle w:val="Heading3"/>
        <w:spacing w:after="80" w:before="220"/>
      </w:pPr>
      <w:r>
        <w:rPr>
          <w:b/>
          <w:bCs/>
        </w:rPr>
        <w:t xml:space="preserve">L5a ↔ L5d · Banks ↔ Households &amp; Corporates</w:t>
      </w:r>
    </w:p>
    <w:p>
      <w:pPr>
        <w:spacing w:after="160"/>
      </w:pPr>
      <w:r>
        <w:t xml:space="preserve">Banks are the primary creditor. Dissonance: bank stress without HH/corporate stress — bank-specific shock.</w:t>
      </w:r>
    </w:p>
    <w:p>
      <w:pPr>
        <w:pStyle w:val="Heading3"/>
        <w:spacing w:after="80" w:before="220"/>
      </w:pPr>
      <w:r>
        <w:rPr>
          <w:b/>
          <w:bCs/>
        </w:rPr>
        <w:t xml:space="preserve">L5a ↔ L5e · Banks ↔ Sovereign</w:t>
      </w:r>
    </w:p>
    <w:p>
      <w:pPr>
        <w:spacing w:after="160"/>
      </w:pPr>
      <w:r>
        <w:t xml:space="preserve">Doom loop — bank holdings of sovereign debt. Dissonance: sovereign stress without bank stress (or vice versa) — loop strength varying.</w:t>
      </w:r>
    </w:p>
    <w:p>
      <w:pPr>
        <w:pStyle w:val="Heading3"/>
        <w:spacing w:after="80" w:before="220"/>
      </w:pPr>
      <w:r>
        <w:rPr>
          <w:b/>
          <w:bCs/>
        </w:rPr>
        <w:t xml:space="preserve">L5b ↔ L5c · NBFI ↔ Dealers</w:t>
      </w:r>
    </w:p>
    <w:p>
      <w:pPr>
        <w:spacing w:after="160"/>
      </w:pPr>
      <w:r>
        <w:t xml:space="preserve">Dealers fund NBFI positions via repo and prime brokerage. Dissonance: NBFI deleveraging without dealer balance sheet relief — forced unwinds.</w:t>
      </w:r>
    </w:p>
    <w:p>
      <w:pPr>
        <w:pStyle w:val="Heading3"/>
        <w:spacing w:after="80" w:before="220"/>
      </w:pPr>
      <w:r>
        <w:rPr>
          <w:b/>
          <w:bCs/>
        </w:rPr>
        <w:t xml:space="preserve">L5b ↔ L5d · NBFI ↔ Households &amp; Corporates</w:t>
      </w:r>
    </w:p>
    <w:p>
      <w:pPr>
        <w:spacing w:after="160"/>
      </w:pPr>
      <w:r>
        <w:t xml:space="preserve">NBFIs lend to corporates (private credit). Dissonance: NBFI stress without corporate borrowing stress — borrowing shifting channels.</w:t>
      </w:r>
    </w:p>
    <w:p>
      <w:pPr>
        <w:pStyle w:val="Heading3"/>
        <w:spacing w:after="80" w:before="220"/>
      </w:pPr>
      <w:r>
        <w:rPr>
          <w:b/>
          <w:bCs/>
        </w:rPr>
        <w:t xml:space="preserve">L5b ↔ L5e · NBFI ↔ Sovereign</w:t>
      </w:r>
    </w:p>
    <w:p>
      <w:pPr>
        <w:spacing w:after="160"/>
      </w:pPr>
      <w:r>
        <w:t xml:space="preserve">NBFI holds sovereign debt. Dissonance: NBFI selling sovereign positions during stress (UK LDI 2022).</w:t>
      </w:r>
    </w:p>
    <w:p>
      <w:pPr>
        <w:pStyle w:val="Heading3"/>
        <w:spacing w:after="80" w:before="220"/>
      </w:pPr>
      <w:r>
        <w:rPr>
          <w:b/>
          <w:bCs/>
        </w:rPr>
        <w:t xml:space="preserve">L5c ↔ L5d · Dealers ↔ Households &amp; Corporates</w:t>
      </w:r>
    </w:p>
    <w:p>
      <w:pPr>
        <w:spacing w:after="160"/>
      </w:pPr>
      <w:r>
        <w:t xml:space="preserve">Dealers issue corporate bonds and intermediate. Dissonance: corporate issuance stress without dealer balance sheet response.</w:t>
      </w:r>
    </w:p>
    <w:p>
      <w:pPr>
        <w:pStyle w:val="Heading3"/>
        <w:spacing w:after="80" w:before="220"/>
      </w:pPr>
      <w:r>
        <w:rPr>
          <w:b/>
          <w:bCs/>
        </w:rPr>
        <w:t xml:space="preserve">L5c ↔ L5e · Dealers ↔ Sovereign</w:t>
      </w:r>
    </w:p>
    <w:p>
      <w:pPr>
        <w:spacing w:after="160"/>
      </w:pPr>
      <w:r>
        <w:t xml:space="preserve">Dealers are primary dealers of sovereign debt. Dissonance: sovereign issuance with dealer absorption failure (UK 2022).</w:t>
      </w:r>
    </w:p>
    <w:p>
      <w:pPr>
        <w:pStyle w:val="Heading3"/>
        <w:spacing w:after="80" w:before="220"/>
      </w:pPr>
      <w:r>
        <w:rPr>
          <w:b/>
          <w:bCs/>
        </w:rPr>
        <w:t xml:space="preserve">L5d ↔ L5e · Households &amp; Corporates ↔ Sovereign</w:t>
      </w:r>
    </w:p>
    <w:p>
      <w:pPr>
        <w:spacing w:after="160"/>
      </w:pPr>
      <w:r>
        <w:t xml:space="preserve">Tax base and fiscal arithmetic depend on private-sector strength. Dissonance: sovereign stress without private-sector stress — sovereign-specific (debt overhang).</w:t>
      </w:r>
    </w:p>
    <w:p>
      <w:pPr>
        <w:pStyle w:val="Heading2"/>
        <w:spacing w:after="160" w:before="300"/>
      </w:pPr>
      <w:r>
        <w:t xml:space="preserve">B.11 · L5 → L6 / L7 / L8 / L9 / L10 (35)</w:t>
      </w:r>
    </w:p>
    <w:p>
      <w:pPr>
        <w:pStyle w:val="Heading3"/>
        <w:spacing w:after="80" w:before="220"/>
      </w:pPr>
      <w:r>
        <w:rPr>
          <w:b/>
          <w:bCs/>
        </w:rPr>
        <w:t xml:space="preserve">L5a ↔ L6 · Banks ↔ Expectations</w:t>
      </w:r>
    </w:p>
    <w:p>
      <w:pPr>
        <w:spacing w:after="160"/>
      </w:pPr>
      <w:r>
        <w:t xml:space="preserve">Bank credit conditions shape expectations of credit supply. Dissonance: bank stress not reflected in credit expectations — survey lag.</w:t>
      </w:r>
    </w:p>
    <w:p>
      <w:pPr>
        <w:pStyle w:val="Heading3"/>
        <w:spacing w:after="80" w:before="220"/>
      </w:pPr>
      <w:r>
        <w:rPr>
          <w:b/>
          <w:bCs/>
        </w:rPr>
        <w:t xml:space="preserve">L5b ↔ L6 · NBFI ↔ Expectations</w:t>
      </w:r>
    </w:p>
    <w:p>
      <w:pPr>
        <w:spacing w:after="160"/>
      </w:pPr>
      <w:r>
        <w:t xml:space="preserve">NBFI positioning embeds expectations. Dissonance: NBFI positioning misaligned with survey expectations.</w:t>
      </w:r>
    </w:p>
    <w:p>
      <w:pPr>
        <w:pStyle w:val="Heading3"/>
        <w:spacing w:after="80" w:before="220"/>
      </w:pPr>
      <w:r>
        <w:rPr>
          <w:b/>
          <w:bCs/>
        </w:rPr>
        <w:t xml:space="preserve">L5c ↔ L6 · Dealers ↔ Expectations</w:t>
      </w:r>
    </w:p>
    <w:p>
      <w:pPr>
        <w:spacing w:after="160"/>
      </w:pPr>
      <w:r>
        <w:t xml:space="preserve">Dealer positioning embeds short-horizon expectations. Dissonance: dealer positioning vs broader expectations divergent.</w:t>
      </w:r>
    </w:p>
    <w:p>
      <w:pPr>
        <w:pStyle w:val="Heading3"/>
        <w:spacing w:after="80" w:before="220"/>
      </w:pPr>
      <w:r>
        <w:rPr>
          <w:b/>
          <w:bCs/>
        </w:rPr>
        <w:t xml:space="preserve">L5d ↔ L6 · Households &amp; Corporates ↔ Expectations</w:t>
      </w:r>
    </w:p>
    <w:p>
      <w:pPr>
        <w:spacing w:after="160"/>
      </w:pPr>
      <w:r>
        <w:t xml:space="preserve">Survey expectations from HH. Dissonance: HH expectations diverge from market-implied — sticky-info or extrapolation effects.</w:t>
      </w:r>
    </w:p>
    <w:p>
      <w:pPr>
        <w:pStyle w:val="Heading3"/>
        <w:spacing w:after="80" w:before="220"/>
      </w:pPr>
      <w:r>
        <w:rPr>
          <w:b/>
          <w:bCs/>
        </w:rPr>
        <w:t xml:space="preserve">L5e ↔ L6 · Sovereign ↔ Expectations</w:t>
      </w:r>
    </w:p>
    <w:p>
      <w:pPr>
        <w:spacing w:after="160"/>
      </w:pPr>
      <w:r>
        <w:t xml:space="preserve">Sovereign credit expectations. Dissonance: rating-agency views diverge from CDS-implied default probabilities.</w:t>
      </w:r>
    </w:p>
    <w:p>
      <w:pPr>
        <w:pStyle w:val="Heading3"/>
        <w:spacing w:after="80" w:before="220"/>
      </w:pPr>
      <w:r>
        <w:rPr>
          <w:b/>
          <w:bCs/>
        </w:rPr>
        <w:t xml:space="preserve">L5a ↔ L7 · Banks ↔ Financial Conditions</w:t>
      </w:r>
    </w:p>
    <w:p>
      <w:pPr>
        <w:spacing w:after="160"/>
      </w:pPr>
      <w:r>
        <w:t xml:space="preserve">Banks transmit credit conditions into FCI. Dissonance: bank stress without FCI tightening (or vice versa).</w:t>
      </w:r>
    </w:p>
    <w:p>
      <w:pPr>
        <w:pStyle w:val="Heading3"/>
        <w:spacing w:after="80" w:before="220"/>
      </w:pPr>
      <w:r>
        <w:rPr>
          <w:b/>
          <w:bCs/>
        </w:rPr>
        <w:t xml:space="preserve">L5b ↔ L7 · NBFI ↔ Financial Conditions</w:t>
      </w:r>
    </w:p>
    <w:p>
      <w:pPr>
        <w:spacing w:after="160"/>
      </w:pPr>
      <w:r>
        <w:t xml:space="preserve">NBFI stress feeds into spreads and FCI. Dissonance: NBFI stress without FCI response — NBFI under-represented in FCI.</w:t>
      </w:r>
    </w:p>
    <w:p>
      <w:pPr>
        <w:pStyle w:val="Heading3"/>
        <w:spacing w:after="80" w:before="220"/>
      </w:pPr>
      <w:r>
        <w:rPr>
          <w:b/>
          <w:bCs/>
        </w:rPr>
        <w:t xml:space="preserve">L5c ↔ L7 · Dealers ↔ Financial Conditions</w:t>
      </w:r>
    </w:p>
    <w:p>
      <w:pPr>
        <w:spacing w:after="160"/>
      </w:pPr>
      <w:r>
        <w:t xml:space="preserve">Dealer balance-sheet stress moves FCI via spreads and basis. Dissonance: dealer stress without FCI response.</w:t>
      </w:r>
    </w:p>
    <w:p>
      <w:pPr>
        <w:pStyle w:val="Heading3"/>
        <w:spacing w:after="80" w:before="220"/>
      </w:pPr>
      <w:r>
        <w:rPr>
          <w:b/>
          <w:bCs/>
        </w:rPr>
        <w:t xml:space="preserve">L5d ↔ L7 · Households &amp; Corporates ↔ Financial Conditions</w:t>
      </w:r>
    </w:p>
    <w:p>
      <w:pPr>
        <w:spacing w:after="160"/>
      </w:pPr>
      <w:r>
        <w:t xml:space="preserve">Private credit demand affects FCI inputs. Dissonance: HH/corporate stress without FCI tightening.</w:t>
      </w:r>
    </w:p>
    <w:p>
      <w:pPr>
        <w:pStyle w:val="Heading3"/>
        <w:spacing w:after="80" w:before="220"/>
      </w:pPr>
      <w:r>
        <w:rPr>
          <w:b/>
          <w:bCs/>
        </w:rPr>
        <w:t xml:space="preserve">L5e ↔ L7 · Sovereign ↔ Financial Conditions</w:t>
      </w:r>
    </w:p>
    <w:p>
      <w:pPr>
        <w:spacing w:after="160"/>
      </w:pPr>
      <w:r>
        <w:t xml:space="preserve">Sovereign yields and CDS feed FCI. Dissonance: sovereign stress without FCI response (especially relevant in EM).</w:t>
      </w:r>
    </w:p>
    <w:p>
      <w:pPr>
        <w:pStyle w:val="Heading3"/>
        <w:spacing w:after="80" w:before="220"/>
      </w:pPr>
      <w:r>
        <w:rPr>
          <w:b/>
          <w:bCs/>
        </w:rPr>
        <w:t xml:space="preserve">L5a ↔ L8 · Banks ↔ Valuation Drivers</w:t>
      </w:r>
    </w:p>
    <w:p>
      <w:pPr>
        <w:spacing w:after="160"/>
      </w:pPr>
      <w:r>
        <w:t xml:space="preserve">Bank credit availability affects discount rates and credit risk premia. Dissonance: bank stress without credit-premium widening.</w:t>
      </w:r>
    </w:p>
    <w:p>
      <w:pPr>
        <w:pStyle w:val="Heading3"/>
        <w:spacing w:after="80" w:before="220"/>
      </w:pPr>
      <w:r>
        <w:rPr>
          <w:b/>
          <w:bCs/>
        </w:rPr>
        <w:t xml:space="preserve">L5b ↔ L8 · NBFI ↔ Valuation Drivers</w:t>
      </w:r>
    </w:p>
    <w:p>
      <w:pPr>
        <w:spacing w:after="160"/>
      </w:pPr>
      <w:r>
        <w:t xml:space="preserve">NBFI risk-bearing affects risk premia. Dissonance: NBFI deleveraging without risk-premium response — repricing lagging stress.</w:t>
      </w:r>
    </w:p>
    <w:p>
      <w:pPr>
        <w:pStyle w:val="Heading3"/>
        <w:spacing w:after="80" w:before="220"/>
      </w:pPr>
      <w:r>
        <w:rPr>
          <w:b/>
          <w:bCs/>
        </w:rPr>
        <w:t xml:space="preserve">L5c ↔ L8 · Dealers ↔ Valuation Drivers</w:t>
      </w:r>
    </w:p>
    <w:p>
      <w:pPr>
        <w:spacing w:after="160"/>
      </w:pPr>
      <w:r>
        <w:t xml:space="preserve">Dealer constraints widen all risk premia (intermediary asset pricing). Dissonance: dealer constraints without cross-asset risk-premium response.</w:t>
      </w:r>
    </w:p>
    <w:p>
      <w:pPr>
        <w:pStyle w:val="Heading3"/>
        <w:spacing w:after="80" w:before="220"/>
      </w:pPr>
      <w:r>
        <w:rPr>
          <w:b/>
          <w:bCs/>
        </w:rPr>
        <w:t xml:space="preserve">L5d ↔ L8 · Households &amp; Corporates ↔ Valuation Drivers</w:t>
      </w:r>
    </w:p>
    <w:p>
      <w:pPr>
        <w:spacing w:after="160"/>
      </w:pPr>
      <w:r>
        <w:t xml:space="preserve">Private balance sheet health affects credit and equity premia. Dissonance: HH/corporate stress without affecting credit/equity premia.</w:t>
      </w:r>
    </w:p>
    <w:p>
      <w:pPr>
        <w:pStyle w:val="Heading3"/>
        <w:spacing w:after="80" w:before="220"/>
      </w:pPr>
      <w:r>
        <w:rPr>
          <w:b/>
          <w:bCs/>
        </w:rPr>
        <w:t xml:space="preserve">L5e ↔ L8 · Sovereign ↔ Valuation Drivers</w:t>
      </w:r>
    </w:p>
    <w:p>
      <w:pPr>
        <w:spacing w:after="160"/>
      </w:pPr>
      <w:r>
        <w:t xml:space="preserve">Sovereign risk premium. Dissonance: sovereign deterioration without sovereign-premium widening.</w:t>
      </w:r>
    </w:p>
    <w:p>
      <w:pPr>
        <w:pStyle w:val="Heading3"/>
        <w:spacing w:after="80" w:before="220"/>
      </w:pPr>
      <w:r>
        <w:rPr>
          <w:b/>
          <w:bCs/>
        </w:rPr>
        <w:t xml:space="preserve">L5a ↔ L9 · Banks ↔ Asset Prices</w:t>
      </w:r>
    </w:p>
    <w:p>
      <w:pPr>
        <w:spacing w:after="160"/>
      </w:pPr>
      <w:r>
        <w:t xml:space="preserve">Bank stress hits bank stocks and credit. Dissonance: bank stress without bank stock decline.</w:t>
      </w:r>
    </w:p>
    <w:p>
      <w:pPr>
        <w:pStyle w:val="Heading3"/>
        <w:spacing w:after="80" w:before="220"/>
      </w:pPr>
      <w:r>
        <w:rPr>
          <w:b/>
          <w:bCs/>
        </w:rPr>
        <w:t xml:space="preserve">L5b ↔ L9 · NBFI ↔ Asset Prices</w:t>
      </w:r>
    </w:p>
    <w:p>
      <w:pPr>
        <w:spacing w:after="160"/>
      </w:pPr>
      <w:r>
        <w:t xml:space="preserve">NBFI deleveraging moves asset prices. Dissonance: NBFI flows without expected asset-price impact.</w:t>
      </w:r>
    </w:p>
    <w:p>
      <w:pPr>
        <w:pStyle w:val="Heading3"/>
        <w:spacing w:after="80" w:before="220"/>
      </w:pPr>
      <w:r>
        <w:rPr>
          <w:b/>
          <w:bCs/>
        </w:rPr>
        <w:t xml:space="preserve">L5c ↔ L9 · Dealers ↔ Asset Prices</w:t>
      </w:r>
    </w:p>
    <w:p>
      <w:pPr>
        <w:spacing w:after="160"/>
      </w:pPr>
      <w:r>
        <w:t xml:space="preserve">Dealer constraints move all asset prices via the intermediary pricing channel. Dissonance: dealer stress without cross-asset response.</w:t>
      </w:r>
    </w:p>
    <w:p>
      <w:pPr>
        <w:pStyle w:val="Heading3"/>
        <w:spacing w:after="80" w:before="220"/>
      </w:pPr>
      <w:r>
        <w:rPr>
          <w:b/>
          <w:bCs/>
        </w:rPr>
        <w:t xml:space="preserve">L5d ↔ L9 · Households &amp; Corporates ↔ Asset Prices</w:t>
      </w:r>
    </w:p>
    <w:p>
      <w:pPr>
        <w:spacing w:after="160"/>
      </w:pPr>
      <w:r>
        <w:t xml:space="preserve">HH/corporate balance-sheet stress hits credit and equity. Dissonance: balance-sheet stress without asset-price response.</w:t>
      </w:r>
    </w:p>
    <w:p>
      <w:pPr>
        <w:pStyle w:val="Heading3"/>
        <w:spacing w:after="80" w:before="220"/>
      </w:pPr>
      <w:r>
        <w:rPr>
          <w:b/>
          <w:bCs/>
        </w:rPr>
        <w:t xml:space="preserve">L5e ↔ L9 · Sovereign ↔ Asset Prices</w:t>
      </w:r>
    </w:p>
    <w:p>
      <w:pPr>
        <w:spacing w:after="160"/>
      </w:pPr>
      <w:r>
        <w:t xml:space="preserve">Sovereign stress hits sovereign bonds, currency, equity. Dissonance: sovereign stress without sovereign-asset response — segmentation.</w:t>
      </w:r>
    </w:p>
    <w:p>
      <w:pPr>
        <w:pStyle w:val="Heading3"/>
        <w:spacing w:after="80" w:before="220"/>
      </w:pPr>
      <w:r>
        <w:rPr>
          <w:b/>
          <w:bCs/>
        </w:rPr>
        <w:t xml:space="preserve">L5a ↔ L10a · Banks ↔ Real Economy</w:t>
      </w:r>
    </w:p>
    <w:p>
      <w:pPr>
        <w:spacing w:after="160"/>
      </w:pPr>
      <w:r>
        <w:t xml:space="preserve">Bank lending channel into real activity. Dissonance: bank credit weakening without real-economy slowdown.</w:t>
      </w:r>
    </w:p>
    <w:p>
      <w:pPr>
        <w:pStyle w:val="Heading3"/>
        <w:spacing w:after="80" w:before="220"/>
      </w:pPr>
      <w:r>
        <w:rPr>
          <w:b/>
          <w:bCs/>
        </w:rPr>
        <w:t xml:space="preserve">L5a ↔ L10b · Banks ↔ Financial Stability</w:t>
      </w:r>
    </w:p>
    <w:p>
      <w:pPr>
        <w:spacing w:after="160"/>
      </w:pPr>
      <w:r>
        <w:t xml:space="preserve">Banks are central to financial stability. Dissonance: bank metrics fine but stability concerns rising — NBFI driven.</w:t>
      </w:r>
    </w:p>
    <w:p>
      <w:pPr>
        <w:pStyle w:val="Heading3"/>
        <w:spacing w:after="80" w:before="220"/>
      </w:pPr>
      <w:r>
        <w:rPr>
          <w:b/>
          <w:bCs/>
        </w:rPr>
        <w:t xml:space="preserve">L5a ↔ L10c · Banks ↔ Global Spillovers</w:t>
      </w:r>
    </w:p>
    <w:p>
      <w:pPr>
        <w:spacing w:after="160"/>
      </w:pPr>
      <w:r>
        <w:t xml:space="preserve">Cross-border bank lending channel. Dissonance: domestic bank stress without global spillover via funding markets.</w:t>
      </w:r>
    </w:p>
    <w:p>
      <w:pPr>
        <w:pStyle w:val="Heading3"/>
        <w:spacing w:after="80" w:before="220"/>
      </w:pPr>
      <w:r>
        <w:rPr>
          <w:b/>
          <w:bCs/>
        </w:rPr>
        <w:t xml:space="preserve">L5b ↔ L10a · NBFI ↔ Real Economy</w:t>
      </w:r>
    </w:p>
    <w:p>
      <w:pPr>
        <w:spacing w:after="160"/>
      </w:pPr>
      <w:r>
        <w:t xml:space="preserve">NBFI lending to real economy (private credit). Dissonance: NBFI lending growth without real-economy response.</w:t>
      </w:r>
    </w:p>
    <w:p>
      <w:pPr>
        <w:pStyle w:val="Heading3"/>
        <w:spacing w:after="80" w:before="220"/>
      </w:pPr>
      <w:r>
        <w:rPr>
          <w:b/>
          <w:bCs/>
        </w:rPr>
        <w:t xml:space="preserve">L5b ↔ L10b · NBFI ↔ Financial Stability</w:t>
      </w:r>
    </w:p>
    <w:p>
      <w:pPr>
        <w:spacing w:after="160"/>
      </w:pPr>
      <w:r>
        <w:t xml:space="preserve">NBFI fragility is the post-2008 stability concern. Dissonance: NBFI metrics calm but stability concerns rising elsewhere.</w:t>
      </w:r>
    </w:p>
    <w:p>
      <w:pPr>
        <w:pStyle w:val="Heading3"/>
        <w:spacing w:after="80" w:before="220"/>
      </w:pPr>
      <w:r>
        <w:rPr>
          <w:b/>
          <w:bCs/>
        </w:rPr>
        <w:t xml:space="preserve">L5b ↔ L10c · NBFI ↔ Global Spillovers</w:t>
      </w:r>
    </w:p>
    <w:p>
      <w:pPr>
        <w:spacing w:after="160"/>
      </w:pPr>
      <w:r>
        <w:t xml:space="preserve">NBFI flows cross-border. Dissonance: NBFI flows without spillover — flows recycled domestically.</w:t>
      </w:r>
    </w:p>
    <w:p>
      <w:pPr>
        <w:pStyle w:val="Heading3"/>
        <w:spacing w:after="80" w:before="220"/>
      </w:pPr>
      <w:r>
        <w:rPr>
          <w:b/>
          <w:bCs/>
        </w:rPr>
        <w:t xml:space="preserve">L5c ↔ L10a · Dealers ↔ Real Economy</w:t>
      </w:r>
    </w:p>
    <w:p>
      <w:pPr>
        <w:spacing w:after="160"/>
      </w:pPr>
      <w:r>
        <w:t xml:space="preserve">Dealer constraints affect cost of credit. Dissonance: dealer stress without real-economy borrowing-cost response.</w:t>
      </w:r>
    </w:p>
    <w:p>
      <w:pPr>
        <w:pStyle w:val="Heading3"/>
        <w:spacing w:after="80" w:before="220"/>
      </w:pPr>
      <w:r>
        <w:rPr>
          <w:b/>
          <w:bCs/>
        </w:rPr>
        <w:t xml:space="preserve">L5c ↔ L10b · Dealers ↔ Financial Stability</w:t>
      </w:r>
    </w:p>
    <w:p>
      <w:pPr>
        <w:spacing w:after="160"/>
      </w:pPr>
      <w:r>
        <w:t xml:space="preserve">Dealer constraints amplify shocks. Dissonance: dealer stress without amplification — capacity buffer holding.</w:t>
      </w:r>
    </w:p>
    <w:p>
      <w:pPr>
        <w:pStyle w:val="Heading3"/>
        <w:spacing w:after="80" w:before="220"/>
      </w:pPr>
      <w:r>
        <w:rPr>
          <w:b/>
          <w:bCs/>
        </w:rPr>
        <w:t xml:space="preserve">L5c ↔ L10c · Dealers ↔ Global Spillovers</w:t>
      </w:r>
    </w:p>
    <w:p>
      <w:pPr>
        <w:spacing w:after="160"/>
      </w:pPr>
      <w:r>
        <w:t xml:space="preserve">Dealers connect cross-border via repo and swap markets. Dissonance: dealer stress without global funding stress.</w:t>
      </w:r>
    </w:p>
    <w:p>
      <w:pPr>
        <w:pStyle w:val="Heading3"/>
        <w:spacing w:after="80" w:before="220"/>
      </w:pPr>
      <w:r>
        <w:rPr>
          <w:b/>
          <w:bCs/>
        </w:rPr>
        <w:t xml:space="preserve">L5d ↔ L10a · Households &amp; Corporates ↔ Real Economy</w:t>
      </w:r>
    </w:p>
    <w:p>
      <w:pPr>
        <w:spacing w:after="160"/>
      </w:pPr>
      <w:r>
        <w:t xml:space="preserve">HH/corporate balance sheet maps to consumption and investment. Dissonance: balance-sheet stress without spending response.</w:t>
      </w:r>
    </w:p>
    <w:p>
      <w:pPr>
        <w:pStyle w:val="Heading3"/>
        <w:spacing w:after="80" w:before="220"/>
      </w:pPr>
      <w:r>
        <w:rPr>
          <w:b/>
          <w:bCs/>
        </w:rPr>
        <w:t xml:space="preserve">L5d ↔ L10b · Households &amp; Corporates ↔ Financial Stability</w:t>
      </w:r>
    </w:p>
    <w:p>
      <w:pPr>
        <w:spacing w:after="160"/>
      </w:pPr>
      <w:r>
        <w:t xml:space="preserve">HH/corporate leverage creates stability concerns. Dissonance: leverage building without stability concern flagging.</w:t>
      </w:r>
    </w:p>
    <w:p>
      <w:pPr>
        <w:pStyle w:val="Heading3"/>
        <w:spacing w:after="80" w:before="220"/>
      </w:pPr>
      <w:r>
        <w:rPr>
          <w:b/>
          <w:bCs/>
        </w:rPr>
        <w:t xml:space="preserve">L5d ↔ L10c · Households &amp; Corporates ↔ Global Spillovers</w:t>
      </w:r>
    </w:p>
    <w:p>
      <w:pPr>
        <w:spacing w:after="160"/>
      </w:pPr>
      <w:r>
        <w:t xml:space="preserve">HH/corporate balance sheets affect aggregate demand and imports. Dissonance: balance-sheet effects without external-balance response.</w:t>
      </w:r>
    </w:p>
    <w:p>
      <w:pPr>
        <w:pStyle w:val="Heading3"/>
        <w:spacing w:after="80" w:before="220"/>
      </w:pPr>
      <w:r>
        <w:rPr>
          <w:b/>
          <w:bCs/>
        </w:rPr>
        <w:t xml:space="preserve">L5e ↔ L10a · Sovereign ↔ Real Economy</w:t>
      </w:r>
    </w:p>
    <w:p>
      <w:pPr>
        <w:spacing w:after="160"/>
      </w:pPr>
      <w:r>
        <w:t xml:space="preserve">Sovereign fiscal stance affects demand. Dissonance: sovereign stress without fiscal-multiplier transmission.</w:t>
      </w:r>
    </w:p>
    <w:p>
      <w:pPr>
        <w:pStyle w:val="Heading3"/>
        <w:spacing w:after="80" w:before="220"/>
      </w:pPr>
      <w:r>
        <w:rPr>
          <w:b/>
          <w:bCs/>
        </w:rPr>
        <w:t xml:space="preserve">L5e ↔ L10b · Sovereign ↔ Financial Stability</w:t>
      </w:r>
    </w:p>
    <w:p>
      <w:pPr>
        <w:spacing w:after="160"/>
      </w:pPr>
      <w:r>
        <w:t xml:space="preserve">Sovereign-bank loop is the key stability channel. Dissonance: sovereign stress without bank-system stress — loop weak.</w:t>
      </w:r>
    </w:p>
    <w:p>
      <w:pPr>
        <w:pStyle w:val="Heading3"/>
        <w:spacing w:after="80" w:before="220"/>
      </w:pPr>
      <w:r>
        <w:rPr>
          <w:b/>
          <w:bCs/>
        </w:rPr>
        <w:t xml:space="preserve">L5e ↔ L10c · Sovereign ↔ Global Spillovers</w:t>
      </w:r>
    </w:p>
    <w:p>
      <w:pPr>
        <w:spacing w:after="160"/>
      </w:pPr>
      <w:r>
        <w:t xml:space="preserve">Sovereign stress exports via cross-border holdings and contagion. Dissonance: sovereign stress contained — no spillover.</w:t>
      </w:r>
    </w:p>
    <w:p>
      <w:pPr>
        <w:pStyle w:val="Heading2"/>
        <w:spacing w:after="160" w:before="300"/>
      </w:pPr>
      <w:r>
        <w:t xml:space="preserve">B.12 · L6 Origin (6)</w:t>
      </w:r>
    </w:p>
    <w:p>
      <w:pPr>
        <w:pStyle w:val="Heading3"/>
        <w:spacing w:after="80" w:before="220"/>
      </w:pPr>
      <w:r>
        <w:rPr>
          <w:b/>
          <w:bCs/>
        </w:rPr>
        <w:t xml:space="preserve">L6 ↔ L7 · Expectations ↔ Financial Conditions</w:t>
      </w:r>
    </w:p>
    <w:p>
      <w:pPr>
        <w:spacing w:after="160"/>
      </w:pPr>
      <w:r>
        <w:t xml:space="preserve">Expectations shape forward conditions. Dissonance: expectations shift without FCI response — credibility channel weak.</w:t>
      </w:r>
    </w:p>
    <w:p>
      <w:pPr>
        <w:pStyle w:val="Heading3"/>
        <w:spacing w:after="80" w:before="220"/>
      </w:pPr>
      <w:r>
        <w:rPr>
          <w:b/>
          <w:bCs/>
        </w:rPr>
        <w:t xml:space="preserve">L6 ↔ L8 · Expectations ↔ Valuation Drivers</w:t>
      </w:r>
    </w:p>
    <w:p>
      <w:pPr>
        <w:spacing w:after="160"/>
      </w:pPr>
      <w:r>
        <w:t xml:space="preserve">Expectations drive cash flow forecasts. Dissonance: expectations move without affecting valuation drivers — segmentation.</w:t>
      </w:r>
    </w:p>
    <w:p>
      <w:pPr>
        <w:pStyle w:val="Heading3"/>
        <w:spacing w:after="80" w:before="220"/>
      </w:pPr>
      <w:r>
        <w:rPr>
          <w:b/>
          <w:bCs/>
        </w:rPr>
        <w:t xml:space="preserve">L6 ↔ L9 · Expectations ↔ Asset Prices</w:t>
      </w:r>
    </w:p>
    <w:p>
      <w:pPr>
        <w:spacing w:after="160"/>
      </w:pPr>
      <w:r>
        <w:t xml:space="preserve">Expectations drive asset prices. Dissonance: expectations and asset prices diverge — positioning or technical factors dominating.</w:t>
      </w:r>
    </w:p>
    <w:p>
      <w:pPr>
        <w:pStyle w:val="Heading3"/>
        <w:spacing w:after="80" w:before="220"/>
      </w:pPr>
      <w:r>
        <w:rPr>
          <w:b/>
          <w:bCs/>
        </w:rPr>
        <w:t xml:space="preserve">L6 ↔ L10a · Expectations ↔ Real Economy</w:t>
      </w:r>
    </w:p>
    <w:p>
      <w:pPr>
        <w:spacing w:after="160"/>
      </w:pPr>
      <w:r>
        <w:t xml:space="preserve">Expectations affect spending and investment timing. Dissonance: expectations shift without real-economy response.</w:t>
      </w:r>
    </w:p>
    <w:p>
      <w:pPr>
        <w:pStyle w:val="Heading3"/>
        <w:spacing w:after="80" w:before="220"/>
      </w:pPr>
      <w:r>
        <w:rPr>
          <w:b/>
          <w:bCs/>
        </w:rPr>
        <w:t xml:space="preserve">L6 ↔ L10b · Expectations ↔ Financial Stability</w:t>
      </w:r>
    </w:p>
    <w:p>
      <w:pPr>
        <w:spacing w:after="160"/>
      </w:pPr>
      <w:r>
        <w:t xml:space="preserve">Stability expectations affect leverage and risk-taking. Dissonance: leverage builds despite caution-flagged expectations.</w:t>
      </w:r>
    </w:p>
    <w:p>
      <w:pPr>
        <w:pStyle w:val="Heading3"/>
        <w:spacing w:after="80" w:before="220"/>
      </w:pPr>
      <w:r>
        <w:rPr>
          <w:b/>
          <w:bCs/>
        </w:rPr>
        <w:t xml:space="preserve">L6 ↔ L10c · Expectations ↔ Global Spillovers</w:t>
      </w:r>
    </w:p>
    <w:p>
      <w:pPr>
        <w:spacing w:after="160"/>
      </w:pPr>
      <w:r>
        <w:t xml:space="preserve">Heterogeneous global expectations drive capital flows. Dissonance: expectations align globally but flows do not follow.</w:t>
      </w:r>
    </w:p>
    <w:p>
      <w:pPr>
        <w:pStyle w:val="Heading2"/>
        <w:spacing w:after="160" w:before="300"/>
      </w:pPr>
      <w:r>
        <w:t xml:space="preserve">B.13 · L7 Origin (5)</w:t>
      </w:r>
    </w:p>
    <w:p>
      <w:pPr>
        <w:pStyle w:val="Heading3"/>
        <w:spacing w:after="80" w:before="220"/>
      </w:pPr>
      <w:r>
        <w:rPr>
          <w:b/>
          <w:bCs/>
        </w:rPr>
        <w:t xml:space="preserve">L7 ↔ L8 · Financial Conditions ↔ Valuation Drivers</w:t>
      </w:r>
    </w:p>
    <w:p>
      <w:pPr>
        <w:spacing w:after="160"/>
      </w:pPr>
      <w:r>
        <w:t xml:space="preserve">FCI is the integrated discount-rate driver. Dissonance: FCI moves without driver response — measurement weighting issue.</w:t>
      </w:r>
    </w:p>
    <w:p>
      <w:pPr>
        <w:pStyle w:val="Heading3"/>
        <w:spacing w:after="80" w:before="220"/>
      </w:pPr>
      <w:r>
        <w:rPr>
          <w:b/>
          <w:bCs/>
        </w:rPr>
        <w:t xml:space="preserve">L7 ↔ L9 · Financial Conditions ↔ Asset Prices</w:t>
      </w:r>
    </w:p>
    <w:p>
      <w:pPr>
        <w:spacing w:after="160"/>
      </w:pPr>
      <w:r>
        <w:t xml:space="preserve">FCI is downstream of and feeds back to asset prices. Dissonance: FCI moves without asset-price response.</w:t>
      </w:r>
    </w:p>
    <w:p>
      <w:pPr>
        <w:pStyle w:val="Heading3"/>
        <w:spacing w:after="80" w:before="220"/>
      </w:pPr>
      <w:r>
        <w:rPr>
          <w:b/>
          <w:bCs/>
        </w:rPr>
        <w:t xml:space="preserve">L7 ↔ L10a · Financial Conditions ↔ Real Economy</w:t>
      </w:r>
    </w:p>
    <w:p>
      <w:pPr>
        <w:spacing w:after="160"/>
      </w:pPr>
      <w:r>
        <w:t xml:space="preserve">FCI predicts GDP a few quarters out. Dissonance: FCI tightening without growth slowdown.</w:t>
      </w:r>
    </w:p>
    <w:p>
      <w:pPr>
        <w:pStyle w:val="Heading3"/>
        <w:spacing w:after="80" w:before="220"/>
      </w:pPr>
      <w:r>
        <w:rPr>
          <w:b/>
          <w:bCs/>
        </w:rPr>
        <w:t xml:space="preserve">L7 ↔ L10b · Financial Conditions ↔ Financial Stability</w:t>
      </w:r>
    </w:p>
    <w:p>
      <w:pPr>
        <w:spacing w:after="160"/>
      </w:pPr>
      <w:r>
        <w:t xml:space="preserve">FCI captures some stability indicators. Dissonance: FCI calm with leverage building elsewhere — coverage gap.</w:t>
      </w:r>
    </w:p>
    <w:p>
      <w:pPr>
        <w:pStyle w:val="Heading3"/>
        <w:spacing w:after="80" w:before="220"/>
      </w:pPr>
      <w:r>
        <w:rPr>
          <w:b/>
          <w:bCs/>
        </w:rPr>
        <w:t xml:space="preserve">L7 ↔ L10c · Financial Conditions ↔ Global Spillovers</w:t>
      </w:r>
    </w:p>
    <w:p>
      <w:pPr>
        <w:spacing w:after="160"/>
      </w:pPr>
      <w:r>
        <w:t xml:space="preserve">FCI moves correlate cross-border. Dissonance: domestic FCI move without global comovement.</w:t>
      </w:r>
    </w:p>
    <w:p>
      <w:pPr>
        <w:pStyle w:val="Heading2"/>
        <w:spacing w:after="160" w:before="300"/>
      </w:pPr>
      <w:r>
        <w:t xml:space="preserve">B.14 · L8 Origin (4)</w:t>
      </w:r>
    </w:p>
    <w:p>
      <w:pPr>
        <w:pStyle w:val="Heading3"/>
        <w:spacing w:after="80" w:before="220"/>
      </w:pPr>
      <w:r>
        <w:rPr>
          <w:b/>
          <w:bCs/>
        </w:rPr>
        <w:t xml:space="preserve">L8 ↔ L9 · Valuation Drivers ↔ Asset Prices</w:t>
      </w:r>
    </w:p>
    <w:p>
      <w:pPr>
        <w:spacing w:after="160"/>
      </w:pPr>
      <w:r>
        <w:t xml:space="preserve">Drivers determine prices by definition. Dissonance: prices move without driver justification — sentiment, flows, technicals.</w:t>
      </w:r>
    </w:p>
    <w:p>
      <w:pPr>
        <w:pStyle w:val="Heading3"/>
        <w:spacing w:after="80" w:before="220"/>
      </w:pPr>
      <w:r>
        <w:rPr>
          <w:b/>
          <w:bCs/>
        </w:rPr>
        <w:t xml:space="preserve">L8 ↔ L10a · Valuation Drivers ↔ Real Economy</w:t>
      </w:r>
    </w:p>
    <w:p>
      <w:pPr>
        <w:spacing w:after="160"/>
      </w:pPr>
      <w:r>
        <w:t xml:space="preserve">Discount rates affect real investment decisions. Dissonance: discount-rate moves without investment response.</w:t>
      </w:r>
    </w:p>
    <w:p>
      <w:pPr>
        <w:pStyle w:val="Heading3"/>
        <w:spacing w:after="80" w:before="220"/>
      </w:pPr>
      <w:r>
        <w:rPr>
          <w:b/>
          <w:bCs/>
        </w:rPr>
        <w:t xml:space="preserve">L8 ↔ L10b · Valuation Drivers ↔ Financial Stability</w:t>
      </w:r>
    </w:p>
    <w:p>
      <w:pPr>
        <w:spacing w:after="160"/>
      </w:pPr>
      <w:r>
        <w:t xml:space="preserve">Risk-premium compression breeds leverage. Dissonance: risk premia compress without leverage accumulating.</w:t>
      </w:r>
    </w:p>
    <w:p>
      <w:pPr>
        <w:pStyle w:val="Heading3"/>
        <w:spacing w:after="80" w:before="220"/>
      </w:pPr>
      <w:r>
        <w:rPr>
          <w:b/>
          <w:bCs/>
        </w:rPr>
        <w:t xml:space="preserve">L8 ↔ L10c · Valuation Drivers ↔ Global Spillovers</w:t>
      </w:r>
    </w:p>
    <w:p>
      <w:pPr>
        <w:spacing w:after="160"/>
      </w:pPr>
      <w:r>
        <w:t xml:space="preserve">Cross-asset convenience yield drives EM flows. Dissonance: convenience yield moves without EM flow response.</w:t>
      </w:r>
    </w:p>
    <w:p>
      <w:pPr>
        <w:pStyle w:val="Heading2"/>
        <w:spacing w:after="160" w:before="300"/>
      </w:pPr>
      <w:r>
        <w:t xml:space="preserve">B.15 · L9 Origin (3)</w:t>
      </w:r>
    </w:p>
    <w:p>
      <w:pPr>
        <w:pStyle w:val="Heading3"/>
        <w:spacing w:after="80" w:before="220"/>
      </w:pPr>
      <w:r>
        <w:rPr>
          <w:b/>
          <w:bCs/>
        </w:rPr>
        <w:t xml:space="preserve">L9 ↔ L10a · Asset Prices ↔ Real Economy</w:t>
      </w:r>
    </w:p>
    <w:p>
      <w:pPr>
        <w:spacing w:after="160"/>
      </w:pPr>
      <w:r>
        <w:t xml:space="preserve">Wealth effects and cost of capital. Dissonance: asset prices move without real-economy response.</w:t>
      </w:r>
    </w:p>
    <w:p>
      <w:pPr>
        <w:pStyle w:val="Heading3"/>
        <w:spacing w:after="80" w:before="220"/>
      </w:pPr>
      <w:r>
        <w:rPr>
          <w:b/>
          <w:bCs/>
        </w:rPr>
        <w:t xml:space="preserve">L9 ↔ L10b · Asset Prices ↔ Financial Stability</w:t>
      </w:r>
    </w:p>
    <w:p>
      <w:pPr>
        <w:spacing w:after="160"/>
      </w:pPr>
      <w:r>
        <w:t xml:space="preserve">Asset-price moves trigger margin and forced-selling dynamics. Dissonance: asset prices fall without stability event — buffers holding.</w:t>
      </w:r>
    </w:p>
    <w:p>
      <w:pPr>
        <w:pStyle w:val="Heading3"/>
        <w:spacing w:after="80" w:before="220"/>
      </w:pPr>
      <w:r>
        <w:rPr>
          <w:b/>
          <w:bCs/>
        </w:rPr>
        <w:t xml:space="preserve">L9 ↔ L10c · Asset Prices ↔ Global Spillovers</w:t>
      </w:r>
    </w:p>
    <w:p>
      <w:pPr>
        <w:spacing w:after="160"/>
      </w:pPr>
      <w:r>
        <w:t xml:space="preserve">Asset-price moves correlate cross-border. Dissonance: domestic asset move without global response.</w:t>
      </w:r>
    </w:p>
    <w:p>
      <w:pPr>
        <w:pStyle w:val="Heading2"/>
        <w:spacing w:after="160" w:before="300"/>
      </w:pPr>
      <w:r>
        <w:t xml:space="preserve">B.16 · L10 Peer (3)</w:t>
      </w:r>
    </w:p>
    <w:p>
      <w:pPr>
        <w:pStyle w:val="Heading3"/>
        <w:spacing w:after="80" w:before="220"/>
      </w:pPr>
      <w:r>
        <w:rPr>
          <w:b/>
          <w:bCs/>
        </w:rPr>
        <w:t xml:space="preserve">L10a ↔ L10b · Real Economy ↔ Financial Stability</w:t>
      </w:r>
    </w:p>
    <w:p>
      <w:pPr>
        <w:spacing w:after="160"/>
      </w:pPr>
      <w:r>
        <w:t xml:space="preserve">Real outcomes and stability interact. Dissonance: economy slows without stability stress, or stability stress without economic damage.</w:t>
      </w:r>
    </w:p>
    <w:p>
      <w:pPr>
        <w:pStyle w:val="Heading3"/>
        <w:spacing w:after="80" w:before="220"/>
      </w:pPr>
      <w:r>
        <w:rPr>
          <w:b/>
          <w:bCs/>
        </w:rPr>
        <w:t xml:space="preserve">L10a ↔ L10c · Real Economy ↔ Global Spillovers</w:t>
      </w:r>
    </w:p>
    <w:p>
      <w:pPr>
        <w:spacing w:after="160"/>
      </w:pPr>
      <w:r>
        <w:t xml:space="preserve">Domestic activity spills cross-border. Dissonance: domestic slowdown without external spillover.</w:t>
      </w:r>
    </w:p>
    <w:p>
      <w:pPr>
        <w:pStyle w:val="Heading3"/>
        <w:spacing w:after="80" w:before="220"/>
      </w:pPr>
      <w:r>
        <w:rPr>
          <w:b/>
          <w:bCs/>
        </w:rPr>
        <w:t xml:space="preserve">L10b ↔ L10c · Financial Stability ↔ Global Spillovers</w:t>
      </w:r>
    </w:p>
    <w:p>
      <w:pPr>
        <w:spacing w:after="160"/>
      </w:pPr>
      <w:r>
        <w:t xml:space="preserve">Stability events spill over globally. Dissonance: domestic stability event contained — no spillover.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outlineLvl w:val="0"/>
    </w:pPr>
    <w:rPr>
      <w:rFonts w:ascii="Calibri" w:cs="Calibri" w:eastAsia="Calibri" w:hAnsi="Calibri"/>
      <w:b/>
      <w:bCs/>
      <w:sz w:val="40"/>
      <w:szCs w:val="4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Bank Dissonance — Maximalist Relationship Catalogue</dc:title>
  <dc:creator>Justin</dc:creator>
  <cp:lastModifiedBy>Un-named</cp:lastModifiedBy>
  <cp:revision>1</cp:revision>
  <dcterms:created xsi:type="dcterms:W3CDTF">2026-05-14T06:32:20.787Z</dcterms:created>
  <dcterms:modified xsi:type="dcterms:W3CDTF">2026-05-14T06:32:20.787Z</dcterms:modified>
</cp:coreProperties>
</file>

<file path=docProps/custom.xml><?xml version="1.0" encoding="utf-8"?>
<Properties xmlns="http://schemas.openxmlformats.org/officeDocument/2006/custom-properties" xmlns:vt="http://schemas.openxmlformats.org/officeDocument/2006/docPropsVTypes"/>
</file>