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1F594" w14:textId="698CA3D8" w:rsidR="006735C1" w:rsidRPr="006735C1" w:rsidRDefault="006735C1" w:rsidP="006735C1">
      <w:pPr>
        <w:spacing w:before="100" w:beforeAutospacing="1" w:after="100" w:afterAutospacing="1" w:line="240" w:lineRule="auto"/>
        <w:jc w:val="center"/>
        <w:rPr>
          <w:rFonts w:ascii="Aptos" w:eastAsia="Times New Roman" w:hAnsi="Aptos" w:cs="Times New Roman"/>
          <w:b/>
          <w:bCs/>
          <w:kern w:val="0"/>
          <w:sz w:val="28"/>
          <w:szCs w:val="28"/>
          <w:lang w:eastAsia="en-GB"/>
          <w14:ligatures w14:val="none"/>
        </w:rPr>
      </w:pPr>
      <w:r>
        <w:rPr>
          <w:rFonts w:ascii="Aptos" w:eastAsia="Times New Roman" w:hAnsi="Aptos" w:cs="Times New Roman"/>
          <w:b/>
          <w:bCs/>
          <w:kern w:val="0"/>
          <w:sz w:val="28"/>
          <w:szCs w:val="28"/>
          <w:lang w:eastAsia="en-GB"/>
          <w14:ligatures w14:val="none"/>
        </w:rPr>
        <w:t>Theory</w:t>
      </w:r>
    </w:p>
    <w:p w14:paraId="155E65DA" w14:textId="56FB1859"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Level 3b — The Balance Sheet</w:t>
      </w:r>
    </w:p>
    <w:p w14:paraId="61762B8B"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Definition.</w:t>
      </w:r>
      <w:r w:rsidRPr="0032251D">
        <w:rPr>
          <w:rFonts w:ascii="Aptos" w:eastAsia="Times New Roman" w:hAnsi="Aptos" w:cs="Times New Roman"/>
          <w:kern w:val="0"/>
          <w:sz w:val="22"/>
          <w:szCs w:val="22"/>
          <w:lang w:eastAsia="en-GB"/>
          <w14:ligatures w14:val="none"/>
        </w:rPr>
        <w:t xml:space="preserve"> The central bank balance sheet is the </w:t>
      </w:r>
      <w:r w:rsidRPr="0032251D">
        <w:rPr>
          <w:rFonts w:ascii="Aptos" w:eastAsia="Times New Roman" w:hAnsi="Aptos" w:cs="Times New Roman"/>
          <w:i/>
          <w:iCs/>
          <w:kern w:val="0"/>
          <w:sz w:val="22"/>
          <w:szCs w:val="22"/>
          <w:lang w:eastAsia="en-GB"/>
          <w14:ligatures w14:val="none"/>
        </w:rPr>
        <w:t>quantity instrument</w:t>
      </w:r>
      <w:r w:rsidRPr="0032251D">
        <w:rPr>
          <w:rFonts w:ascii="Aptos" w:eastAsia="Times New Roman" w:hAnsi="Aptos" w:cs="Times New Roman"/>
          <w:kern w:val="0"/>
          <w:sz w:val="22"/>
          <w:szCs w:val="22"/>
          <w:lang w:eastAsia="en-GB"/>
          <w14:ligatures w14:val="none"/>
        </w:rPr>
        <w:t xml:space="preserve"> of monetary policy — the set of assets the bank holds (government bonds, agency MBS, foreign reserves, repo positions) and the liabilities it issues (currency, bank reserves, reverse repo). Pre-2008, the balance sheet was passive: just large enough to meet currency demand and reserve requirements. Post-2008 it became active: the bank deliberately expands or contracts size and composition to influence monetary stance and market functioning. Three operating modes — quantitative easing (QE) expands; quantitative tightening (QT) contracts; yield curve control (YCC) commits to buy or sell whatever is needed to peg a specific yield at a specific maturity.</w:t>
      </w:r>
    </w:p>
    <w:p w14:paraId="0D715B0D" w14:textId="77777777" w:rsidR="006735C1" w:rsidRPr="0032251D" w:rsidRDefault="006735C1" w:rsidP="006735C1">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4E13CEBA">
          <v:rect id="_x0000_i1040" alt="" style="width:451.3pt;height:.05pt;mso-width-percent:0;mso-height-percent:0;mso-width-percent:0;mso-height-percent:0" o:hralign="center" o:hrstd="t" o:hr="t" fillcolor="#a0a0a0" stroked="f"/>
        </w:pict>
      </w:r>
    </w:p>
    <w:p w14:paraId="50BEB63F"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Theory</w:t>
      </w:r>
    </w:p>
    <w:p w14:paraId="3F627564"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balance sheet exists as a distinct instrument because the policy rate alone is insufficient under two conditions: when the rate is constrained, and when the bank wants to operate on parts of the curve the rate does not reach.</w:t>
      </w:r>
    </w:p>
    <w:p w14:paraId="3F3E4363"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Portfolio balance (Tobin).</w:t>
      </w:r>
      <w:r w:rsidRPr="0032251D">
        <w:rPr>
          <w:rFonts w:ascii="Aptos" w:eastAsia="Times New Roman" w:hAnsi="Aptos" w:cs="Times New Roman"/>
          <w:kern w:val="0"/>
          <w:sz w:val="22"/>
          <w:szCs w:val="22"/>
          <w:lang w:eastAsia="en-GB"/>
          <w14:ligatures w14:val="none"/>
        </w:rPr>
        <w:t xml:space="preserve"> Investors hold portfolios across assets. When the bank removes a specific asset — long bonds — from private holdings, investors must rebalance. They demand more of substitute assets, bidding up their prices and lowering their yields. The balance sheet works through </w:t>
      </w:r>
      <w:r w:rsidRPr="0032251D">
        <w:rPr>
          <w:rFonts w:ascii="Aptos" w:eastAsia="Times New Roman" w:hAnsi="Aptos" w:cs="Times New Roman"/>
          <w:i/>
          <w:iCs/>
          <w:kern w:val="0"/>
          <w:sz w:val="22"/>
          <w:szCs w:val="22"/>
          <w:lang w:eastAsia="en-GB"/>
          <w14:ligatures w14:val="none"/>
        </w:rPr>
        <w:t>quantities and substitution</w:t>
      </w:r>
      <w:r w:rsidRPr="0032251D">
        <w:rPr>
          <w:rFonts w:ascii="Aptos" w:eastAsia="Times New Roman" w:hAnsi="Aptos" w:cs="Times New Roman"/>
          <w:kern w:val="0"/>
          <w:sz w:val="22"/>
          <w:szCs w:val="22"/>
          <w:lang w:eastAsia="en-GB"/>
          <w14:ligatures w14:val="none"/>
        </w:rPr>
        <w:t>, not through expected short rates. The mechanism is therefore additive to the policy rate, not redundant.</w:t>
      </w:r>
    </w:p>
    <w:p w14:paraId="52AC006F"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 xml:space="preserve">Preferred habitat (Modigliani-Sutch; </w:t>
      </w:r>
      <w:proofErr w:type="spellStart"/>
      <w:r w:rsidRPr="0032251D">
        <w:rPr>
          <w:rFonts w:ascii="Aptos" w:eastAsia="Times New Roman" w:hAnsi="Aptos" w:cs="Times New Roman"/>
          <w:i/>
          <w:iCs/>
          <w:kern w:val="0"/>
          <w:sz w:val="22"/>
          <w:szCs w:val="22"/>
          <w:lang w:eastAsia="en-GB"/>
          <w14:ligatures w14:val="none"/>
        </w:rPr>
        <w:t>Vayanos</w:t>
      </w:r>
      <w:proofErr w:type="spellEnd"/>
      <w:r w:rsidRPr="0032251D">
        <w:rPr>
          <w:rFonts w:ascii="Aptos" w:eastAsia="Times New Roman" w:hAnsi="Aptos" w:cs="Times New Roman"/>
          <w:i/>
          <w:iCs/>
          <w:kern w:val="0"/>
          <w:sz w:val="22"/>
          <w:szCs w:val="22"/>
          <w:lang w:eastAsia="en-GB"/>
          <w14:ligatures w14:val="none"/>
        </w:rPr>
        <w:t>-Vila).</w:t>
      </w:r>
      <w:r w:rsidRPr="0032251D">
        <w:rPr>
          <w:rFonts w:ascii="Aptos" w:eastAsia="Times New Roman" w:hAnsi="Aptos" w:cs="Times New Roman"/>
          <w:kern w:val="0"/>
          <w:sz w:val="22"/>
          <w:szCs w:val="22"/>
          <w:lang w:eastAsia="en-GB"/>
          <w14:ligatures w14:val="none"/>
        </w:rPr>
        <w:t xml:space="preserve"> Different investors have preferred maturities — insurers want long, banks want short. Markets are partially segmented. The supply of bonds at each maturity matters because investors do not freely substitute across maturities. </w:t>
      </w:r>
      <w:proofErr w:type="gramStart"/>
      <w:r w:rsidRPr="0032251D">
        <w:rPr>
          <w:rFonts w:ascii="Aptos" w:eastAsia="Times New Roman" w:hAnsi="Aptos" w:cs="Times New Roman"/>
          <w:kern w:val="0"/>
          <w:sz w:val="22"/>
          <w:szCs w:val="22"/>
          <w:lang w:eastAsia="en-GB"/>
          <w14:ligatures w14:val="none"/>
        </w:rPr>
        <w:t>So</w:t>
      </w:r>
      <w:proofErr w:type="gramEnd"/>
      <w:r w:rsidRPr="0032251D">
        <w:rPr>
          <w:rFonts w:ascii="Aptos" w:eastAsia="Times New Roman" w:hAnsi="Aptos" w:cs="Times New Roman"/>
          <w:kern w:val="0"/>
          <w:sz w:val="22"/>
          <w:szCs w:val="22"/>
          <w:lang w:eastAsia="en-GB"/>
          <w14:ligatures w14:val="none"/>
        </w:rPr>
        <w:t xml:space="preserve"> when the bank absorbs duration from the market, it lowers term premia specifically at the targeted maturities. This is what makes a maturity-extension programme distinct from a same-size programme at the front end.</w:t>
      </w:r>
    </w:p>
    <w:p w14:paraId="2B998981"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Signalling (Bauer-Rudebusch).</w:t>
      </w:r>
      <w:r w:rsidRPr="0032251D">
        <w:rPr>
          <w:rFonts w:ascii="Aptos" w:eastAsia="Times New Roman" w:hAnsi="Aptos" w:cs="Times New Roman"/>
          <w:kern w:val="0"/>
          <w:sz w:val="22"/>
          <w:szCs w:val="22"/>
          <w:lang w:eastAsia="en-GB"/>
          <w14:ligatures w14:val="none"/>
        </w:rPr>
        <w:t xml:space="preserve"> QE signals the bank's commitment to easing and to keeping rates low for longer. The balance sheet move is itself information about the policy path. This makes the balance sheet partly a forward guidance device, even before reaching the term premium channel.</w:t>
      </w:r>
    </w:p>
    <w:p w14:paraId="3C3CD1E9"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ELB rationale.</w:t>
      </w:r>
      <w:r w:rsidRPr="0032251D">
        <w:rPr>
          <w:rFonts w:ascii="Aptos" w:eastAsia="Times New Roman" w:hAnsi="Aptos" w:cs="Times New Roman"/>
          <w:kern w:val="0"/>
          <w:sz w:val="22"/>
          <w:szCs w:val="22"/>
          <w:lang w:eastAsia="en-GB"/>
          <w14:ligatures w14:val="none"/>
        </w:rPr>
        <w:t xml:space="preserve"> When the policy rate hits zero, the bank cannot cut further. The balance sheet provides an alternative instrument — quantity-based easing when price-based easing is exhausted. This is the Tinbergen logic: when one instrument is constrained, deploy another. The BoJ first ran QE 2001-2006; post-2008 it became standard across DM banks.</w:t>
      </w:r>
    </w:p>
    <w:p w14:paraId="044DAC64" w14:textId="77777777" w:rsidR="006735C1" w:rsidRPr="0032251D" w:rsidRDefault="006735C1" w:rsidP="006735C1">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68EEA2D0">
          <v:rect id="_x0000_i1041" alt="" style="width:451.3pt;height:.05pt;mso-width-percent:0;mso-height-percent:0;mso-width-percent:0;mso-height-percent:0" o:hralign="center" o:hrstd="t" o:hr="t" fillcolor="#a0a0a0" stroked="f"/>
        </w:pict>
      </w:r>
    </w:p>
    <w:p w14:paraId="32DB3C84"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Canonical specifications and parameters</w:t>
      </w:r>
    </w:p>
    <w:p w14:paraId="1FAD52AC"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Three operational modes, each with distinct mechanics.</w:t>
      </w:r>
    </w:p>
    <w:p w14:paraId="5749453C"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QE (asset purchases).</w:t>
      </w:r>
      <w:r w:rsidRPr="0032251D">
        <w:rPr>
          <w:rFonts w:ascii="Aptos" w:eastAsia="Times New Roman" w:hAnsi="Aptos" w:cs="Times New Roman"/>
          <w:kern w:val="0"/>
          <w:sz w:val="22"/>
          <w:szCs w:val="22"/>
          <w:lang w:eastAsia="en-GB"/>
          <w14:ligatures w14:val="none"/>
        </w:rPr>
        <w:t xml:space="preserve"> Define purchases by:</w:t>
      </w:r>
    </w:p>
    <w:p w14:paraId="30F1E3D7" w14:textId="77777777" w:rsidR="006735C1" w:rsidRPr="0032251D" w:rsidRDefault="006735C1" w:rsidP="006735C1">
      <w:pPr>
        <w:numPr>
          <w:ilvl w:val="0"/>
          <w:numId w:val="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Size</w:t>
      </w:r>
      <w:r w:rsidRPr="0032251D">
        <w:rPr>
          <w:rFonts w:ascii="Aptos" w:eastAsia="Times New Roman" w:hAnsi="Aptos" w:cs="Times New Roman"/>
          <w:kern w:val="0"/>
          <w:sz w:val="22"/>
          <w:szCs w:val="22"/>
          <w:lang w:eastAsia="en-GB"/>
          <w14:ligatures w14:val="none"/>
        </w:rPr>
        <w:t xml:space="preserve"> — announced flow ($80bn/month) or stock target (total holdings)</w:t>
      </w:r>
    </w:p>
    <w:p w14:paraId="4ABE8F2A" w14:textId="77777777" w:rsidR="006735C1" w:rsidRPr="0032251D" w:rsidRDefault="006735C1" w:rsidP="006735C1">
      <w:pPr>
        <w:numPr>
          <w:ilvl w:val="0"/>
          <w:numId w:val="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Composition</w:t>
      </w:r>
      <w:r w:rsidRPr="0032251D">
        <w:rPr>
          <w:rFonts w:ascii="Aptos" w:eastAsia="Times New Roman" w:hAnsi="Aptos" w:cs="Times New Roman"/>
          <w:kern w:val="0"/>
          <w:sz w:val="22"/>
          <w:szCs w:val="22"/>
          <w:lang w:eastAsia="en-GB"/>
          <w14:ligatures w14:val="none"/>
        </w:rPr>
        <w:t xml:space="preserve"> — Treasuries vs agency MBS vs corporate bonds; determines which spreads compress</w:t>
      </w:r>
    </w:p>
    <w:p w14:paraId="0B8712DB" w14:textId="77777777" w:rsidR="006735C1" w:rsidRPr="0032251D" w:rsidRDefault="006735C1" w:rsidP="006735C1">
      <w:pPr>
        <w:numPr>
          <w:ilvl w:val="0"/>
          <w:numId w:val="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Maturity profile</w:t>
      </w:r>
      <w:r w:rsidRPr="0032251D">
        <w:rPr>
          <w:rFonts w:ascii="Aptos" w:eastAsia="Times New Roman" w:hAnsi="Aptos" w:cs="Times New Roman"/>
          <w:kern w:val="0"/>
          <w:sz w:val="22"/>
          <w:szCs w:val="22"/>
          <w:lang w:eastAsia="en-GB"/>
          <w14:ligatures w14:val="none"/>
        </w:rPr>
        <w:t xml:space="preserve"> — weighted average maturity of purchases; longer = more duration absorbed</w:t>
      </w:r>
    </w:p>
    <w:p w14:paraId="57EB11CE" w14:textId="77777777" w:rsidR="006735C1" w:rsidRPr="0032251D" w:rsidRDefault="006735C1" w:rsidP="006735C1">
      <w:pPr>
        <w:numPr>
          <w:ilvl w:val="0"/>
          <w:numId w:val="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Duration absorbed</w:t>
      </w:r>
      <w:r w:rsidRPr="0032251D">
        <w:rPr>
          <w:rFonts w:ascii="Aptos" w:eastAsia="Times New Roman" w:hAnsi="Aptos" w:cs="Times New Roman"/>
          <w:kern w:val="0"/>
          <w:sz w:val="22"/>
          <w:szCs w:val="22"/>
          <w:lang w:eastAsia="en-GB"/>
          <w14:ligatures w14:val="none"/>
        </w:rPr>
        <w:t xml:space="preserve"> — the key parameter. Purchases × bond duration = total duration removed from private hands. A $1tn purchase of 10-year bonds removes roughly $10tn of duration. This is what compresses term premia.</w:t>
      </w:r>
    </w:p>
    <w:p w14:paraId="7016F927"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QT (balance sheet runoff or contraction).</w:t>
      </w:r>
      <w:r w:rsidRPr="0032251D">
        <w:rPr>
          <w:rFonts w:ascii="Aptos" w:eastAsia="Times New Roman" w:hAnsi="Aptos" w:cs="Times New Roman"/>
          <w:kern w:val="0"/>
          <w:sz w:val="22"/>
          <w:szCs w:val="22"/>
          <w:lang w:eastAsia="en-GB"/>
          <w14:ligatures w14:val="none"/>
        </w:rPr>
        <w:t xml:space="preserve"> Two flavours: </w:t>
      </w:r>
      <w:r w:rsidRPr="0032251D">
        <w:rPr>
          <w:rFonts w:ascii="Aptos" w:eastAsia="Times New Roman" w:hAnsi="Aptos" w:cs="Times New Roman"/>
          <w:i/>
          <w:iCs/>
          <w:kern w:val="0"/>
          <w:sz w:val="22"/>
          <w:szCs w:val="22"/>
          <w:lang w:eastAsia="en-GB"/>
          <w14:ligatures w14:val="none"/>
        </w:rPr>
        <w:t>passive QT</w:t>
      </w:r>
      <w:r w:rsidRPr="0032251D">
        <w:rPr>
          <w:rFonts w:ascii="Aptos" w:eastAsia="Times New Roman" w:hAnsi="Aptos" w:cs="Times New Roman"/>
          <w:kern w:val="0"/>
          <w:sz w:val="22"/>
          <w:szCs w:val="22"/>
          <w:lang w:eastAsia="en-GB"/>
          <w14:ligatures w14:val="none"/>
        </w:rPr>
        <w:t xml:space="preserve"> — bonds mature, proceeds not reinvested, caps on monthly runoff; </w:t>
      </w:r>
      <w:r w:rsidRPr="0032251D">
        <w:rPr>
          <w:rFonts w:ascii="Aptos" w:eastAsia="Times New Roman" w:hAnsi="Aptos" w:cs="Times New Roman"/>
          <w:i/>
          <w:iCs/>
          <w:kern w:val="0"/>
          <w:sz w:val="22"/>
          <w:szCs w:val="22"/>
          <w:lang w:eastAsia="en-GB"/>
          <w14:ligatures w14:val="none"/>
        </w:rPr>
        <w:t>active QT</w:t>
      </w:r>
      <w:r w:rsidRPr="0032251D">
        <w:rPr>
          <w:rFonts w:ascii="Aptos" w:eastAsia="Times New Roman" w:hAnsi="Aptos" w:cs="Times New Roman"/>
          <w:kern w:val="0"/>
          <w:sz w:val="22"/>
          <w:szCs w:val="22"/>
          <w:lang w:eastAsia="en-GB"/>
          <w14:ligatures w14:val="none"/>
        </w:rPr>
        <w:t xml:space="preserve"> — outright sales, </w:t>
      </w:r>
      <w:proofErr w:type="gramStart"/>
      <w:r w:rsidRPr="0032251D">
        <w:rPr>
          <w:rFonts w:ascii="Aptos" w:eastAsia="Times New Roman" w:hAnsi="Aptos" w:cs="Times New Roman"/>
          <w:kern w:val="0"/>
          <w:sz w:val="22"/>
          <w:szCs w:val="22"/>
          <w:lang w:eastAsia="en-GB"/>
          <w14:ligatures w14:val="none"/>
        </w:rPr>
        <w:t>more aggressive and rare</w:t>
      </w:r>
      <w:proofErr w:type="gramEnd"/>
      <w:r w:rsidRPr="0032251D">
        <w:rPr>
          <w:rFonts w:ascii="Aptos" w:eastAsia="Times New Roman" w:hAnsi="Aptos" w:cs="Times New Roman"/>
          <w:kern w:val="0"/>
          <w:sz w:val="22"/>
          <w:szCs w:val="22"/>
          <w:lang w:eastAsia="en-GB"/>
          <w14:ligatures w14:val="none"/>
        </w:rPr>
        <w:t xml:space="preserve"> in practice (the Fed has never done it). Pace matters: fast QT can produce market dysfunction; slow QT is orderly normalisation.</w:t>
      </w:r>
    </w:p>
    <w:p w14:paraId="3C614DE5"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YCC (yield curve control).</w:t>
      </w:r>
      <w:r w:rsidRPr="0032251D">
        <w:rPr>
          <w:rFonts w:ascii="Aptos" w:eastAsia="Times New Roman" w:hAnsi="Aptos" w:cs="Times New Roman"/>
          <w:kern w:val="0"/>
          <w:sz w:val="22"/>
          <w:szCs w:val="22"/>
          <w:lang w:eastAsia="en-GB"/>
          <w14:ligatures w14:val="none"/>
        </w:rPr>
        <w:t xml:space="preserve"> The bank commits to defend a specific yield at a specific maturity by buying unlimited quantity at that price. BoJ ran YCC on the 10-year 2016-2024; RBA on the 3-year 2020-2021. Structurally, QE/QT target </w:t>
      </w:r>
      <w:r w:rsidRPr="0032251D">
        <w:rPr>
          <w:rFonts w:ascii="Aptos" w:eastAsia="Times New Roman" w:hAnsi="Aptos" w:cs="Times New Roman"/>
          <w:i/>
          <w:iCs/>
          <w:kern w:val="0"/>
          <w:sz w:val="22"/>
          <w:szCs w:val="22"/>
          <w:lang w:eastAsia="en-GB"/>
          <w14:ligatures w14:val="none"/>
        </w:rPr>
        <w:t>quantities</w:t>
      </w:r>
      <w:r w:rsidRPr="0032251D">
        <w:rPr>
          <w:rFonts w:ascii="Aptos" w:eastAsia="Times New Roman" w:hAnsi="Aptos" w:cs="Times New Roman"/>
          <w:kern w:val="0"/>
          <w:sz w:val="22"/>
          <w:szCs w:val="22"/>
          <w:lang w:eastAsia="en-GB"/>
          <w14:ligatures w14:val="none"/>
        </w:rPr>
        <w:t xml:space="preserve"> and hope for price effects; YCC targets </w:t>
      </w:r>
      <w:r w:rsidRPr="0032251D">
        <w:rPr>
          <w:rFonts w:ascii="Aptos" w:eastAsia="Times New Roman" w:hAnsi="Aptos" w:cs="Times New Roman"/>
          <w:i/>
          <w:iCs/>
          <w:kern w:val="0"/>
          <w:sz w:val="22"/>
          <w:szCs w:val="22"/>
          <w:lang w:eastAsia="en-GB"/>
          <w14:ligatures w14:val="none"/>
        </w:rPr>
        <w:t>prices</w:t>
      </w:r>
      <w:r w:rsidRPr="0032251D">
        <w:rPr>
          <w:rFonts w:ascii="Aptos" w:eastAsia="Times New Roman" w:hAnsi="Aptos" w:cs="Times New Roman"/>
          <w:kern w:val="0"/>
          <w:sz w:val="22"/>
          <w:szCs w:val="22"/>
          <w:lang w:eastAsia="en-GB"/>
          <w14:ligatures w14:val="none"/>
        </w:rPr>
        <w:t xml:space="preserve"> and lets quantities adjust. YCC is more powerful when credible (markets do the work) but more dangerous when challenged (defending the peg can require unlimited buying — the RBA's 2021 abandonment is the cautionary case).</w:t>
      </w:r>
    </w:p>
    <w:p w14:paraId="7BF6266D"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most consequential operational label is </w:t>
      </w:r>
      <w:r w:rsidRPr="0032251D">
        <w:rPr>
          <w:rFonts w:ascii="Aptos" w:eastAsia="Times New Roman" w:hAnsi="Aptos" w:cs="Times New Roman"/>
          <w:i/>
          <w:iCs/>
          <w:kern w:val="0"/>
          <w:sz w:val="22"/>
          <w:szCs w:val="22"/>
          <w:lang w:eastAsia="en-GB"/>
          <w14:ligatures w14:val="none"/>
        </w:rPr>
        <w:t>monetary policy vs market functioning</w:t>
      </w:r>
      <w:r w:rsidRPr="0032251D">
        <w:rPr>
          <w:rFonts w:ascii="Aptos" w:eastAsia="Times New Roman" w:hAnsi="Aptos" w:cs="Times New Roman"/>
          <w:kern w:val="0"/>
          <w:sz w:val="22"/>
          <w:szCs w:val="22"/>
          <w:lang w:eastAsia="en-GB"/>
          <w14:ligatures w14:val="none"/>
        </w:rPr>
        <w:t xml:space="preserve">. The same operation can be framed either way. The 2020 Fed "unlimited QE" began as market functioning and then drifted to monetary stance; the 2019 Treasury bill purchases were explicitly </w:t>
      </w:r>
      <w:r w:rsidRPr="0032251D">
        <w:rPr>
          <w:rFonts w:ascii="Aptos" w:eastAsia="Times New Roman" w:hAnsi="Aptos" w:cs="Times New Roman"/>
          <w:i/>
          <w:iCs/>
          <w:kern w:val="0"/>
          <w:sz w:val="22"/>
          <w:szCs w:val="22"/>
          <w:lang w:eastAsia="en-GB"/>
          <w14:ligatures w14:val="none"/>
        </w:rPr>
        <w:t>not</w:t>
      </w:r>
      <w:r w:rsidRPr="0032251D">
        <w:rPr>
          <w:rFonts w:ascii="Aptos" w:eastAsia="Times New Roman" w:hAnsi="Aptos" w:cs="Times New Roman"/>
          <w:kern w:val="0"/>
          <w:sz w:val="22"/>
          <w:szCs w:val="22"/>
          <w:lang w:eastAsia="en-GB"/>
          <w14:ligatures w14:val="none"/>
        </w:rPr>
        <w:t xml:space="preserve"> monetary policy (reserves management). The bank's own framing matters because it shapes market interpretation.</w:t>
      </w:r>
    </w:p>
    <w:p w14:paraId="2D2D1471" w14:textId="77777777" w:rsidR="006735C1" w:rsidRPr="0032251D" w:rsidRDefault="006735C1" w:rsidP="006735C1">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25E8FF53">
          <v:rect id="_x0000_i1042" alt="" style="width:451.3pt;height:.05pt;mso-width-percent:0;mso-height-percent:0;mso-width-percent:0;mso-height-percent:0" o:hralign="center" o:hrstd="t" o:hr="t" fillcolor="#a0a0a0" stroked="f"/>
        </w:pict>
      </w:r>
    </w:p>
    <w:p w14:paraId="3575FBCF"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Why this matters for asset prices</w:t>
      </w:r>
    </w:p>
    <w:p w14:paraId="0A49F5FD"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balance sheet hits the discount rate through the </w:t>
      </w:r>
      <w:r w:rsidRPr="0032251D">
        <w:rPr>
          <w:rFonts w:ascii="Aptos" w:eastAsia="Times New Roman" w:hAnsi="Aptos" w:cs="Times New Roman"/>
          <w:i/>
          <w:iCs/>
          <w:kern w:val="0"/>
          <w:sz w:val="22"/>
          <w:szCs w:val="22"/>
          <w:lang w:eastAsia="en-GB"/>
          <w14:ligatures w14:val="none"/>
        </w:rPr>
        <w:t>term premium</w:t>
      </w:r>
      <w:r w:rsidRPr="0032251D">
        <w:rPr>
          <w:rFonts w:ascii="Aptos" w:eastAsia="Times New Roman" w:hAnsi="Aptos" w:cs="Times New Roman"/>
          <w:kern w:val="0"/>
          <w:sz w:val="22"/>
          <w:szCs w:val="22"/>
          <w:lang w:eastAsia="en-GB"/>
          <w14:ligatures w14:val="none"/>
        </w:rPr>
        <w:t xml:space="preserve"> component. Recall:</w:t>
      </w:r>
    </w:p>
    <w:p w14:paraId="526EB0D1"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Long yield = Expected average short rate + Term premium</w:t>
      </w:r>
    </w:p>
    <w:p w14:paraId="7B822DD2"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policy rate works through expected short rates. The balance sheet works through term premium. So even at the ELB, the balance sheet can move long-end yields independently of the rate. This is the central empirical point: the two instruments target different components of the same long yield.</w:t>
      </w:r>
    </w:p>
    <w:p w14:paraId="4C24C0B5"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Term premium moves flow through to every asset class with long-duration cash flows: government bonds directly; mortgage rates (long Treasuries + MBS spread); corporate bonds (long Treasuries + </w:t>
      </w:r>
      <w:r w:rsidRPr="0032251D">
        <w:rPr>
          <w:rFonts w:ascii="Aptos" w:eastAsia="Times New Roman" w:hAnsi="Aptos" w:cs="Times New Roman"/>
          <w:kern w:val="0"/>
          <w:sz w:val="22"/>
          <w:szCs w:val="22"/>
          <w:lang w:eastAsia="en-GB"/>
          <w14:ligatures w14:val="none"/>
        </w:rPr>
        <w:lastRenderedPageBreak/>
        <w:t>credit spread); equity valuations (long real rates discounting distant cash flows); FX (relative term premia driving long-term currency views).</w:t>
      </w:r>
    </w:p>
    <w:p w14:paraId="3901BD7D"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 long-duration assets specifically — growth equities, infrastructure, real estate — the term premium channel dominates the rate channel because cash flows sit far in the future. This is why post-2008 QE supported asset price inflation in long-duration sectors disproportionately.</w:t>
      </w:r>
    </w:p>
    <w:p w14:paraId="12CF472B"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signalling effect compounds the mechanical effect. A QE announcement tells markets simultaneously: (1) the bank is buying duration mechanically, (2) the bank is committed to easing on the policy stance dimension, and (3) the bank's reaction function now includes balance sheet operations going forward. All three flow into asset prices at once, which is why announcement effects often exceed implementation effects.</w:t>
      </w:r>
    </w:p>
    <w:p w14:paraId="34E9FF88"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A specific consequence worth </w:t>
      </w:r>
      <w:proofErr w:type="gramStart"/>
      <w:r w:rsidRPr="0032251D">
        <w:rPr>
          <w:rFonts w:ascii="Aptos" w:eastAsia="Times New Roman" w:hAnsi="Aptos" w:cs="Times New Roman"/>
          <w:kern w:val="0"/>
          <w:sz w:val="22"/>
          <w:szCs w:val="22"/>
          <w:lang w:eastAsia="en-GB"/>
          <w14:ligatures w14:val="none"/>
        </w:rPr>
        <w:t>flagging:</w:t>
      </w:r>
      <w:proofErr w:type="gramEnd"/>
      <w:r w:rsidRPr="0032251D">
        <w:rPr>
          <w:rFonts w:ascii="Aptos" w:eastAsia="Times New Roman" w:hAnsi="Aptos" w:cs="Times New Roman"/>
          <w:kern w:val="0"/>
          <w:sz w:val="22"/>
          <w:szCs w:val="22"/>
          <w:lang w:eastAsia="en-GB"/>
          <w14:ligatures w14:val="none"/>
        </w:rPr>
        <w:t xml:space="preserve"> balance sheet expansion compresses risk premia alongside term premia. This is the financial-stability tension that became visible post-2008 — the value of safe assets falls relative to risk assets, which can build leverage. Macroprudential policy is partly a response to this side-effect.</w:t>
      </w:r>
    </w:p>
    <w:p w14:paraId="0FFCE61E" w14:textId="77777777" w:rsidR="006735C1" w:rsidRPr="0032251D" w:rsidRDefault="006735C1" w:rsidP="006735C1">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7697CCFE">
          <v:rect id="_x0000_i1043" alt="" style="width:451.3pt;height:.05pt;mso-width-percent:0;mso-height-percent:0;mso-width-percent:0;mso-height-percent:0" o:hralign="center" o:hrstd="t" o:hr="t" fillcolor="#a0a0a0" stroked="f"/>
        </w:pict>
      </w:r>
    </w:p>
    <w:p w14:paraId="7414BAFA"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Regime and EM variation</w:t>
      </w:r>
    </w:p>
    <w:p w14:paraId="5A55FDDB"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deepest asymmetry in the framework. Most EM banks have not used QE in the policy-stance sense. Four reasons.</w:t>
      </w:r>
    </w:p>
    <w:p w14:paraId="2FF8B046"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No ELB problem.</w:t>
      </w:r>
      <w:r w:rsidRPr="0032251D">
        <w:rPr>
          <w:rFonts w:ascii="Aptos" w:eastAsia="Times New Roman" w:hAnsi="Aptos" w:cs="Times New Roman"/>
          <w:kern w:val="0"/>
          <w:sz w:val="22"/>
          <w:szCs w:val="22"/>
          <w:lang w:eastAsia="en-GB"/>
          <w14:ligatures w14:val="none"/>
        </w:rPr>
        <w:t xml:space="preserve"> EM banks have generally not hit the lower bound, so the primary motivation for QE does not apply. Their rate space remains conventional.</w:t>
      </w:r>
    </w:p>
    <w:p w14:paraId="728F2E9D"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Inflation expectations less anchored.</w:t>
      </w:r>
      <w:r w:rsidRPr="0032251D">
        <w:rPr>
          <w:rFonts w:ascii="Aptos" w:eastAsia="Times New Roman" w:hAnsi="Aptos" w:cs="Times New Roman"/>
          <w:kern w:val="0"/>
          <w:sz w:val="22"/>
          <w:szCs w:val="22"/>
          <w:lang w:eastAsia="en-GB"/>
          <w14:ligatures w14:val="none"/>
        </w:rPr>
        <w:t xml:space="preserve"> EM banks expanding balance sheets risk being read as fiscal-monetary blurring or monetary financing of deficits. Inflation expectations in EM are more sensitive to balance sheet signals than to rate signals.</w:t>
      </w:r>
    </w:p>
    <w:p w14:paraId="79FC3E49"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FX consequence.</w:t>
      </w:r>
      <w:r w:rsidRPr="0032251D">
        <w:rPr>
          <w:rFonts w:ascii="Aptos" w:eastAsia="Times New Roman" w:hAnsi="Aptos" w:cs="Times New Roman"/>
          <w:kern w:val="0"/>
          <w:sz w:val="22"/>
          <w:szCs w:val="22"/>
          <w:lang w:eastAsia="en-GB"/>
          <w14:ligatures w14:val="none"/>
        </w:rPr>
        <w:t xml:space="preserve"> Balance sheet expansion in EM tends to weaken the currency more than in DM, because investors interpret it as potential monetisation. The portfolio-balance channel runs through FX rather than through term premium.</w:t>
      </w:r>
    </w:p>
    <w:p w14:paraId="5CEE5D18"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Smaller bond markets.</w:t>
      </w:r>
      <w:r w:rsidRPr="0032251D">
        <w:rPr>
          <w:rFonts w:ascii="Aptos" w:eastAsia="Times New Roman" w:hAnsi="Aptos" w:cs="Times New Roman"/>
          <w:kern w:val="0"/>
          <w:sz w:val="22"/>
          <w:szCs w:val="22"/>
          <w:lang w:eastAsia="en-GB"/>
          <w14:ligatures w14:val="none"/>
        </w:rPr>
        <w:t xml:space="preserve"> EM bond markets are smaller and less liquid. Balance sheet operations can dominate price formation, which the bank may not want.</w:t>
      </w:r>
    </w:p>
    <w:p w14:paraId="3F76552F"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The IMF's Integrated Policy Framework (Adrian et al. 2020) formalises when balance sheet operations are appropriate in EM — typically when FX markets are dysfunctional, not as primary monetary stance.</w:t>
      </w:r>
    </w:p>
    <w:p w14:paraId="39AEC264"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For SA specifically: SARB has never run an asset purchase programme in the monetary stance sense. In 2020 it conducted a small secondary-market purchase programme (around R10-12bn) explicitly labelled market functioning. SA is effectively </w:t>
      </w:r>
      <w:r w:rsidRPr="0032251D">
        <w:rPr>
          <w:rFonts w:ascii="Aptos" w:eastAsia="Times New Roman" w:hAnsi="Aptos" w:cs="Times New Roman"/>
          <w:i/>
          <w:iCs/>
          <w:kern w:val="0"/>
          <w:sz w:val="22"/>
          <w:szCs w:val="22"/>
          <w:lang w:eastAsia="en-GB"/>
          <w14:ligatures w14:val="none"/>
        </w:rPr>
        <w:t>not estimable</w:t>
      </w:r>
      <w:r w:rsidRPr="0032251D">
        <w:rPr>
          <w:rFonts w:ascii="Aptos" w:eastAsia="Times New Roman" w:hAnsi="Aptos" w:cs="Times New Roman"/>
          <w:kern w:val="0"/>
          <w:sz w:val="22"/>
          <w:szCs w:val="22"/>
          <w:lang w:eastAsia="en-GB"/>
          <w14:ligatures w14:val="none"/>
        </w:rPr>
        <w:t xml:space="preserve"> on monetary-stance L3b — which is itself an empirical result for the panel.</w:t>
      </w:r>
    </w:p>
    <w:p w14:paraId="006459C3"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lastRenderedPageBreak/>
        <w:t>For the DM panel: balance sheet is co-equal with rate in the post-2008 regime. The Fed, ECB, BoE, BoJ have all run large QE; QT followed for most. The BoJ ran explicit YCC 2016-2024.</w:t>
      </w:r>
    </w:p>
    <w:p w14:paraId="24D442BE" w14:textId="77777777" w:rsidR="006735C1" w:rsidRPr="0032251D" w:rsidRDefault="006735C1" w:rsidP="006735C1">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38A0352B">
          <v:rect id="_x0000_i1044" alt="" style="width:451.3pt;height:.05pt;mso-width-percent:0;mso-height-percent:0;mso-width-percent:0;mso-height-percent:0" o:hralign="center" o:hrstd="t" o:hr="t" fillcolor="#a0a0a0" stroked="f"/>
        </w:pict>
      </w:r>
    </w:p>
    <w:p w14:paraId="7E112FA3"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Empirical pitfalls</w:t>
      </w:r>
    </w:p>
    <w:p w14:paraId="745D8CC7"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What is "the" balance sheet stance?</w:t>
      </w:r>
      <w:r w:rsidRPr="0032251D">
        <w:rPr>
          <w:rFonts w:ascii="Aptos" w:eastAsia="Times New Roman" w:hAnsi="Aptos" w:cs="Times New Roman"/>
          <w:kern w:val="0"/>
          <w:sz w:val="22"/>
          <w:szCs w:val="22"/>
          <w:lang w:eastAsia="en-GB"/>
          <w14:ligatures w14:val="none"/>
        </w:rPr>
        <w:t xml:space="preserve"> Total size? Net flow? Duration absorbed? Announced vs realised? Each gives a different stance reading at the same point in time. The 2019 Fed Treasury bill purchases expanded size without absorbing duration — different metrics gave opposing stance signals.</w:t>
      </w:r>
    </w:p>
    <w:p w14:paraId="43EEA534"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Stance vs market-functioning labelling.</w:t>
      </w:r>
      <w:r w:rsidRPr="0032251D">
        <w:rPr>
          <w:rFonts w:ascii="Aptos" w:eastAsia="Times New Roman" w:hAnsi="Aptos" w:cs="Times New Roman"/>
          <w:kern w:val="0"/>
          <w:sz w:val="22"/>
          <w:szCs w:val="22"/>
          <w:lang w:eastAsia="en-GB"/>
          <w14:ligatures w14:val="none"/>
        </w:rPr>
        <w:t xml:space="preserve"> The same operation can be either, depending on the bank's framing. The 2020 Fed unlimited QE was first one then the other. PEPP blended both. Measurement requires a labelling decision the bank itself sometimes blurs deliberately.</w:t>
      </w:r>
    </w:p>
    <w:p w14:paraId="35449FEC"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Shadow rate construction.</w:t>
      </w:r>
      <w:r w:rsidRPr="0032251D">
        <w:rPr>
          <w:rFonts w:ascii="Aptos" w:eastAsia="Times New Roman" w:hAnsi="Aptos" w:cs="Times New Roman"/>
          <w:kern w:val="0"/>
          <w:sz w:val="22"/>
          <w:szCs w:val="22"/>
          <w:lang w:eastAsia="en-GB"/>
          <w14:ligatures w14:val="none"/>
        </w:rPr>
        <w:t xml:space="preserve"> To compare balance sheet stance to a rate-equivalent at the ELB, shadow rate models (</w:t>
      </w:r>
      <w:proofErr w:type="gramStart"/>
      <w:r w:rsidRPr="0032251D">
        <w:rPr>
          <w:rFonts w:ascii="Aptos" w:eastAsia="Times New Roman" w:hAnsi="Aptos" w:cs="Times New Roman"/>
          <w:kern w:val="0"/>
          <w:sz w:val="22"/>
          <w:szCs w:val="22"/>
          <w:lang w:eastAsia="en-GB"/>
          <w14:ligatures w14:val="none"/>
        </w:rPr>
        <w:t>Wu-Xia</w:t>
      </w:r>
      <w:proofErr w:type="gramEnd"/>
      <w:r w:rsidRPr="0032251D">
        <w:rPr>
          <w:rFonts w:ascii="Aptos" w:eastAsia="Times New Roman" w:hAnsi="Aptos" w:cs="Times New Roman"/>
          <w:kern w:val="0"/>
          <w:sz w:val="22"/>
          <w:szCs w:val="22"/>
          <w:lang w:eastAsia="en-GB"/>
          <w14:ligatures w14:val="none"/>
        </w:rPr>
        <w:t xml:space="preserve">, Krippner) extrapolate a hypothetical negative rate consistent with observed yield curves. The shadow rate is sensitive to model specification — </w:t>
      </w:r>
      <w:proofErr w:type="gramStart"/>
      <w:r w:rsidRPr="0032251D">
        <w:rPr>
          <w:rFonts w:ascii="Aptos" w:eastAsia="Times New Roman" w:hAnsi="Aptos" w:cs="Times New Roman"/>
          <w:kern w:val="0"/>
          <w:sz w:val="22"/>
          <w:szCs w:val="22"/>
          <w:lang w:eastAsia="en-GB"/>
          <w14:ligatures w14:val="none"/>
        </w:rPr>
        <w:t>Wu-Xia</w:t>
      </w:r>
      <w:proofErr w:type="gramEnd"/>
      <w:r w:rsidRPr="0032251D">
        <w:rPr>
          <w:rFonts w:ascii="Aptos" w:eastAsia="Times New Roman" w:hAnsi="Aptos" w:cs="Times New Roman"/>
          <w:kern w:val="0"/>
          <w:sz w:val="22"/>
          <w:szCs w:val="22"/>
          <w:lang w:eastAsia="en-GB"/>
          <w14:ligatures w14:val="none"/>
        </w:rPr>
        <w:t xml:space="preserve"> and Krippner can differ by 100-200bp at the same date.</w:t>
      </w:r>
    </w:p>
    <w:p w14:paraId="24B7E705"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Identifying balance sheet shocks.</w:t>
      </w:r>
      <w:r w:rsidRPr="0032251D">
        <w:rPr>
          <w:rFonts w:ascii="Aptos" w:eastAsia="Times New Roman" w:hAnsi="Aptos" w:cs="Times New Roman"/>
          <w:kern w:val="0"/>
          <w:sz w:val="22"/>
          <w:szCs w:val="22"/>
          <w:lang w:eastAsia="en-GB"/>
          <w14:ligatures w14:val="none"/>
        </w:rPr>
        <w:t xml:space="preserve"> Rate decision surprises are clean (decision minus OIS-implied). Balance sheet surprises are harder. Event-study approaches (Krishnamurthy-Vissing-Jorgensen, Gagnon et al.) use daily yield changes around announcements; high-frequency identification (Bauer-Swanson) uses tight windows. Different approaches give different effect sizes — sometimes by factors of two or three.</w:t>
      </w:r>
    </w:p>
    <w:p w14:paraId="3E266CD4"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Stock vs flow effects.</w:t>
      </w:r>
      <w:r w:rsidRPr="0032251D">
        <w:rPr>
          <w:rFonts w:ascii="Aptos" w:eastAsia="Times New Roman" w:hAnsi="Aptos" w:cs="Times New Roman"/>
          <w:kern w:val="0"/>
          <w:sz w:val="22"/>
          <w:szCs w:val="22"/>
          <w:lang w:eastAsia="en-GB"/>
          <w14:ligatures w14:val="none"/>
        </w:rPr>
        <w:t xml:space="preserve"> Does the balance sheet level matter (stock) or the change (flow)? Empirically, both. Stock effects compress term premium persistently; flow effects produce concentrated impact at announcement.</w:t>
      </w:r>
    </w:p>
    <w:p w14:paraId="6329DBD4" w14:textId="77777777" w:rsidR="006735C1" w:rsidRPr="0032251D" w:rsidRDefault="006735C1" w:rsidP="006735C1">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75248710">
          <v:rect id="_x0000_i1045" alt="" style="width:451.3pt;height:.05pt;mso-width-percent:0;mso-height-percent:0;mso-width-percent:0;mso-height-percent:0" o:hralign="center" o:hrstd="t" o:hr="t" fillcolor="#a0a0a0" stroked="f"/>
        </w:pict>
      </w:r>
    </w:p>
    <w:p w14:paraId="57E3338C"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Where dissonance lives</w:t>
      </w:r>
    </w:p>
    <w:p w14:paraId="423D7267"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Within L3b, dissonance has structural richness.</w:t>
      </w:r>
    </w:p>
    <w:p w14:paraId="4A5AAC83"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Intra-node.</w:t>
      </w:r>
      <w:r w:rsidRPr="0032251D">
        <w:rPr>
          <w:rFonts w:ascii="Aptos" w:eastAsia="Times New Roman" w:hAnsi="Aptos" w:cs="Times New Roman"/>
          <w:kern w:val="0"/>
          <w:sz w:val="22"/>
          <w:szCs w:val="22"/>
          <w:lang w:eastAsia="en-GB"/>
          <w14:ligatures w14:val="none"/>
        </w:rPr>
        <w:t xml:space="preserve"> Multiple stance readings disagree:</w:t>
      </w:r>
    </w:p>
    <w:p w14:paraId="1399084A" w14:textId="77777777" w:rsidR="006735C1" w:rsidRPr="0032251D" w:rsidRDefault="006735C1" w:rsidP="006735C1">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Size vs composition.</w:t>
      </w:r>
      <w:r w:rsidRPr="0032251D">
        <w:rPr>
          <w:rFonts w:ascii="Aptos" w:eastAsia="Times New Roman" w:hAnsi="Aptos" w:cs="Times New Roman"/>
          <w:kern w:val="0"/>
          <w:sz w:val="22"/>
          <w:szCs w:val="22"/>
          <w:lang w:eastAsia="en-GB"/>
          <w14:ligatures w14:val="none"/>
        </w:rPr>
        <w:t xml:space="preserve"> Balance sheet expands but duration profile of holdings shortens (2019 Fed)</w:t>
      </w:r>
    </w:p>
    <w:p w14:paraId="70DFCB88" w14:textId="77777777" w:rsidR="006735C1" w:rsidRPr="0032251D" w:rsidRDefault="006735C1" w:rsidP="006735C1">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Announced vs realised pace.</w:t>
      </w:r>
      <w:r w:rsidRPr="0032251D">
        <w:rPr>
          <w:rFonts w:ascii="Aptos" w:eastAsia="Times New Roman" w:hAnsi="Aptos" w:cs="Times New Roman"/>
          <w:kern w:val="0"/>
          <w:sz w:val="22"/>
          <w:szCs w:val="22"/>
          <w:lang w:eastAsia="en-GB"/>
          <w14:ligatures w14:val="none"/>
        </w:rPr>
        <w:t xml:space="preserve"> Bank says it will buy $X/month; actual purchases differ</w:t>
      </w:r>
    </w:p>
    <w:p w14:paraId="549019A4" w14:textId="77777777" w:rsidR="006735C1" w:rsidRPr="0032251D" w:rsidRDefault="006735C1" w:rsidP="006735C1">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Monetary vs market-functioning label.</w:t>
      </w:r>
      <w:r w:rsidRPr="0032251D">
        <w:rPr>
          <w:rFonts w:ascii="Aptos" w:eastAsia="Times New Roman" w:hAnsi="Aptos" w:cs="Times New Roman"/>
          <w:kern w:val="0"/>
          <w:sz w:val="22"/>
          <w:szCs w:val="22"/>
          <w:lang w:eastAsia="en-GB"/>
          <w14:ligatures w14:val="none"/>
        </w:rPr>
        <w:t xml:space="preserve"> Stated purpose changes but actual operations do not, or vice versa</w:t>
      </w:r>
    </w:p>
    <w:p w14:paraId="37347E86" w14:textId="77777777" w:rsidR="006735C1" w:rsidRPr="0032251D" w:rsidRDefault="006735C1" w:rsidP="006735C1">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Purpose-effect gap.</w:t>
      </w:r>
      <w:r w:rsidRPr="0032251D">
        <w:rPr>
          <w:rFonts w:ascii="Aptos" w:eastAsia="Times New Roman" w:hAnsi="Aptos" w:cs="Times New Roman"/>
          <w:kern w:val="0"/>
          <w:sz w:val="22"/>
          <w:szCs w:val="22"/>
          <w:lang w:eastAsia="en-GB"/>
          <w14:ligatures w14:val="none"/>
        </w:rPr>
        <w:t xml:space="preserve"> Announced monetary stance does not produce term-premium move, or stated market-functioning operations produce stance-like signals</w:t>
      </w:r>
    </w:p>
    <w:p w14:paraId="73E69B44"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Vertical upward, L2 → L3b.</w:t>
      </w:r>
      <w:r w:rsidRPr="0032251D">
        <w:rPr>
          <w:rFonts w:ascii="Aptos" w:eastAsia="Times New Roman" w:hAnsi="Aptos" w:cs="Times New Roman"/>
          <w:kern w:val="0"/>
          <w:sz w:val="22"/>
          <w:szCs w:val="22"/>
          <w:lang w:eastAsia="en-GB"/>
          <w14:ligatures w14:val="none"/>
        </w:rPr>
        <w:t xml:space="preserve"> At the ELB, the loss function activates balance sheet because the rate is constrained. Dissonance fires when ELB binds but balance sheet remains dormant — the bank refusing to deploy available tools.</w:t>
      </w:r>
    </w:p>
    <w:p w14:paraId="70DF6F92"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 L1 → L3b.</w:t>
      </w:r>
      <w:r w:rsidRPr="0032251D">
        <w:rPr>
          <w:rFonts w:ascii="Aptos" w:eastAsia="Times New Roman" w:hAnsi="Aptos" w:cs="Times New Roman"/>
          <w:kern w:val="0"/>
          <w:sz w:val="22"/>
          <w:szCs w:val="22"/>
          <w:lang w:eastAsia="en-GB"/>
          <w14:ligatures w14:val="none"/>
        </w:rPr>
        <w:t xml:space="preserve"> For banks that have integrated balance sheet into their reaction function (post-2008 DM), the rule prescribes a balance sheet stance alongside the rate. Dissonance fires when balance sheet operations contradict the rule's implied stance.</w:t>
      </w:r>
    </w:p>
    <w:p w14:paraId="46C81539"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L3b → L4a.</w:t>
      </w:r>
      <w:r w:rsidRPr="0032251D">
        <w:rPr>
          <w:rFonts w:ascii="Aptos" w:eastAsia="Times New Roman" w:hAnsi="Aptos" w:cs="Times New Roman"/>
          <w:kern w:val="0"/>
          <w:sz w:val="22"/>
          <w:szCs w:val="22"/>
          <w:lang w:eastAsia="en-GB"/>
          <w14:ligatures w14:val="none"/>
        </w:rPr>
        <w:t xml:space="preserve"> The balance sheet should compress (in QE) or lift (in QT) term premium. Dissonance fires when operations do not produce the expected term-premium response. The 2022-2023 QT did not lift term premium as much as models predicted — possibly because abundant private demand absorbed the supply.</w:t>
      </w:r>
    </w:p>
    <w:p w14:paraId="04E2F5D1"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L3b → L8 (convenience yield).</w:t>
      </w:r>
      <w:r w:rsidRPr="0032251D">
        <w:rPr>
          <w:rFonts w:ascii="Aptos" w:eastAsia="Times New Roman" w:hAnsi="Aptos" w:cs="Times New Roman"/>
          <w:kern w:val="0"/>
          <w:sz w:val="22"/>
          <w:szCs w:val="22"/>
          <w:lang w:eastAsia="en-GB"/>
          <w14:ligatures w14:val="none"/>
        </w:rPr>
        <w:t xml:space="preserve"> Balance sheet operations directly affect the convenience yield by changing the supply of safe assets in private hands. QE compresses convenience yield; QT widens it. Dissonance fires when this channel is disrupted (debt ceiling episodes, dealer balance sheet constraints).</w:t>
      </w:r>
    </w:p>
    <w:p w14:paraId="11FCF8B1" w14:textId="77777777" w:rsidR="006735C1" w:rsidRPr="0032251D" w:rsidRDefault="006735C1" w:rsidP="006735C1">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L3b node is the bank's </w:t>
      </w:r>
      <w:r w:rsidRPr="0032251D">
        <w:rPr>
          <w:rFonts w:ascii="Aptos" w:eastAsia="Times New Roman" w:hAnsi="Aptos" w:cs="Times New Roman"/>
          <w:i/>
          <w:iCs/>
          <w:kern w:val="0"/>
          <w:sz w:val="22"/>
          <w:szCs w:val="22"/>
          <w:lang w:eastAsia="en-GB"/>
          <w14:ligatures w14:val="none"/>
        </w:rPr>
        <w:t>quantity instrument</w:t>
      </w:r>
      <w:r w:rsidRPr="0032251D">
        <w:rPr>
          <w:rFonts w:ascii="Aptos" w:eastAsia="Times New Roman" w:hAnsi="Aptos" w:cs="Times New Roman"/>
          <w:kern w:val="0"/>
          <w:sz w:val="22"/>
          <w:szCs w:val="22"/>
          <w:lang w:eastAsia="en-GB"/>
          <w14:ligatures w14:val="none"/>
        </w:rPr>
        <w:t>. Pre-2008 passive; post-2008 actively deployed in DM. Dissonance at L3b means the bank's quantity actions do not match its stated quantity intent, or that the quantity stance is inconsistent with the price stance set by L3a.</w:t>
      </w:r>
    </w:p>
    <w:p w14:paraId="416DA7B9" w14:textId="77777777" w:rsidR="004B4A76" w:rsidRDefault="004B4A76"/>
    <w:sectPr w:rsidR="004B4A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46780"/>
    <w:multiLevelType w:val="multilevel"/>
    <w:tmpl w:val="C830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457BB9"/>
    <w:multiLevelType w:val="multilevel"/>
    <w:tmpl w:val="5A48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96923">
    <w:abstractNumId w:val="1"/>
  </w:num>
  <w:num w:numId="2" w16cid:durableId="335572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9F2"/>
    <w:rsid w:val="00236FC6"/>
    <w:rsid w:val="003B1C21"/>
    <w:rsid w:val="004B4A76"/>
    <w:rsid w:val="006735C1"/>
    <w:rsid w:val="00C769F2"/>
    <w:rsid w:val="00D80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44EC7"/>
  <w15:chartTrackingRefBased/>
  <w15:docId w15:val="{CDFD104D-686B-4BB4-8491-C01C39E4D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5C1"/>
    <w:rPr>
      <w:lang w:val="en-ZA"/>
    </w:rPr>
  </w:style>
  <w:style w:type="paragraph" w:styleId="Heading1">
    <w:name w:val="heading 1"/>
    <w:basedOn w:val="Normal"/>
    <w:next w:val="Normal"/>
    <w:link w:val="Heading1Char"/>
    <w:uiPriority w:val="9"/>
    <w:qFormat/>
    <w:rsid w:val="00C769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9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9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9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9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9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9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9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9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9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9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9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9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9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9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9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9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9F2"/>
    <w:rPr>
      <w:rFonts w:eastAsiaTheme="majorEastAsia" w:cstheme="majorBidi"/>
      <w:color w:val="272727" w:themeColor="text1" w:themeTint="D8"/>
    </w:rPr>
  </w:style>
  <w:style w:type="paragraph" w:styleId="Title">
    <w:name w:val="Title"/>
    <w:basedOn w:val="Normal"/>
    <w:next w:val="Normal"/>
    <w:link w:val="TitleChar"/>
    <w:uiPriority w:val="10"/>
    <w:qFormat/>
    <w:rsid w:val="00C76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9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9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9F2"/>
    <w:pPr>
      <w:spacing w:before="160"/>
      <w:jc w:val="center"/>
    </w:pPr>
    <w:rPr>
      <w:i/>
      <w:iCs/>
      <w:color w:val="404040" w:themeColor="text1" w:themeTint="BF"/>
    </w:rPr>
  </w:style>
  <w:style w:type="character" w:customStyle="1" w:styleId="QuoteChar">
    <w:name w:val="Quote Char"/>
    <w:basedOn w:val="DefaultParagraphFont"/>
    <w:link w:val="Quote"/>
    <w:uiPriority w:val="29"/>
    <w:rsid w:val="00C769F2"/>
    <w:rPr>
      <w:i/>
      <w:iCs/>
      <w:color w:val="404040" w:themeColor="text1" w:themeTint="BF"/>
    </w:rPr>
  </w:style>
  <w:style w:type="paragraph" w:styleId="ListParagraph">
    <w:name w:val="List Paragraph"/>
    <w:basedOn w:val="Normal"/>
    <w:uiPriority w:val="34"/>
    <w:qFormat/>
    <w:rsid w:val="00C769F2"/>
    <w:pPr>
      <w:ind w:left="720"/>
      <w:contextualSpacing/>
    </w:pPr>
  </w:style>
  <w:style w:type="character" w:styleId="IntenseEmphasis">
    <w:name w:val="Intense Emphasis"/>
    <w:basedOn w:val="DefaultParagraphFont"/>
    <w:uiPriority w:val="21"/>
    <w:qFormat/>
    <w:rsid w:val="00C769F2"/>
    <w:rPr>
      <w:i/>
      <w:iCs/>
      <w:color w:val="0F4761" w:themeColor="accent1" w:themeShade="BF"/>
    </w:rPr>
  </w:style>
  <w:style w:type="paragraph" w:styleId="IntenseQuote">
    <w:name w:val="Intense Quote"/>
    <w:basedOn w:val="Normal"/>
    <w:next w:val="Normal"/>
    <w:link w:val="IntenseQuoteChar"/>
    <w:uiPriority w:val="30"/>
    <w:qFormat/>
    <w:rsid w:val="00C769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9F2"/>
    <w:rPr>
      <w:i/>
      <w:iCs/>
      <w:color w:val="0F4761" w:themeColor="accent1" w:themeShade="BF"/>
    </w:rPr>
  </w:style>
  <w:style w:type="character" w:styleId="IntenseReference">
    <w:name w:val="Intense Reference"/>
    <w:basedOn w:val="DefaultParagraphFont"/>
    <w:uiPriority w:val="32"/>
    <w:qFormat/>
    <w:rsid w:val="00C769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1764</Words>
  <Characters>9652</Characters>
  <Application>Microsoft Office Word</Application>
  <DocSecurity>0</DocSecurity>
  <Lines>153</Lines>
  <Paragraphs>57</Paragraphs>
  <ScaleCrop>false</ScaleCrop>
  <Company/>
  <LinksUpToDate>false</LinksUpToDate>
  <CharactersWithSpaces>11359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Stoddart</dc:creator>
  <cp:keywords/>
  <dc:description/>
  <cp:lastModifiedBy>Justin Stoddart</cp:lastModifiedBy>
  <cp:revision>2</cp:revision>
  <dcterms:created xsi:type="dcterms:W3CDTF">2026-05-16T09:37:00Z</dcterms:created>
  <dcterms:modified xsi:type="dcterms:W3CDTF">2026-05-16T09:38:00Z</dcterms:modified>
</cp:coreProperties>
</file>