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3C8D1" w14:textId="32F9A530" w:rsidR="004B4A76" w:rsidRDefault="009844C7" w:rsidP="009844C7">
      <w:pPr>
        <w:jc w:val="center"/>
        <w:rPr>
          <w:b/>
          <w:bCs/>
          <w:sz w:val="28"/>
          <w:szCs w:val="28"/>
        </w:rPr>
      </w:pPr>
      <w:r w:rsidRPr="009844C7">
        <w:rPr>
          <w:b/>
          <w:bCs/>
          <w:sz w:val="28"/>
          <w:szCs w:val="28"/>
        </w:rPr>
        <w:t>Theory</w:t>
      </w:r>
    </w:p>
    <w:p w14:paraId="6FD2A90E" w14:textId="77777777" w:rsidR="009844C7" w:rsidRPr="0032251D" w:rsidRDefault="009844C7" w:rsidP="009844C7">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Level 3f — Liquidity Facilities</w:t>
      </w:r>
    </w:p>
    <w:p w14:paraId="7FAC6868" w14:textId="77777777" w:rsidR="009844C7" w:rsidRPr="0032251D" w:rsidRDefault="009844C7" w:rsidP="009844C7">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Definition.</w:t>
      </w:r>
      <w:r w:rsidRPr="0032251D">
        <w:rPr>
          <w:rFonts w:ascii="Aptos" w:eastAsia="Times New Roman" w:hAnsi="Aptos" w:cs="Times New Roman"/>
          <w:kern w:val="0"/>
          <w:sz w:val="22"/>
          <w:szCs w:val="22"/>
          <w:lang w:eastAsia="en-GB"/>
          <w14:ligatures w14:val="none"/>
        </w:rPr>
        <w:t xml:space="preserve"> Liquidity facilities are central bank tools that provide funding to financial institutions, typically against collateral, when normal market funding becomes unavailable or unaffordable. They are distinct from the policy rate (which sets the price of unconstrained liquidity), from the balance sheet (which targets monetary stance), and from macroprudential policy (which sets structural rules). Their defining feature is </w:t>
      </w:r>
      <w:r w:rsidRPr="0032251D">
        <w:rPr>
          <w:rFonts w:ascii="Aptos" w:eastAsia="Times New Roman" w:hAnsi="Aptos" w:cs="Times New Roman"/>
          <w:i/>
          <w:iCs/>
          <w:kern w:val="0"/>
          <w:sz w:val="22"/>
          <w:szCs w:val="22"/>
          <w:lang w:eastAsia="en-GB"/>
          <w14:ligatures w14:val="none"/>
        </w:rPr>
        <w:t>contingency</w:t>
      </w:r>
      <w:r w:rsidRPr="0032251D">
        <w:rPr>
          <w:rFonts w:ascii="Aptos" w:eastAsia="Times New Roman" w:hAnsi="Aptos" w:cs="Times New Roman"/>
          <w:kern w:val="0"/>
          <w:sz w:val="22"/>
          <w:szCs w:val="22"/>
          <w:lang w:eastAsia="en-GB"/>
          <w14:ligatures w14:val="none"/>
        </w:rPr>
        <w:t xml:space="preserve"> — they are dormant in normal times and activated in stress. Three families: </w:t>
      </w:r>
      <w:r w:rsidRPr="0032251D">
        <w:rPr>
          <w:rFonts w:ascii="Aptos" w:eastAsia="Times New Roman" w:hAnsi="Aptos" w:cs="Times New Roman"/>
          <w:i/>
          <w:iCs/>
          <w:kern w:val="0"/>
          <w:sz w:val="22"/>
          <w:szCs w:val="22"/>
          <w:lang w:eastAsia="en-GB"/>
          <w14:ligatures w14:val="none"/>
        </w:rPr>
        <w:t>standing facilities</w:t>
      </w:r>
      <w:r w:rsidRPr="0032251D">
        <w:rPr>
          <w:rFonts w:ascii="Aptos" w:eastAsia="Times New Roman" w:hAnsi="Aptos" w:cs="Times New Roman"/>
          <w:kern w:val="0"/>
          <w:sz w:val="22"/>
          <w:szCs w:val="22"/>
          <w:lang w:eastAsia="en-GB"/>
          <w14:ligatures w14:val="none"/>
        </w:rPr>
        <w:t xml:space="preserve"> permanently available (discount window, Standing Repo Facility); </w:t>
      </w:r>
      <w:r w:rsidRPr="0032251D">
        <w:rPr>
          <w:rFonts w:ascii="Aptos" w:eastAsia="Times New Roman" w:hAnsi="Aptos" w:cs="Times New Roman"/>
          <w:i/>
          <w:iCs/>
          <w:kern w:val="0"/>
          <w:sz w:val="22"/>
          <w:szCs w:val="22"/>
          <w:lang w:eastAsia="en-GB"/>
          <w14:ligatures w14:val="none"/>
        </w:rPr>
        <w:t>crisis facilities</w:t>
      </w:r>
      <w:r w:rsidRPr="0032251D">
        <w:rPr>
          <w:rFonts w:ascii="Aptos" w:eastAsia="Times New Roman" w:hAnsi="Aptos" w:cs="Times New Roman"/>
          <w:kern w:val="0"/>
          <w:sz w:val="22"/>
          <w:szCs w:val="22"/>
          <w:lang w:eastAsia="en-GB"/>
          <w14:ligatures w14:val="none"/>
        </w:rPr>
        <w:t xml:space="preserve"> created or reactivated in response to specific stress (TAF, PDCF, CPFF, BTFP); and </w:t>
      </w:r>
      <w:r w:rsidRPr="0032251D">
        <w:rPr>
          <w:rFonts w:ascii="Aptos" w:eastAsia="Times New Roman" w:hAnsi="Aptos" w:cs="Times New Roman"/>
          <w:i/>
          <w:iCs/>
          <w:kern w:val="0"/>
          <w:sz w:val="22"/>
          <w:szCs w:val="22"/>
          <w:lang w:eastAsia="en-GB"/>
          <w14:ligatures w14:val="none"/>
        </w:rPr>
        <w:t>cross-border facilities</w:t>
      </w:r>
      <w:r w:rsidRPr="0032251D">
        <w:rPr>
          <w:rFonts w:ascii="Aptos" w:eastAsia="Times New Roman" w:hAnsi="Aptos" w:cs="Times New Roman"/>
          <w:kern w:val="0"/>
          <w:sz w:val="22"/>
          <w:szCs w:val="22"/>
          <w:lang w:eastAsia="en-GB"/>
          <w14:ligatures w14:val="none"/>
        </w:rPr>
        <w:t xml:space="preserve"> — FX swap lines between major central banks and the Fed's FIMA repo facility for other CBs holding US Treasuries.</w:t>
      </w:r>
    </w:p>
    <w:p w14:paraId="142E5465" w14:textId="77777777" w:rsidR="009844C7" w:rsidRPr="0032251D" w:rsidRDefault="009844C7" w:rsidP="009844C7">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35359AD0">
          <v:rect id="_x0000_i1025" alt="" style="width:451.3pt;height:.05pt;mso-width-percent:0;mso-height-percent:0;mso-width-percent:0;mso-height-percent:0" o:hralign="center" o:hrstd="t" o:hr="t" fillcolor="#a0a0a0" stroked="f"/>
        </w:pict>
      </w:r>
    </w:p>
    <w:p w14:paraId="50686ED9" w14:textId="77777777" w:rsidR="009844C7" w:rsidRPr="0032251D" w:rsidRDefault="009844C7" w:rsidP="009844C7">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Theory</w:t>
      </w:r>
    </w:p>
    <w:p w14:paraId="51715199" w14:textId="77777777" w:rsidR="009844C7" w:rsidRPr="0032251D" w:rsidRDefault="009844C7" w:rsidP="009844C7">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Liquidity facilities exist because of an inherent fragility in maturity transformation.</w:t>
      </w:r>
    </w:p>
    <w:p w14:paraId="03544176" w14:textId="77777777" w:rsidR="009844C7" w:rsidRPr="0032251D" w:rsidRDefault="009844C7" w:rsidP="009844C7">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The Bagehot foundation.</w:t>
      </w:r>
      <w:r w:rsidRPr="0032251D">
        <w:rPr>
          <w:rFonts w:ascii="Aptos" w:eastAsia="Times New Roman" w:hAnsi="Aptos" w:cs="Times New Roman"/>
          <w:kern w:val="0"/>
          <w:sz w:val="22"/>
          <w:szCs w:val="22"/>
          <w:lang w:eastAsia="en-GB"/>
          <w14:ligatures w14:val="none"/>
        </w:rPr>
        <w:t xml:space="preserve"> Walter Bagehot's </w:t>
      </w:r>
      <w:r w:rsidRPr="0032251D">
        <w:rPr>
          <w:rFonts w:ascii="Aptos" w:eastAsia="Times New Roman" w:hAnsi="Aptos" w:cs="Times New Roman"/>
          <w:i/>
          <w:iCs/>
          <w:kern w:val="0"/>
          <w:sz w:val="22"/>
          <w:szCs w:val="22"/>
          <w:lang w:eastAsia="en-GB"/>
          <w14:ligatures w14:val="none"/>
        </w:rPr>
        <w:t>Lombard Street</w:t>
      </w:r>
      <w:r w:rsidRPr="0032251D">
        <w:rPr>
          <w:rFonts w:ascii="Aptos" w:eastAsia="Times New Roman" w:hAnsi="Aptos" w:cs="Times New Roman"/>
          <w:kern w:val="0"/>
          <w:sz w:val="22"/>
          <w:szCs w:val="22"/>
          <w:lang w:eastAsia="en-GB"/>
          <w14:ligatures w14:val="none"/>
        </w:rPr>
        <w:t xml:space="preserve"> (1873) provided the foundational LOLR framework: in financial crises, the central bank should lend freely, at penalty rates, against good collateral. The logic builds on Diamond-Dybvig: banks transform short-term liquid liabilities (deposits) into longer-term illiquid assets (loans). This is socially valuable but creates run vulnerability. Illiquidity can become insolvency through fire-sale dynamics. An outside agent providing unconditional liquidity against good collateral breaks the run mechanically.</w:t>
      </w:r>
    </w:p>
    <w:p w14:paraId="52600E67" w14:textId="77777777" w:rsidR="009844C7" w:rsidRPr="0032251D" w:rsidRDefault="009844C7" w:rsidP="009844C7">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The three </w:t>
      </w:r>
      <w:proofErr w:type="spellStart"/>
      <w:r w:rsidRPr="0032251D">
        <w:rPr>
          <w:rFonts w:ascii="Aptos" w:eastAsia="Times New Roman" w:hAnsi="Aptos" w:cs="Times New Roman"/>
          <w:kern w:val="0"/>
          <w:sz w:val="22"/>
          <w:szCs w:val="22"/>
          <w:lang w:eastAsia="en-GB"/>
          <w14:ligatures w14:val="none"/>
        </w:rPr>
        <w:t>Bagehotian</w:t>
      </w:r>
      <w:proofErr w:type="spellEnd"/>
      <w:r w:rsidRPr="0032251D">
        <w:rPr>
          <w:rFonts w:ascii="Aptos" w:eastAsia="Times New Roman" w:hAnsi="Aptos" w:cs="Times New Roman"/>
          <w:kern w:val="0"/>
          <w:sz w:val="22"/>
          <w:szCs w:val="22"/>
          <w:lang w:eastAsia="en-GB"/>
          <w14:ligatures w14:val="none"/>
        </w:rPr>
        <w:t xml:space="preserve"> conditions matter: (1) lend freely — no quantity rationing; (2) at penalty rates — to discourage routine use and limit moral hazard; (3) against good collateral — to protect the central bank from credit risk. Modern facility design has progressively relaxed all three, particularly post-2008.</w:t>
      </w:r>
    </w:p>
    <w:p w14:paraId="4A156AA6" w14:textId="77777777" w:rsidR="009844C7" w:rsidRPr="0032251D" w:rsidRDefault="009844C7" w:rsidP="009844C7">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The 2008 extension.</w:t>
      </w:r>
      <w:r w:rsidRPr="0032251D">
        <w:rPr>
          <w:rFonts w:ascii="Aptos" w:eastAsia="Times New Roman" w:hAnsi="Aptos" w:cs="Times New Roman"/>
          <w:kern w:val="0"/>
          <w:sz w:val="22"/>
          <w:szCs w:val="22"/>
          <w:lang w:eastAsia="en-GB"/>
          <w14:ligatures w14:val="none"/>
        </w:rPr>
        <w:t xml:space="preserve"> The crisis revealed that the </w:t>
      </w:r>
      <w:proofErr w:type="spellStart"/>
      <w:r w:rsidRPr="0032251D">
        <w:rPr>
          <w:rFonts w:ascii="Aptos" w:eastAsia="Times New Roman" w:hAnsi="Aptos" w:cs="Times New Roman"/>
          <w:kern w:val="0"/>
          <w:sz w:val="22"/>
          <w:szCs w:val="22"/>
          <w:lang w:eastAsia="en-GB"/>
          <w14:ligatures w14:val="none"/>
        </w:rPr>
        <w:t>Bagehotian</w:t>
      </w:r>
      <w:proofErr w:type="spellEnd"/>
      <w:r w:rsidRPr="0032251D">
        <w:rPr>
          <w:rFonts w:ascii="Aptos" w:eastAsia="Times New Roman" w:hAnsi="Aptos" w:cs="Times New Roman"/>
          <w:kern w:val="0"/>
          <w:sz w:val="22"/>
          <w:szCs w:val="22"/>
          <w:lang w:eastAsia="en-GB"/>
          <w14:ligatures w14:val="none"/>
        </w:rPr>
        <w:t xml:space="preserve"> framework needed expansion. Risk had migrated outside the regulated banking perimeter (NBFI, dealers, MMFs); wholesale funding markets (repo, commercial paper) could freeze; cross-border dollar funding required international coordination. The LOLR function consequently expanded along five axes — from banks to non-banks (PDCF), from overnight to term (TAF), from collateral lending to outright asset purchases (CPFF, TALF), from domestic to cross-border (Fed swap lines), and from institution-specific to market-specific (MMLF).</w:t>
      </w:r>
    </w:p>
    <w:p w14:paraId="32A93BFF" w14:textId="77777777" w:rsidR="009844C7" w:rsidRPr="0032251D" w:rsidRDefault="009844C7" w:rsidP="009844C7">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The 2023 SVB lesson.</w:t>
      </w:r>
      <w:r w:rsidRPr="0032251D">
        <w:rPr>
          <w:rFonts w:ascii="Aptos" w:eastAsia="Times New Roman" w:hAnsi="Aptos" w:cs="Times New Roman"/>
          <w:kern w:val="0"/>
          <w:sz w:val="22"/>
          <w:szCs w:val="22"/>
          <w:lang w:eastAsia="en-GB"/>
          <w14:ligatures w14:val="none"/>
        </w:rPr>
        <w:t xml:space="preserve"> The collapse of Silicon Valley Bank revealed the </w:t>
      </w:r>
      <w:r w:rsidRPr="0032251D">
        <w:rPr>
          <w:rFonts w:ascii="Aptos" w:eastAsia="Times New Roman" w:hAnsi="Aptos" w:cs="Times New Roman"/>
          <w:i/>
          <w:iCs/>
          <w:kern w:val="0"/>
          <w:sz w:val="22"/>
          <w:szCs w:val="22"/>
          <w:lang w:eastAsia="en-GB"/>
          <w14:ligatures w14:val="none"/>
        </w:rPr>
        <w:t>digital deposit run</w:t>
      </w:r>
      <w:r w:rsidRPr="0032251D">
        <w:rPr>
          <w:rFonts w:ascii="Aptos" w:eastAsia="Times New Roman" w:hAnsi="Aptos" w:cs="Times New Roman"/>
          <w:kern w:val="0"/>
          <w:sz w:val="22"/>
          <w:szCs w:val="22"/>
          <w:lang w:eastAsia="en-GB"/>
          <w14:ligatures w14:val="none"/>
        </w:rPr>
        <w:t xml:space="preserve"> problem: deposits can flee at electronic speed (SVB lost ~$42bn in a single day), faster than traditional discount window operations can respond. The Bank Term Funding Program (BTFP), created in response, accepted collateral at par value rather than market value — a significant relaxation of Bagehot's "good collateral" condition, justified as preventing forced asset sales. The facility design tension between speed-of-response and moral hazard sharpened.</w:t>
      </w:r>
    </w:p>
    <w:p w14:paraId="216F6960" w14:textId="77777777" w:rsidR="009844C7" w:rsidRPr="0032251D" w:rsidRDefault="009844C7" w:rsidP="009844C7">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lastRenderedPageBreak/>
        <w:t>Moral hazard.</w:t>
      </w:r>
      <w:r w:rsidRPr="0032251D">
        <w:rPr>
          <w:rFonts w:ascii="Aptos" w:eastAsia="Times New Roman" w:hAnsi="Aptos" w:cs="Times New Roman"/>
          <w:kern w:val="0"/>
          <w:sz w:val="22"/>
          <w:szCs w:val="22"/>
          <w:lang w:eastAsia="en-GB"/>
          <w14:ligatures w14:val="none"/>
        </w:rPr>
        <w:t xml:space="preserve"> The standing theoretical concern: if the central bank always provides liquidity, banks take more liquidity risk. Facilities are designed with penalty rates, collateral haircuts, and discretionary access to limit this. But each facility extension narrows the moral hazard guardrails. The cumulative effect is debated.</w:t>
      </w:r>
    </w:p>
    <w:p w14:paraId="4A2A4325" w14:textId="77777777" w:rsidR="009844C7" w:rsidRPr="0032251D" w:rsidRDefault="009844C7" w:rsidP="009844C7">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6480FAD9">
          <v:rect id="_x0000_i1026" alt="" style="width:451.3pt;height:.05pt;mso-width-percent:0;mso-height-percent:0;mso-width-percent:0;mso-height-percent:0" o:hralign="center" o:hrstd="t" o:hr="t" fillcolor="#a0a0a0" stroked="f"/>
        </w:pict>
      </w:r>
    </w:p>
    <w:p w14:paraId="525EAFEB" w14:textId="77777777" w:rsidR="009844C7" w:rsidRPr="0032251D" w:rsidRDefault="009844C7" w:rsidP="009844C7">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Canonical specifications and parameters</w:t>
      </w:r>
    </w:p>
    <w:p w14:paraId="158F9D2B" w14:textId="77777777" w:rsidR="009844C7" w:rsidRPr="0032251D" w:rsidRDefault="009844C7" w:rsidP="009844C7">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Three operational families.</w:t>
      </w:r>
    </w:p>
    <w:p w14:paraId="418D4972" w14:textId="77777777" w:rsidR="009844C7" w:rsidRPr="0032251D" w:rsidRDefault="009844C7" w:rsidP="009844C7">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Standing facilities.</w:t>
      </w:r>
      <w:r w:rsidRPr="0032251D">
        <w:rPr>
          <w:rFonts w:ascii="Aptos" w:eastAsia="Times New Roman" w:hAnsi="Aptos" w:cs="Times New Roman"/>
          <w:kern w:val="0"/>
          <w:sz w:val="22"/>
          <w:szCs w:val="22"/>
          <w:lang w:eastAsia="en-GB"/>
          <w14:ligatures w14:val="none"/>
        </w:rPr>
        <w:t xml:space="preserve"> Permanently available, dormant in normal times.</w:t>
      </w:r>
    </w:p>
    <w:p w14:paraId="6447778C" w14:textId="77777777" w:rsidR="009844C7" w:rsidRPr="0032251D" w:rsidRDefault="009844C7" w:rsidP="009844C7">
      <w:pPr>
        <w:numPr>
          <w:ilvl w:val="0"/>
          <w:numId w:val="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Discount window</w:t>
      </w:r>
      <w:r w:rsidRPr="0032251D">
        <w:rPr>
          <w:rFonts w:ascii="Aptos" w:eastAsia="Times New Roman" w:hAnsi="Aptos" w:cs="Times New Roman"/>
          <w:kern w:val="0"/>
          <w:sz w:val="22"/>
          <w:szCs w:val="22"/>
          <w:lang w:eastAsia="en-GB"/>
          <w14:ligatures w14:val="none"/>
        </w:rPr>
        <w:t xml:space="preserve"> (Fed): secured lending to depository institutions, traditionally at penalty rates over the policy rate.</w:t>
      </w:r>
    </w:p>
    <w:p w14:paraId="24C22D99" w14:textId="77777777" w:rsidR="009844C7" w:rsidRPr="0032251D" w:rsidRDefault="009844C7" w:rsidP="009844C7">
      <w:pPr>
        <w:numPr>
          <w:ilvl w:val="0"/>
          <w:numId w:val="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Standing Repo Facility</w:t>
      </w:r>
      <w:r w:rsidRPr="0032251D">
        <w:rPr>
          <w:rFonts w:ascii="Aptos" w:eastAsia="Times New Roman" w:hAnsi="Aptos" w:cs="Times New Roman"/>
          <w:kern w:val="0"/>
          <w:sz w:val="22"/>
          <w:szCs w:val="22"/>
          <w:lang w:eastAsia="en-GB"/>
          <w14:ligatures w14:val="none"/>
        </w:rPr>
        <w:t xml:space="preserve"> (Fed, 2021): committed overnight repo against Treasuries at the policy rate. Designed specifically to overcome stigma.</w:t>
      </w:r>
    </w:p>
    <w:p w14:paraId="485C0419" w14:textId="77777777" w:rsidR="009844C7" w:rsidRPr="0032251D" w:rsidRDefault="009844C7" w:rsidP="009844C7">
      <w:pPr>
        <w:numPr>
          <w:ilvl w:val="0"/>
          <w:numId w:val="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Marginal lending facility</w:t>
      </w:r>
      <w:r w:rsidRPr="0032251D">
        <w:rPr>
          <w:rFonts w:ascii="Aptos" w:eastAsia="Times New Roman" w:hAnsi="Aptos" w:cs="Times New Roman"/>
          <w:kern w:val="0"/>
          <w:sz w:val="22"/>
          <w:szCs w:val="22"/>
          <w:lang w:eastAsia="en-GB"/>
          <w14:ligatures w14:val="none"/>
        </w:rPr>
        <w:t xml:space="preserve"> (ECB): upper bound of the corridor system.</w:t>
      </w:r>
    </w:p>
    <w:p w14:paraId="0D1611CB" w14:textId="77777777" w:rsidR="009844C7" w:rsidRPr="0032251D" w:rsidRDefault="009844C7" w:rsidP="009844C7">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Crisis facilities.</w:t>
      </w:r>
      <w:r w:rsidRPr="0032251D">
        <w:rPr>
          <w:rFonts w:ascii="Aptos" w:eastAsia="Times New Roman" w:hAnsi="Aptos" w:cs="Times New Roman"/>
          <w:kern w:val="0"/>
          <w:sz w:val="22"/>
          <w:szCs w:val="22"/>
          <w:lang w:eastAsia="en-GB"/>
          <w14:ligatures w14:val="none"/>
        </w:rPr>
        <w:t xml:space="preserve"> Created or activated for specific stress episodes.</w:t>
      </w:r>
    </w:p>
    <w:p w14:paraId="22B56301" w14:textId="77777777" w:rsidR="009844C7" w:rsidRPr="0032251D" w:rsidRDefault="009844C7" w:rsidP="009844C7">
      <w:pPr>
        <w:numPr>
          <w:ilvl w:val="0"/>
          <w:numId w:val="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Pre-2008: limited toolkit (discount window primarily).</w:t>
      </w:r>
    </w:p>
    <w:p w14:paraId="23A3D111" w14:textId="77777777" w:rsidR="009844C7" w:rsidRPr="0032251D" w:rsidRDefault="009844C7" w:rsidP="009844C7">
      <w:pPr>
        <w:numPr>
          <w:ilvl w:val="0"/>
          <w:numId w:val="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2008: TAF (term auction), PDCF (primary dealers), CPFF (commercial paper), MMLF (money market funds), TALF (asset-backed securities).</w:t>
      </w:r>
    </w:p>
    <w:p w14:paraId="5E983963" w14:textId="77777777" w:rsidR="009844C7" w:rsidRPr="0032251D" w:rsidRDefault="009844C7" w:rsidP="009844C7">
      <w:pPr>
        <w:numPr>
          <w:ilvl w:val="0"/>
          <w:numId w:val="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2020 COVID: rapid reactivation of the 2008 toolkit plus Main Street Lending Program, Municipal Liquidity Facility, and others.</w:t>
      </w:r>
    </w:p>
    <w:p w14:paraId="10DE7E5C" w14:textId="77777777" w:rsidR="009844C7" w:rsidRPr="0032251D" w:rsidRDefault="009844C7" w:rsidP="009844C7">
      <w:pPr>
        <w:numPr>
          <w:ilvl w:val="0"/>
          <w:numId w:val="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2023: BTFP, designed for the digital deposit run problem.</w:t>
      </w:r>
    </w:p>
    <w:p w14:paraId="42A23868" w14:textId="77777777" w:rsidR="009844C7" w:rsidRPr="0032251D" w:rsidRDefault="009844C7" w:rsidP="009844C7">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Cross-border facilities.</w:t>
      </w:r>
    </w:p>
    <w:p w14:paraId="645AD555" w14:textId="77777777" w:rsidR="009844C7" w:rsidRPr="0032251D" w:rsidRDefault="009844C7" w:rsidP="009844C7">
      <w:pPr>
        <w:numPr>
          <w:ilvl w:val="0"/>
          <w:numId w:val="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Standing dollar swap lines</w:t>
      </w:r>
      <w:r w:rsidRPr="0032251D">
        <w:rPr>
          <w:rFonts w:ascii="Aptos" w:eastAsia="Times New Roman" w:hAnsi="Aptos" w:cs="Times New Roman"/>
          <w:kern w:val="0"/>
          <w:sz w:val="22"/>
          <w:szCs w:val="22"/>
          <w:lang w:eastAsia="en-GB"/>
          <w14:ligatures w14:val="none"/>
        </w:rPr>
        <w:t>: Fed-ECB, Fed-BoE, Fed-BoJ, Fed-SNB, Fed-BoC — the C6 currency arrangement made permanent in 2013.</w:t>
      </w:r>
    </w:p>
    <w:p w14:paraId="0BB6F8C5" w14:textId="77777777" w:rsidR="009844C7" w:rsidRPr="0032251D" w:rsidRDefault="009844C7" w:rsidP="009844C7">
      <w:pPr>
        <w:numPr>
          <w:ilvl w:val="0"/>
          <w:numId w:val="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Temporary swap lines</w:t>
      </w:r>
      <w:r w:rsidRPr="0032251D">
        <w:rPr>
          <w:rFonts w:ascii="Aptos" w:eastAsia="Times New Roman" w:hAnsi="Aptos" w:cs="Times New Roman"/>
          <w:kern w:val="0"/>
          <w:sz w:val="22"/>
          <w:szCs w:val="22"/>
          <w:lang w:eastAsia="en-GB"/>
          <w14:ligatures w14:val="none"/>
        </w:rPr>
        <w:t>: extended to selected EMs during 2008 (Brazil, Mexico, Korea, Singapore) and 2020 (similar list plus more).</w:t>
      </w:r>
    </w:p>
    <w:p w14:paraId="05725DB5" w14:textId="77777777" w:rsidR="009844C7" w:rsidRPr="0032251D" w:rsidRDefault="009844C7" w:rsidP="009844C7">
      <w:pPr>
        <w:numPr>
          <w:ilvl w:val="0"/>
          <w:numId w:val="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FIMA repo facility</w:t>
      </w:r>
      <w:r w:rsidRPr="0032251D">
        <w:rPr>
          <w:rFonts w:ascii="Aptos" w:eastAsia="Times New Roman" w:hAnsi="Aptos" w:cs="Times New Roman"/>
          <w:kern w:val="0"/>
          <w:sz w:val="22"/>
          <w:szCs w:val="22"/>
          <w:lang w:eastAsia="en-GB"/>
          <w14:ligatures w14:val="none"/>
        </w:rPr>
        <w:t xml:space="preserve"> (Fed, 2020): allows any CB holding US Treasuries to obtain dollars by </w:t>
      </w:r>
      <w:proofErr w:type="spellStart"/>
      <w:r w:rsidRPr="0032251D">
        <w:rPr>
          <w:rFonts w:ascii="Aptos" w:eastAsia="Times New Roman" w:hAnsi="Aptos" w:cs="Times New Roman"/>
          <w:kern w:val="0"/>
          <w:sz w:val="22"/>
          <w:szCs w:val="22"/>
          <w:lang w:eastAsia="en-GB"/>
          <w14:ligatures w14:val="none"/>
        </w:rPr>
        <w:t>repoing</w:t>
      </w:r>
      <w:proofErr w:type="spellEnd"/>
      <w:r w:rsidRPr="0032251D">
        <w:rPr>
          <w:rFonts w:ascii="Aptos" w:eastAsia="Times New Roman" w:hAnsi="Aptos" w:cs="Times New Roman"/>
          <w:kern w:val="0"/>
          <w:sz w:val="22"/>
          <w:szCs w:val="22"/>
          <w:lang w:eastAsia="en-GB"/>
          <w14:ligatures w14:val="none"/>
        </w:rPr>
        <w:t xml:space="preserve"> them, with less political gating than swap lines.</w:t>
      </w:r>
    </w:p>
    <w:p w14:paraId="0F81AED1" w14:textId="77777777" w:rsidR="009844C7" w:rsidRPr="0032251D" w:rsidRDefault="009844C7" w:rsidP="009844C7">
      <w:pPr>
        <w:numPr>
          <w:ilvl w:val="0"/>
          <w:numId w:val="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Regional arrangements</w:t>
      </w:r>
      <w:r w:rsidRPr="0032251D">
        <w:rPr>
          <w:rFonts w:ascii="Aptos" w:eastAsia="Times New Roman" w:hAnsi="Aptos" w:cs="Times New Roman"/>
          <w:kern w:val="0"/>
          <w:sz w:val="22"/>
          <w:szCs w:val="22"/>
          <w:lang w:eastAsia="en-GB"/>
          <w14:ligatures w14:val="none"/>
        </w:rPr>
        <w:t>: Chiang Mai Initiative in Asia, BIS-coordinated facilities.</w:t>
      </w:r>
    </w:p>
    <w:p w14:paraId="7D1C3507" w14:textId="77777777" w:rsidR="009844C7" w:rsidRPr="0032251D" w:rsidRDefault="009844C7" w:rsidP="009844C7">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Key parameters: </w:t>
      </w:r>
      <w:r w:rsidRPr="0032251D">
        <w:rPr>
          <w:rFonts w:ascii="Aptos" w:eastAsia="Times New Roman" w:hAnsi="Aptos" w:cs="Times New Roman"/>
          <w:i/>
          <w:iCs/>
          <w:kern w:val="0"/>
          <w:sz w:val="22"/>
          <w:szCs w:val="22"/>
          <w:lang w:eastAsia="en-GB"/>
          <w14:ligatures w14:val="none"/>
        </w:rPr>
        <w:t>rate</w:t>
      </w:r>
      <w:r w:rsidRPr="0032251D">
        <w:rPr>
          <w:rFonts w:ascii="Aptos" w:eastAsia="Times New Roman" w:hAnsi="Aptos" w:cs="Times New Roman"/>
          <w:kern w:val="0"/>
          <w:sz w:val="22"/>
          <w:szCs w:val="22"/>
          <w:lang w:eastAsia="en-GB"/>
          <w14:ligatures w14:val="none"/>
        </w:rPr>
        <w:t xml:space="preserve"> (penalty over policy or near-policy); </w:t>
      </w:r>
      <w:r w:rsidRPr="0032251D">
        <w:rPr>
          <w:rFonts w:ascii="Aptos" w:eastAsia="Times New Roman" w:hAnsi="Aptos" w:cs="Times New Roman"/>
          <w:i/>
          <w:iCs/>
          <w:kern w:val="0"/>
          <w:sz w:val="22"/>
          <w:szCs w:val="22"/>
          <w:lang w:eastAsia="en-GB"/>
          <w14:ligatures w14:val="none"/>
        </w:rPr>
        <w:t>collateral</w:t>
      </w:r>
      <w:r w:rsidRPr="0032251D">
        <w:rPr>
          <w:rFonts w:ascii="Aptos" w:eastAsia="Times New Roman" w:hAnsi="Aptos" w:cs="Times New Roman"/>
          <w:kern w:val="0"/>
          <w:sz w:val="22"/>
          <w:szCs w:val="22"/>
          <w:lang w:eastAsia="en-GB"/>
          <w14:ligatures w14:val="none"/>
        </w:rPr>
        <w:t xml:space="preserve"> (Treasuries only, broader, or asset-specific); </w:t>
      </w:r>
      <w:r w:rsidRPr="0032251D">
        <w:rPr>
          <w:rFonts w:ascii="Aptos" w:eastAsia="Times New Roman" w:hAnsi="Aptos" w:cs="Times New Roman"/>
          <w:i/>
          <w:iCs/>
          <w:kern w:val="0"/>
          <w:sz w:val="22"/>
          <w:szCs w:val="22"/>
          <w:lang w:eastAsia="en-GB"/>
          <w14:ligatures w14:val="none"/>
        </w:rPr>
        <w:t>counterparty</w:t>
      </w:r>
      <w:r w:rsidRPr="0032251D">
        <w:rPr>
          <w:rFonts w:ascii="Aptos" w:eastAsia="Times New Roman" w:hAnsi="Aptos" w:cs="Times New Roman"/>
          <w:kern w:val="0"/>
          <w:sz w:val="22"/>
          <w:szCs w:val="22"/>
          <w:lang w:eastAsia="en-GB"/>
          <w14:ligatures w14:val="none"/>
        </w:rPr>
        <w:t xml:space="preserve"> (banks, dealers, non-bank financials); </w:t>
      </w:r>
      <w:r w:rsidRPr="0032251D">
        <w:rPr>
          <w:rFonts w:ascii="Aptos" w:eastAsia="Times New Roman" w:hAnsi="Aptos" w:cs="Times New Roman"/>
          <w:i/>
          <w:iCs/>
          <w:kern w:val="0"/>
          <w:sz w:val="22"/>
          <w:szCs w:val="22"/>
          <w:lang w:eastAsia="en-GB"/>
          <w14:ligatures w14:val="none"/>
        </w:rPr>
        <w:t>term</w:t>
      </w:r>
      <w:r w:rsidRPr="0032251D">
        <w:rPr>
          <w:rFonts w:ascii="Aptos" w:eastAsia="Times New Roman" w:hAnsi="Aptos" w:cs="Times New Roman"/>
          <w:kern w:val="0"/>
          <w:sz w:val="22"/>
          <w:szCs w:val="22"/>
          <w:lang w:eastAsia="en-GB"/>
          <w14:ligatures w14:val="none"/>
        </w:rPr>
        <w:t xml:space="preserve"> (overnight, one week, three months); </w:t>
      </w:r>
      <w:r w:rsidRPr="0032251D">
        <w:rPr>
          <w:rFonts w:ascii="Aptos" w:eastAsia="Times New Roman" w:hAnsi="Aptos" w:cs="Times New Roman"/>
          <w:i/>
          <w:iCs/>
          <w:kern w:val="0"/>
          <w:sz w:val="22"/>
          <w:szCs w:val="22"/>
          <w:lang w:eastAsia="en-GB"/>
          <w14:ligatures w14:val="none"/>
        </w:rPr>
        <w:t>caps</w:t>
      </w:r>
      <w:r w:rsidRPr="0032251D">
        <w:rPr>
          <w:rFonts w:ascii="Aptos" w:eastAsia="Times New Roman" w:hAnsi="Aptos" w:cs="Times New Roman"/>
          <w:kern w:val="0"/>
          <w:sz w:val="22"/>
          <w:szCs w:val="22"/>
          <w:lang w:eastAsia="en-GB"/>
          <w14:ligatures w14:val="none"/>
        </w:rPr>
        <w:t xml:space="preserve"> (aggregate or per-counterparty); </w:t>
      </w:r>
      <w:r w:rsidRPr="0032251D">
        <w:rPr>
          <w:rFonts w:ascii="Aptos" w:eastAsia="Times New Roman" w:hAnsi="Aptos" w:cs="Times New Roman"/>
          <w:i/>
          <w:iCs/>
          <w:kern w:val="0"/>
          <w:sz w:val="22"/>
          <w:szCs w:val="22"/>
          <w:lang w:eastAsia="en-GB"/>
          <w14:ligatures w14:val="none"/>
        </w:rPr>
        <w:t>pricing mechanism</w:t>
      </w:r>
      <w:r w:rsidRPr="0032251D">
        <w:rPr>
          <w:rFonts w:ascii="Aptos" w:eastAsia="Times New Roman" w:hAnsi="Aptos" w:cs="Times New Roman"/>
          <w:kern w:val="0"/>
          <w:sz w:val="22"/>
          <w:szCs w:val="22"/>
          <w:lang w:eastAsia="en-GB"/>
          <w14:ligatures w14:val="none"/>
        </w:rPr>
        <w:t xml:space="preserve"> (auction vs fixed).</w:t>
      </w:r>
    </w:p>
    <w:p w14:paraId="3E2B5B15" w14:textId="77777777" w:rsidR="009844C7" w:rsidRPr="0032251D" w:rsidRDefault="009844C7" w:rsidP="009844C7">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Two important contrasts: </w:t>
      </w:r>
      <w:r w:rsidRPr="0032251D">
        <w:rPr>
          <w:rFonts w:ascii="Aptos" w:eastAsia="Times New Roman" w:hAnsi="Aptos" w:cs="Times New Roman"/>
          <w:i/>
          <w:iCs/>
          <w:kern w:val="0"/>
          <w:sz w:val="22"/>
          <w:szCs w:val="22"/>
          <w:lang w:eastAsia="en-GB"/>
          <w14:ligatures w14:val="none"/>
        </w:rPr>
        <w:t>pre-positioned vs created-in-crisis</w:t>
      </w:r>
      <w:r w:rsidRPr="0032251D">
        <w:rPr>
          <w:rFonts w:ascii="Aptos" w:eastAsia="Times New Roman" w:hAnsi="Aptos" w:cs="Times New Roman"/>
          <w:kern w:val="0"/>
          <w:sz w:val="22"/>
          <w:szCs w:val="22"/>
          <w:lang w:eastAsia="en-GB"/>
          <w14:ligatures w14:val="none"/>
        </w:rPr>
        <w:t xml:space="preserve"> (SRF and BTFP are pre-positioned to avoid operational lag, the 2008 facilities required emergency standup); and </w:t>
      </w:r>
      <w:r w:rsidRPr="0032251D">
        <w:rPr>
          <w:rFonts w:ascii="Aptos" w:eastAsia="Times New Roman" w:hAnsi="Aptos" w:cs="Times New Roman"/>
          <w:i/>
          <w:iCs/>
          <w:kern w:val="0"/>
          <w:sz w:val="22"/>
          <w:szCs w:val="22"/>
          <w:lang w:eastAsia="en-GB"/>
          <w14:ligatures w14:val="none"/>
        </w:rPr>
        <w:t>Bagehot vs broader</w:t>
      </w:r>
      <w:r w:rsidRPr="0032251D">
        <w:rPr>
          <w:rFonts w:ascii="Aptos" w:eastAsia="Times New Roman" w:hAnsi="Aptos" w:cs="Times New Roman"/>
          <w:kern w:val="0"/>
          <w:sz w:val="22"/>
          <w:szCs w:val="22"/>
          <w:lang w:eastAsia="en-GB"/>
          <w14:ligatures w14:val="none"/>
        </w:rPr>
        <w:t xml:space="preserve"> (BTFP at par-value collateral is a meaningful departure from the original framework).</w:t>
      </w:r>
    </w:p>
    <w:p w14:paraId="2052131E" w14:textId="77777777" w:rsidR="009844C7" w:rsidRPr="0032251D" w:rsidRDefault="009844C7" w:rsidP="009844C7">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43243624">
          <v:rect id="_x0000_i1027" alt="" style="width:451.3pt;height:.05pt;mso-width-percent:0;mso-height-percent:0;mso-width-percent:0;mso-height-percent:0" o:hralign="center" o:hrstd="t" o:hr="t" fillcolor="#a0a0a0" stroked="f"/>
        </w:pict>
      </w:r>
    </w:p>
    <w:p w14:paraId="07B41B40" w14:textId="77777777" w:rsidR="009844C7" w:rsidRPr="0032251D" w:rsidRDefault="009844C7" w:rsidP="009844C7">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lastRenderedPageBreak/>
        <w:t>Sub-node: Why this matters for asset prices</w:t>
      </w:r>
    </w:p>
    <w:p w14:paraId="23862651" w14:textId="77777777" w:rsidR="009844C7" w:rsidRPr="0032251D" w:rsidRDefault="009844C7" w:rsidP="009844C7">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Liquidity facilities affect asset prices through six channels.</w:t>
      </w:r>
    </w:p>
    <w:p w14:paraId="6C78B083" w14:textId="77777777" w:rsidR="009844C7" w:rsidRPr="0032251D" w:rsidRDefault="009844C7" w:rsidP="009844C7">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Funding spread compression.</w:t>
      </w:r>
      <w:r w:rsidRPr="0032251D">
        <w:rPr>
          <w:rFonts w:ascii="Aptos" w:eastAsia="Times New Roman" w:hAnsi="Aptos" w:cs="Times New Roman"/>
          <w:kern w:val="0"/>
          <w:sz w:val="22"/>
          <w:szCs w:val="22"/>
          <w:lang w:eastAsia="en-GB"/>
          <w14:ligatures w14:val="none"/>
        </w:rPr>
        <w:t xml:space="preserve"> When facility access is available, banks and dealers can fund at the facility rate rather than the stressed market rate. This compresses bank funding spreads in commercial paper, CDs, and repo basis.</w:t>
      </w:r>
    </w:p>
    <w:p w14:paraId="6D188F8B" w14:textId="77777777" w:rsidR="009844C7" w:rsidRPr="0032251D" w:rsidRDefault="009844C7" w:rsidP="009844C7">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Liquidity premium compression.</w:t>
      </w:r>
      <w:r w:rsidRPr="0032251D">
        <w:rPr>
          <w:rFonts w:ascii="Aptos" w:eastAsia="Times New Roman" w:hAnsi="Aptos" w:cs="Times New Roman"/>
          <w:kern w:val="0"/>
          <w:sz w:val="22"/>
          <w:szCs w:val="22"/>
          <w:lang w:eastAsia="en-GB"/>
          <w14:ligatures w14:val="none"/>
        </w:rPr>
        <w:t xml:space="preserve"> Convenience yield (Krishnamurthy-Vissing-Jorgensen) is compressed because the facility effectively guarantees convertibility of safe assets into cash. This narrows the spread between cash and safe-asset yields and dampens the safe-asset liquidity premium.</w:t>
      </w:r>
    </w:p>
    <w:p w14:paraId="6247AE5F" w14:textId="77777777" w:rsidR="009844C7" w:rsidRPr="0032251D" w:rsidRDefault="009844C7" w:rsidP="009844C7">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Cross-currency basis.</w:t>
      </w:r>
      <w:r w:rsidRPr="0032251D">
        <w:rPr>
          <w:rFonts w:ascii="Aptos" w:eastAsia="Times New Roman" w:hAnsi="Aptos" w:cs="Times New Roman"/>
          <w:kern w:val="0"/>
          <w:sz w:val="22"/>
          <w:szCs w:val="22"/>
          <w:lang w:eastAsia="en-GB"/>
          <w14:ligatures w14:val="none"/>
        </w:rPr>
        <w:t xml:space="preserve"> FX swap lines compress the CIP basis. Without swap lines, non-US banks pay a premium to access dollars; with swap lines, the basis compresses toward zero. The 2008 and 2020 episodes showed both — basis explosions before swap lines and compression after activation.</w:t>
      </w:r>
    </w:p>
    <w:p w14:paraId="72F95B7C" w14:textId="77777777" w:rsidR="009844C7" w:rsidRPr="0032251D" w:rsidRDefault="009844C7" w:rsidP="009844C7">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Crisis-asset spreads.</w:t>
      </w:r>
      <w:r w:rsidRPr="0032251D">
        <w:rPr>
          <w:rFonts w:ascii="Aptos" w:eastAsia="Times New Roman" w:hAnsi="Aptos" w:cs="Times New Roman"/>
          <w:kern w:val="0"/>
          <w:sz w:val="22"/>
          <w:szCs w:val="22"/>
          <w:lang w:eastAsia="en-GB"/>
          <w14:ligatures w14:val="none"/>
        </w:rPr>
        <w:t xml:space="preserve"> Targeted facilities (CPFF, TALF, BTFP) compress the spread on the specific asset class supported. The mechanism is mechanical — the facility creates a buyer (or lender) of last resort for that asset.</w:t>
      </w:r>
    </w:p>
    <w:p w14:paraId="6337903E" w14:textId="77777777" w:rsidR="009844C7" w:rsidRPr="0032251D" w:rsidRDefault="009844C7" w:rsidP="009844C7">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Tail risk pricing.</w:t>
      </w:r>
      <w:r w:rsidRPr="0032251D">
        <w:rPr>
          <w:rFonts w:ascii="Aptos" w:eastAsia="Times New Roman" w:hAnsi="Aptos" w:cs="Times New Roman"/>
          <w:kern w:val="0"/>
          <w:sz w:val="22"/>
          <w:szCs w:val="22"/>
          <w:lang w:eastAsia="en-GB"/>
          <w14:ligatures w14:val="none"/>
        </w:rPr>
        <w:t xml:space="preserve"> Even when not used, the </w:t>
      </w:r>
      <w:r w:rsidRPr="0032251D">
        <w:rPr>
          <w:rFonts w:ascii="Aptos" w:eastAsia="Times New Roman" w:hAnsi="Aptos" w:cs="Times New Roman"/>
          <w:i/>
          <w:iCs/>
          <w:kern w:val="0"/>
          <w:sz w:val="22"/>
          <w:szCs w:val="22"/>
          <w:lang w:eastAsia="en-GB"/>
          <w14:ligatures w14:val="none"/>
        </w:rPr>
        <w:t>availability</w:t>
      </w:r>
      <w:r w:rsidRPr="0032251D">
        <w:rPr>
          <w:rFonts w:ascii="Aptos" w:eastAsia="Times New Roman" w:hAnsi="Aptos" w:cs="Times New Roman"/>
          <w:kern w:val="0"/>
          <w:sz w:val="22"/>
          <w:szCs w:val="22"/>
          <w:lang w:eastAsia="en-GB"/>
          <w14:ligatures w14:val="none"/>
        </w:rPr>
        <w:t xml:space="preserve"> of credible facilities compresses crisis tail risk pricing. The SRF, although rarely drawn, has plausibly reduced repo-spike risk just by existing.</w:t>
      </w:r>
    </w:p>
    <w:p w14:paraId="65A57F73" w14:textId="77777777" w:rsidR="009844C7" w:rsidRPr="0032251D" w:rsidRDefault="009844C7" w:rsidP="009844C7">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Bank equity valuations.</w:t>
      </w:r>
      <w:r w:rsidRPr="0032251D">
        <w:rPr>
          <w:rFonts w:ascii="Aptos" w:eastAsia="Times New Roman" w:hAnsi="Aptos" w:cs="Times New Roman"/>
          <w:kern w:val="0"/>
          <w:sz w:val="22"/>
          <w:szCs w:val="22"/>
          <w:lang w:eastAsia="en-GB"/>
          <w14:ligatures w14:val="none"/>
        </w:rPr>
        <w:t xml:space="preserve"> Emergency facility access supports bank equity prices during stress. BTFP announcement in March 2023 visibly supported regional bank stocks.</w:t>
      </w:r>
    </w:p>
    <w:p w14:paraId="19175252" w14:textId="77777777" w:rsidR="009844C7" w:rsidRPr="0032251D" w:rsidRDefault="009844C7" w:rsidP="009844C7">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For investment managers three practitioner points dominate. First, facilities create a </w:t>
      </w:r>
      <w:r w:rsidRPr="0032251D">
        <w:rPr>
          <w:rFonts w:ascii="Aptos" w:eastAsia="Times New Roman" w:hAnsi="Aptos" w:cs="Times New Roman"/>
          <w:i/>
          <w:iCs/>
          <w:kern w:val="0"/>
          <w:sz w:val="22"/>
          <w:szCs w:val="22"/>
          <w:lang w:eastAsia="en-GB"/>
          <w14:ligatures w14:val="none"/>
        </w:rPr>
        <w:t>put option</w:t>
      </w:r>
      <w:r w:rsidRPr="0032251D">
        <w:rPr>
          <w:rFonts w:ascii="Aptos" w:eastAsia="Times New Roman" w:hAnsi="Aptos" w:cs="Times New Roman"/>
          <w:kern w:val="0"/>
          <w:sz w:val="22"/>
          <w:szCs w:val="22"/>
          <w:lang w:eastAsia="en-GB"/>
          <w14:ligatures w14:val="none"/>
        </w:rPr>
        <w:t xml:space="preserve"> on stress — markets price the option even when it is not exercised, which compresses risk premia in normal times. </w:t>
      </w:r>
      <w:proofErr w:type="gramStart"/>
      <w:r w:rsidRPr="0032251D">
        <w:rPr>
          <w:rFonts w:ascii="Aptos" w:eastAsia="Times New Roman" w:hAnsi="Aptos" w:cs="Times New Roman"/>
          <w:kern w:val="0"/>
          <w:sz w:val="22"/>
          <w:szCs w:val="22"/>
          <w:lang w:eastAsia="en-GB"/>
          <w14:ligatures w14:val="none"/>
        </w:rPr>
        <w:t>This itself</w:t>
      </w:r>
      <w:proofErr w:type="gramEnd"/>
      <w:r w:rsidRPr="0032251D">
        <w:rPr>
          <w:rFonts w:ascii="Aptos" w:eastAsia="Times New Roman" w:hAnsi="Aptos" w:cs="Times New Roman"/>
          <w:kern w:val="0"/>
          <w:sz w:val="22"/>
          <w:szCs w:val="22"/>
          <w:lang w:eastAsia="en-GB"/>
          <w14:ligatures w14:val="none"/>
        </w:rPr>
        <w:t xml:space="preserve"> can encourage leverage and risk-taking, so the facility's existence shapes the pre-crisis environment as much as the crisis response. Second, swap line take-up by non-US central banks is a clean read on global dollar funding stress, often leading other stress indicators. Third, </w:t>
      </w:r>
      <w:r w:rsidRPr="0032251D">
        <w:rPr>
          <w:rFonts w:ascii="Aptos" w:eastAsia="Times New Roman" w:hAnsi="Aptos" w:cs="Times New Roman"/>
          <w:i/>
          <w:iCs/>
          <w:kern w:val="0"/>
          <w:sz w:val="22"/>
          <w:szCs w:val="22"/>
          <w:lang w:eastAsia="en-GB"/>
          <w14:ligatures w14:val="none"/>
        </w:rPr>
        <w:t>stigma effects</w:t>
      </w:r>
      <w:r w:rsidRPr="0032251D">
        <w:rPr>
          <w:rFonts w:ascii="Aptos" w:eastAsia="Times New Roman" w:hAnsi="Aptos" w:cs="Times New Roman"/>
          <w:kern w:val="0"/>
          <w:sz w:val="22"/>
          <w:szCs w:val="22"/>
          <w:lang w:eastAsia="en-GB"/>
          <w14:ligatures w14:val="none"/>
        </w:rPr>
        <w:t xml:space="preserve"> are real and predictable — voluntary facilities (discount window) are systematically under-used because borrowers fear reputational signal. The TAF design innovation (anonymous auctions) was specifically to overcome this; the empirical stigma premium ran 30-50bp through 2007-2008.</w:t>
      </w:r>
    </w:p>
    <w:p w14:paraId="2EBDCAB6" w14:textId="77777777" w:rsidR="009844C7" w:rsidRPr="0032251D" w:rsidRDefault="009844C7" w:rsidP="009844C7">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5F3DDEB7">
          <v:rect id="_x0000_i1028" alt="" style="width:451.3pt;height:.05pt;mso-width-percent:0;mso-height-percent:0;mso-width-percent:0;mso-height-percent:0" o:hralign="center" o:hrstd="t" o:hr="t" fillcolor="#a0a0a0" stroked="f"/>
        </w:pict>
      </w:r>
    </w:p>
    <w:p w14:paraId="4216876D" w14:textId="77777777" w:rsidR="009844C7" w:rsidRPr="0032251D" w:rsidRDefault="009844C7" w:rsidP="009844C7">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Regime and EM variation</w:t>
      </w:r>
    </w:p>
    <w:p w14:paraId="75563C3B" w14:textId="77777777" w:rsidR="009844C7" w:rsidRPr="0032251D" w:rsidRDefault="009844C7" w:rsidP="009844C7">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DM panel.</w:t>
      </w:r>
      <w:r w:rsidRPr="0032251D">
        <w:rPr>
          <w:rFonts w:ascii="Aptos" w:eastAsia="Times New Roman" w:hAnsi="Aptos" w:cs="Times New Roman"/>
          <w:kern w:val="0"/>
          <w:sz w:val="22"/>
          <w:szCs w:val="22"/>
          <w:lang w:eastAsia="en-GB"/>
          <w14:ligatures w14:val="none"/>
        </w:rPr>
        <w:t xml:space="preserve"> Full LOLR toolkits, repeatedly deployed.</w:t>
      </w:r>
    </w:p>
    <w:p w14:paraId="0851A942" w14:textId="77777777" w:rsidR="009844C7" w:rsidRPr="0032251D" w:rsidRDefault="009844C7" w:rsidP="009844C7">
      <w:pPr>
        <w:numPr>
          <w:ilvl w:val="0"/>
          <w:numId w:val="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Fed</w:t>
      </w:r>
      <w:r w:rsidRPr="0032251D">
        <w:rPr>
          <w:rFonts w:ascii="Aptos" w:eastAsia="Times New Roman" w:hAnsi="Aptos" w:cs="Times New Roman"/>
          <w:kern w:val="0"/>
          <w:sz w:val="22"/>
          <w:szCs w:val="22"/>
          <w:lang w:eastAsia="en-GB"/>
          <w14:ligatures w14:val="none"/>
        </w:rPr>
        <w:t>: standing facilities (discount window, SRF) plus crisis facilities created on demand (2008, 2020, 2023). The most comprehensive toolkit globally.</w:t>
      </w:r>
    </w:p>
    <w:p w14:paraId="3FD70C56" w14:textId="77777777" w:rsidR="009844C7" w:rsidRPr="0032251D" w:rsidRDefault="009844C7" w:rsidP="009844C7">
      <w:pPr>
        <w:numPr>
          <w:ilvl w:val="0"/>
          <w:numId w:val="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lastRenderedPageBreak/>
        <w:t>ECB</w:t>
      </w:r>
      <w:r w:rsidRPr="0032251D">
        <w:rPr>
          <w:rFonts w:ascii="Aptos" w:eastAsia="Times New Roman" w:hAnsi="Aptos" w:cs="Times New Roman"/>
          <w:kern w:val="0"/>
          <w:sz w:val="22"/>
          <w:szCs w:val="22"/>
          <w:lang w:eastAsia="en-GB"/>
          <w14:ligatures w14:val="none"/>
        </w:rPr>
        <w:t>: TLTRO has both LOLR and monetary policy dimensions; marginal lending facility; crisis facilities through OMT and PEPP.</w:t>
      </w:r>
    </w:p>
    <w:p w14:paraId="38012465" w14:textId="77777777" w:rsidR="009844C7" w:rsidRPr="0032251D" w:rsidRDefault="009844C7" w:rsidP="009844C7">
      <w:pPr>
        <w:numPr>
          <w:ilvl w:val="0"/>
          <w:numId w:val="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BoE</w:t>
      </w:r>
      <w:r w:rsidRPr="0032251D">
        <w:rPr>
          <w:rFonts w:ascii="Aptos" w:eastAsia="Times New Roman" w:hAnsi="Aptos" w:cs="Times New Roman"/>
          <w:kern w:val="0"/>
          <w:sz w:val="22"/>
          <w:szCs w:val="22"/>
          <w:lang w:eastAsia="en-GB"/>
          <w14:ligatures w14:val="none"/>
        </w:rPr>
        <w:t>: Sterling Monetary Framework with discount window, indexed long-term repo, and crisis facilities.</w:t>
      </w:r>
    </w:p>
    <w:p w14:paraId="1EDE18C6" w14:textId="77777777" w:rsidR="009844C7" w:rsidRPr="0032251D" w:rsidRDefault="009844C7" w:rsidP="009844C7">
      <w:pPr>
        <w:numPr>
          <w:ilvl w:val="0"/>
          <w:numId w:val="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BoJ</w:t>
      </w:r>
      <w:r w:rsidRPr="0032251D">
        <w:rPr>
          <w:rFonts w:ascii="Aptos" w:eastAsia="Times New Roman" w:hAnsi="Aptos" w:cs="Times New Roman"/>
          <w:kern w:val="0"/>
          <w:sz w:val="22"/>
          <w:szCs w:val="22"/>
          <w:lang w:eastAsia="en-GB"/>
          <w14:ligatures w14:val="none"/>
        </w:rPr>
        <w:t>: long history of facility innovation; complementary deposit facility.</w:t>
      </w:r>
    </w:p>
    <w:p w14:paraId="496934DA" w14:textId="77777777" w:rsidR="009844C7" w:rsidRPr="0032251D" w:rsidRDefault="009844C7" w:rsidP="009844C7">
      <w:pPr>
        <w:numPr>
          <w:ilvl w:val="0"/>
          <w:numId w:val="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SNB</w:t>
      </w:r>
      <w:r w:rsidRPr="0032251D">
        <w:rPr>
          <w:rFonts w:ascii="Aptos" w:eastAsia="Times New Roman" w:hAnsi="Aptos" w:cs="Times New Roman"/>
          <w:kern w:val="0"/>
          <w:sz w:val="22"/>
          <w:szCs w:val="22"/>
          <w:lang w:eastAsia="en-GB"/>
          <w14:ligatures w14:val="none"/>
        </w:rPr>
        <w:t>: actively used during 2008 (USD facility) and during the 2011-2015 EUR/CHF floor period.</w:t>
      </w:r>
    </w:p>
    <w:p w14:paraId="641D6FA0" w14:textId="77777777" w:rsidR="009844C7" w:rsidRPr="0032251D" w:rsidRDefault="009844C7" w:rsidP="009844C7">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EM panel.</w:t>
      </w:r>
      <w:r w:rsidRPr="0032251D">
        <w:rPr>
          <w:rFonts w:ascii="Aptos" w:eastAsia="Times New Roman" w:hAnsi="Aptos" w:cs="Times New Roman"/>
          <w:kern w:val="0"/>
          <w:sz w:val="22"/>
          <w:szCs w:val="22"/>
          <w:lang w:eastAsia="en-GB"/>
          <w14:ligatures w14:val="none"/>
        </w:rPr>
        <w:t xml:space="preserve"> Significantly more constrained LOLR architecture.</w:t>
      </w:r>
    </w:p>
    <w:p w14:paraId="5850448F" w14:textId="77777777" w:rsidR="009844C7" w:rsidRPr="0032251D" w:rsidRDefault="009844C7" w:rsidP="009844C7">
      <w:pPr>
        <w:numPr>
          <w:ilvl w:val="0"/>
          <w:numId w:val="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Limited domestic LOLR capacity</w:t>
      </w:r>
      <w:r w:rsidRPr="0032251D">
        <w:rPr>
          <w:rFonts w:ascii="Aptos" w:eastAsia="Times New Roman" w:hAnsi="Aptos" w:cs="Times New Roman"/>
          <w:kern w:val="0"/>
          <w:sz w:val="22"/>
          <w:szCs w:val="22"/>
          <w:lang w:eastAsia="en-GB"/>
          <w14:ligatures w14:val="none"/>
        </w:rPr>
        <w:t xml:space="preserve"> due to smaller balance sheets, capital concerns, and FX constraints.</w:t>
      </w:r>
    </w:p>
    <w:p w14:paraId="1A631052" w14:textId="77777777" w:rsidR="009844C7" w:rsidRPr="0032251D" w:rsidRDefault="009844C7" w:rsidP="009844C7">
      <w:pPr>
        <w:numPr>
          <w:ilvl w:val="0"/>
          <w:numId w:val="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Heavy reliance on external access</w:t>
      </w:r>
      <w:r w:rsidRPr="0032251D">
        <w:rPr>
          <w:rFonts w:ascii="Aptos" w:eastAsia="Times New Roman" w:hAnsi="Aptos" w:cs="Times New Roman"/>
          <w:kern w:val="0"/>
          <w:sz w:val="22"/>
          <w:szCs w:val="22"/>
          <w:lang w:eastAsia="en-GB"/>
          <w14:ligatures w14:val="none"/>
        </w:rPr>
        <w:t>: Fed swap lines (politically gated), FIMA repo facility (less gated), IMF arrangements (FCL, PLL) as international LOLR for sovereigns.</w:t>
      </w:r>
    </w:p>
    <w:p w14:paraId="6575E29E" w14:textId="77777777" w:rsidR="009844C7" w:rsidRPr="0032251D" w:rsidRDefault="009844C7" w:rsidP="009844C7">
      <w:pPr>
        <w:numPr>
          <w:ilvl w:val="0"/>
          <w:numId w:val="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Brazil and Mexico</w:t>
      </w:r>
      <w:r w:rsidRPr="0032251D">
        <w:rPr>
          <w:rFonts w:ascii="Aptos" w:eastAsia="Times New Roman" w:hAnsi="Aptos" w:cs="Times New Roman"/>
          <w:kern w:val="0"/>
          <w:sz w:val="22"/>
          <w:szCs w:val="22"/>
          <w:lang w:eastAsia="en-GB"/>
          <w14:ligatures w14:val="none"/>
        </w:rPr>
        <w:t>: among the small set of EMs to receive Fed swap lines in both 2008 and 2020.</w:t>
      </w:r>
    </w:p>
    <w:p w14:paraId="7683B684" w14:textId="77777777" w:rsidR="009844C7" w:rsidRPr="0032251D" w:rsidRDefault="009844C7" w:rsidP="009844C7">
      <w:pPr>
        <w:numPr>
          <w:ilvl w:val="0"/>
          <w:numId w:val="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Selective swap line access</w:t>
      </w:r>
      <w:r w:rsidRPr="0032251D">
        <w:rPr>
          <w:rFonts w:ascii="Aptos" w:eastAsia="Times New Roman" w:hAnsi="Aptos" w:cs="Times New Roman"/>
          <w:kern w:val="0"/>
          <w:sz w:val="22"/>
          <w:szCs w:val="22"/>
          <w:lang w:eastAsia="en-GB"/>
          <w14:ligatures w14:val="none"/>
        </w:rPr>
        <w:t xml:space="preserve"> is a structural risk factor — the political economy of who gets dollar access in a crisis tracks geopolitical alignment more than narrow technical criteria.</w:t>
      </w:r>
    </w:p>
    <w:p w14:paraId="35FDCE1B" w14:textId="77777777" w:rsidR="009844C7" w:rsidRPr="0032251D" w:rsidRDefault="009844C7" w:rsidP="009844C7">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SA specifically.</w:t>
      </w:r>
      <w:r w:rsidRPr="0032251D">
        <w:rPr>
          <w:rFonts w:ascii="Aptos" w:eastAsia="Times New Roman" w:hAnsi="Aptos" w:cs="Times New Roman"/>
          <w:kern w:val="0"/>
          <w:sz w:val="22"/>
          <w:szCs w:val="22"/>
          <w:lang w:eastAsia="en-GB"/>
          <w14:ligatures w14:val="none"/>
        </w:rPr>
        <w:t xml:space="preserve"> SARB has standing facilities for banks (the standing repo facility), but SA did </w:t>
      </w:r>
      <w:r w:rsidRPr="0032251D">
        <w:rPr>
          <w:rFonts w:ascii="Aptos" w:eastAsia="Times New Roman" w:hAnsi="Aptos" w:cs="Times New Roman"/>
          <w:i/>
          <w:iCs/>
          <w:kern w:val="0"/>
          <w:sz w:val="22"/>
          <w:szCs w:val="22"/>
          <w:lang w:eastAsia="en-GB"/>
          <w14:ligatures w14:val="none"/>
        </w:rPr>
        <w:t>not</w:t>
      </w:r>
      <w:r w:rsidRPr="0032251D">
        <w:rPr>
          <w:rFonts w:ascii="Aptos" w:eastAsia="Times New Roman" w:hAnsi="Aptos" w:cs="Times New Roman"/>
          <w:kern w:val="0"/>
          <w:sz w:val="22"/>
          <w:szCs w:val="22"/>
          <w:lang w:eastAsia="en-GB"/>
          <w14:ligatures w14:val="none"/>
        </w:rPr>
        <w:t xml:space="preserve"> receive a Fed swap line in either 2008 or 2020. Among Latin EMs only Brazil and Mexico received 2020 swap lines; among Asian EMs only Korea and Singapore. SA was not on the list. SARB's COVID-19 response included some domestic liquidity support but no major facility innovation. The exclusion from external dollar access is a real structural constraint — SA depends on FIMA repo or IMF facilities rather than swap lines, with different speed and political characteristics.</w:t>
      </w:r>
    </w:p>
    <w:p w14:paraId="64D8A7DD" w14:textId="77777777" w:rsidR="009844C7" w:rsidRPr="0032251D" w:rsidRDefault="009844C7" w:rsidP="009844C7">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For the framework: L3f is asymmetrically </w:t>
      </w:r>
      <w:r w:rsidRPr="0032251D">
        <w:rPr>
          <w:rFonts w:ascii="Aptos" w:eastAsia="Times New Roman" w:hAnsi="Aptos" w:cs="Times New Roman"/>
          <w:i/>
          <w:iCs/>
          <w:kern w:val="0"/>
          <w:sz w:val="22"/>
          <w:szCs w:val="22"/>
          <w:lang w:eastAsia="en-GB"/>
          <w14:ligatures w14:val="none"/>
        </w:rPr>
        <w:t>unavailable</w:t>
      </w:r>
      <w:r w:rsidRPr="0032251D">
        <w:rPr>
          <w:rFonts w:ascii="Aptos" w:eastAsia="Times New Roman" w:hAnsi="Aptos" w:cs="Times New Roman"/>
          <w:kern w:val="0"/>
          <w:sz w:val="22"/>
          <w:szCs w:val="22"/>
          <w:lang w:eastAsia="en-GB"/>
          <w14:ligatures w14:val="none"/>
        </w:rPr>
        <w:t xml:space="preserve"> in much of the EM panel, which is itself an important regime feature. The instrument is theoretically there but operationally constrained.</w:t>
      </w:r>
    </w:p>
    <w:p w14:paraId="66ACC31E" w14:textId="77777777" w:rsidR="009844C7" w:rsidRPr="0032251D" w:rsidRDefault="009844C7" w:rsidP="009844C7">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6395F1F0">
          <v:rect id="_x0000_i1029" alt="" style="width:451.3pt;height:.05pt;mso-width-percent:0;mso-height-percent:0;mso-width-percent:0;mso-height-percent:0" o:hralign="center" o:hrstd="t" o:hr="t" fillcolor="#a0a0a0" stroked="f"/>
        </w:pict>
      </w:r>
    </w:p>
    <w:p w14:paraId="0CC63D14" w14:textId="77777777" w:rsidR="009844C7" w:rsidRPr="0032251D" w:rsidRDefault="009844C7" w:rsidP="009844C7">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Empirical pitfalls</w:t>
      </w:r>
    </w:p>
    <w:p w14:paraId="2C21E050" w14:textId="77777777" w:rsidR="009844C7" w:rsidRPr="0032251D" w:rsidRDefault="009844C7" w:rsidP="009844C7">
      <w:pPr>
        <w:spacing w:before="100" w:beforeAutospacing="1" w:after="100" w:afterAutospacing="1" w:line="240" w:lineRule="auto"/>
        <w:rPr>
          <w:rFonts w:ascii="Aptos" w:eastAsia="Times New Roman" w:hAnsi="Aptos" w:cs="Times New Roman"/>
          <w:kern w:val="0"/>
          <w:sz w:val="22"/>
          <w:szCs w:val="22"/>
          <w:lang w:eastAsia="en-GB"/>
          <w14:ligatures w14:val="none"/>
        </w:rPr>
      </w:pPr>
      <w:proofErr w:type="spellStart"/>
      <w:r w:rsidRPr="0032251D">
        <w:rPr>
          <w:rFonts w:ascii="Aptos" w:eastAsia="Times New Roman" w:hAnsi="Aptos" w:cs="Times New Roman"/>
          <w:i/>
          <w:iCs/>
          <w:kern w:val="0"/>
          <w:sz w:val="22"/>
          <w:szCs w:val="22"/>
          <w:lang w:eastAsia="en-GB"/>
          <w14:ligatures w14:val="none"/>
        </w:rPr>
        <w:t>Utilisation</w:t>
      </w:r>
      <w:proofErr w:type="spellEnd"/>
      <w:r w:rsidRPr="0032251D">
        <w:rPr>
          <w:rFonts w:ascii="Aptos" w:eastAsia="Times New Roman" w:hAnsi="Aptos" w:cs="Times New Roman"/>
          <w:i/>
          <w:iCs/>
          <w:kern w:val="0"/>
          <w:sz w:val="22"/>
          <w:szCs w:val="22"/>
          <w:lang w:eastAsia="en-GB"/>
          <w14:ligatures w14:val="none"/>
        </w:rPr>
        <w:t xml:space="preserve"> vs availability.</w:t>
      </w:r>
      <w:r w:rsidRPr="0032251D">
        <w:rPr>
          <w:rFonts w:ascii="Aptos" w:eastAsia="Times New Roman" w:hAnsi="Aptos" w:cs="Times New Roman"/>
          <w:kern w:val="0"/>
          <w:sz w:val="22"/>
          <w:szCs w:val="22"/>
          <w:lang w:eastAsia="en-GB"/>
          <w14:ligatures w14:val="none"/>
        </w:rPr>
        <w:t xml:space="preserve"> Facilities can be effective without being used. The 2021 SRF has had minimal usage but plausibly compressed repo-spike risk. Estimating the effect of facility </w:t>
      </w:r>
      <w:r w:rsidRPr="0032251D">
        <w:rPr>
          <w:rFonts w:ascii="Aptos" w:eastAsia="Times New Roman" w:hAnsi="Aptos" w:cs="Times New Roman"/>
          <w:i/>
          <w:iCs/>
          <w:kern w:val="0"/>
          <w:sz w:val="22"/>
          <w:szCs w:val="22"/>
          <w:lang w:eastAsia="en-GB"/>
          <w14:ligatures w14:val="none"/>
        </w:rPr>
        <w:t>availability</w:t>
      </w:r>
      <w:r w:rsidRPr="0032251D">
        <w:rPr>
          <w:rFonts w:ascii="Aptos" w:eastAsia="Times New Roman" w:hAnsi="Aptos" w:cs="Times New Roman"/>
          <w:kern w:val="0"/>
          <w:sz w:val="22"/>
          <w:szCs w:val="22"/>
          <w:lang w:eastAsia="en-GB"/>
          <w14:ligatures w14:val="none"/>
        </w:rPr>
        <w:t xml:space="preserve"> (separate from </w:t>
      </w:r>
      <w:proofErr w:type="spellStart"/>
      <w:r w:rsidRPr="0032251D">
        <w:rPr>
          <w:rFonts w:ascii="Aptos" w:eastAsia="Times New Roman" w:hAnsi="Aptos" w:cs="Times New Roman"/>
          <w:kern w:val="0"/>
          <w:sz w:val="22"/>
          <w:szCs w:val="22"/>
          <w:lang w:eastAsia="en-GB"/>
          <w14:ligatures w14:val="none"/>
        </w:rPr>
        <w:t>utilisation</w:t>
      </w:r>
      <w:proofErr w:type="spellEnd"/>
      <w:r w:rsidRPr="0032251D">
        <w:rPr>
          <w:rFonts w:ascii="Aptos" w:eastAsia="Times New Roman" w:hAnsi="Aptos" w:cs="Times New Roman"/>
          <w:kern w:val="0"/>
          <w:sz w:val="22"/>
          <w:szCs w:val="22"/>
          <w:lang w:eastAsia="en-GB"/>
          <w14:ligatures w14:val="none"/>
        </w:rPr>
        <w:t>) requires identifying the counterfactual — what would have happened without the facility.</w:t>
      </w:r>
    </w:p>
    <w:p w14:paraId="2AA731CF" w14:textId="77777777" w:rsidR="009844C7" w:rsidRPr="0032251D" w:rsidRDefault="009844C7" w:rsidP="009844C7">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Stigma.</w:t>
      </w:r>
      <w:r w:rsidRPr="0032251D">
        <w:rPr>
          <w:rFonts w:ascii="Aptos" w:eastAsia="Times New Roman" w:hAnsi="Aptos" w:cs="Times New Roman"/>
          <w:kern w:val="0"/>
          <w:sz w:val="22"/>
          <w:szCs w:val="22"/>
          <w:lang w:eastAsia="en-GB"/>
          <w14:ligatures w14:val="none"/>
        </w:rPr>
        <w:t xml:space="preserve"> Voluntary facility access is </w:t>
      </w:r>
      <w:proofErr w:type="spellStart"/>
      <w:r w:rsidRPr="0032251D">
        <w:rPr>
          <w:rFonts w:ascii="Aptos" w:eastAsia="Times New Roman" w:hAnsi="Aptos" w:cs="Times New Roman"/>
          <w:kern w:val="0"/>
          <w:sz w:val="22"/>
          <w:szCs w:val="22"/>
          <w:lang w:eastAsia="en-GB"/>
          <w14:ligatures w14:val="none"/>
        </w:rPr>
        <w:t>stigmatised</w:t>
      </w:r>
      <w:proofErr w:type="spellEnd"/>
      <w:r w:rsidRPr="0032251D">
        <w:rPr>
          <w:rFonts w:ascii="Aptos" w:eastAsia="Times New Roman" w:hAnsi="Aptos" w:cs="Times New Roman"/>
          <w:kern w:val="0"/>
          <w:sz w:val="22"/>
          <w:szCs w:val="22"/>
          <w:lang w:eastAsia="en-GB"/>
          <w14:ligatures w14:val="none"/>
        </w:rPr>
        <w:t>; banks avoid it even when they need it. So observed usage systematically understates need. The TAF in 2007 was designed specifically to overcome this through anonymous auctions. Empirically, identified stigma costs ran 30-50bp during 2007-2008.</w:t>
      </w:r>
    </w:p>
    <w:p w14:paraId="6B2E9662" w14:textId="77777777" w:rsidR="009844C7" w:rsidRPr="0032251D" w:rsidRDefault="009844C7" w:rsidP="009844C7">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Multiple objectives.</w:t>
      </w:r>
      <w:r w:rsidRPr="0032251D">
        <w:rPr>
          <w:rFonts w:ascii="Aptos" w:eastAsia="Times New Roman" w:hAnsi="Aptos" w:cs="Times New Roman"/>
          <w:kern w:val="0"/>
          <w:sz w:val="22"/>
          <w:szCs w:val="22"/>
          <w:lang w:eastAsia="en-GB"/>
          <w14:ligatures w14:val="none"/>
        </w:rPr>
        <w:t xml:space="preserve"> Some facilities serve monetary policy (TLTRO has stance dimensions), market functioning (SRF), and emergency stability (BTFP) simultaneously. Decomposing the contribution of each objective requires structural modelling rather than reduced-form attribution.</w:t>
      </w:r>
    </w:p>
    <w:p w14:paraId="754C12AD" w14:textId="77777777" w:rsidR="009844C7" w:rsidRPr="0032251D" w:rsidRDefault="009844C7" w:rsidP="009844C7">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lastRenderedPageBreak/>
        <w:t>Identification of effects.</w:t>
      </w:r>
      <w:r w:rsidRPr="0032251D">
        <w:rPr>
          <w:rFonts w:ascii="Aptos" w:eastAsia="Times New Roman" w:hAnsi="Aptos" w:cs="Times New Roman"/>
          <w:kern w:val="0"/>
          <w:sz w:val="22"/>
          <w:szCs w:val="22"/>
          <w:lang w:eastAsia="en-GB"/>
          <w14:ligatures w14:val="none"/>
        </w:rPr>
        <w:t xml:space="preserve"> Facilities are deployed in response to stress. Was the </w:t>
      </w:r>
      <w:proofErr w:type="gramStart"/>
      <w:r w:rsidRPr="0032251D">
        <w:rPr>
          <w:rFonts w:ascii="Aptos" w:eastAsia="Times New Roman" w:hAnsi="Aptos" w:cs="Times New Roman"/>
          <w:kern w:val="0"/>
          <w:sz w:val="22"/>
          <w:szCs w:val="22"/>
          <w:lang w:eastAsia="en-GB"/>
          <w14:ligatures w14:val="none"/>
        </w:rPr>
        <w:t>stress moderation</w:t>
      </w:r>
      <w:proofErr w:type="gramEnd"/>
      <w:r w:rsidRPr="0032251D">
        <w:rPr>
          <w:rFonts w:ascii="Aptos" w:eastAsia="Times New Roman" w:hAnsi="Aptos" w:cs="Times New Roman"/>
          <w:kern w:val="0"/>
          <w:sz w:val="22"/>
          <w:szCs w:val="22"/>
          <w:lang w:eastAsia="en-GB"/>
          <w14:ligatures w14:val="none"/>
        </w:rPr>
        <w:t xml:space="preserve"> caused by the facility, or would it have happened anyway? Standard counterfactual </w:t>
      </w:r>
      <w:proofErr w:type="gramStart"/>
      <w:r w:rsidRPr="0032251D">
        <w:rPr>
          <w:rFonts w:ascii="Aptos" w:eastAsia="Times New Roman" w:hAnsi="Aptos" w:cs="Times New Roman"/>
          <w:kern w:val="0"/>
          <w:sz w:val="22"/>
          <w:szCs w:val="22"/>
          <w:lang w:eastAsia="en-GB"/>
          <w14:ligatures w14:val="none"/>
        </w:rPr>
        <w:t>problem</w:t>
      </w:r>
      <w:proofErr w:type="gramEnd"/>
      <w:r w:rsidRPr="0032251D">
        <w:rPr>
          <w:rFonts w:ascii="Aptos" w:eastAsia="Times New Roman" w:hAnsi="Aptos" w:cs="Times New Roman"/>
          <w:kern w:val="0"/>
          <w:sz w:val="22"/>
          <w:szCs w:val="22"/>
          <w:lang w:eastAsia="en-GB"/>
          <w14:ligatures w14:val="none"/>
        </w:rPr>
        <w:t>; event studies around announcement are the cleanest empirical approach.</w:t>
      </w:r>
    </w:p>
    <w:p w14:paraId="02757867" w14:textId="77777777" w:rsidR="009844C7" w:rsidRPr="0032251D" w:rsidRDefault="009844C7" w:rsidP="009844C7">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Cross-border reporting.</w:t>
      </w:r>
      <w:r w:rsidRPr="0032251D">
        <w:rPr>
          <w:rFonts w:ascii="Aptos" w:eastAsia="Times New Roman" w:hAnsi="Aptos" w:cs="Times New Roman"/>
          <w:kern w:val="0"/>
          <w:sz w:val="22"/>
          <w:szCs w:val="22"/>
          <w:lang w:eastAsia="en-GB"/>
          <w14:ligatures w14:val="none"/>
        </w:rPr>
        <w:t xml:space="preserve"> FX swap line usage by non-US central banks is reported with lags and limited detail. True dollar funding stress is partially observed in real time.</w:t>
      </w:r>
    </w:p>
    <w:p w14:paraId="6F98BD24" w14:textId="77777777" w:rsidR="009844C7" w:rsidRPr="0032251D" w:rsidRDefault="009844C7" w:rsidP="009844C7">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Off-balance-sheet aspects.</w:t>
      </w:r>
      <w:r w:rsidRPr="0032251D">
        <w:rPr>
          <w:rFonts w:ascii="Aptos" w:eastAsia="Times New Roman" w:hAnsi="Aptos" w:cs="Times New Roman"/>
          <w:kern w:val="0"/>
          <w:sz w:val="22"/>
          <w:szCs w:val="22"/>
          <w:lang w:eastAsia="en-GB"/>
          <w14:ligatures w14:val="none"/>
        </w:rPr>
        <w:t xml:space="preserve"> Some facilities (BTFP) accept collateral at par rather than market value, creating implicit subsidies that do not appear in headline cost-of-funds calculations. Effective subsidy measurement requires comparing facility terms to market-equivalent funding.</w:t>
      </w:r>
    </w:p>
    <w:p w14:paraId="519CF0FC" w14:textId="77777777" w:rsidR="009844C7" w:rsidRPr="0032251D" w:rsidRDefault="009844C7" w:rsidP="009844C7">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0A6F6DC4">
          <v:rect id="_x0000_i1030" alt="" style="width:451.3pt;height:.05pt;mso-width-percent:0;mso-height-percent:0;mso-width-percent:0;mso-height-percent:0" o:hralign="center" o:hrstd="t" o:hr="t" fillcolor="#a0a0a0" stroked="f"/>
        </w:pict>
      </w:r>
    </w:p>
    <w:p w14:paraId="0CD5DB7A" w14:textId="77777777" w:rsidR="009844C7" w:rsidRPr="0032251D" w:rsidRDefault="009844C7" w:rsidP="009844C7">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Where dissonance lives</w:t>
      </w:r>
    </w:p>
    <w:p w14:paraId="03518854" w14:textId="77777777" w:rsidR="009844C7" w:rsidRPr="0032251D" w:rsidRDefault="009844C7" w:rsidP="009844C7">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Within L3f:</w:t>
      </w:r>
    </w:p>
    <w:p w14:paraId="69E7AA0C" w14:textId="77777777" w:rsidR="009844C7" w:rsidRPr="0032251D" w:rsidRDefault="009844C7" w:rsidP="009844C7">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Intra-node.</w:t>
      </w:r>
      <w:r w:rsidRPr="0032251D">
        <w:rPr>
          <w:rFonts w:ascii="Aptos" w:eastAsia="Times New Roman" w:hAnsi="Aptos" w:cs="Times New Roman"/>
          <w:kern w:val="0"/>
          <w:sz w:val="22"/>
          <w:szCs w:val="22"/>
          <w:lang w:eastAsia="en-GB"/>
          <w14:ligatures w14:val="none"/>
        </w:rPr>
        <w:t xml:space="preserve"> Standing facilities, crisis facilities, and FX swap lines should be consistent in their signal about market stress. Dissonance fires when:</w:t>
      </w:r>
    </w:p>
    <w:p w14:paraId="77737CA7" w14:textId="77777777" w:rsidR="009844C7" w:rsidRPr="0032251D" w:rsidRDefault="009844C7" w:rsidP="009844C7">
      <w:pPr>
        <w:numPr>
          <w:ilvl w:val="0"/>
          <w:numId w:val="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One facility is being </w:t>
      </w:r>
      <w:proofErr w:type="spellStart"/>
      <w:r w:rsidRPr="0032251D">
        <w:rPr>
          <w:rFonts w:ascii="Aptos" w:eastAsia="Times New Roman" w:hAnsi="Aptos" w:cs="Times New Roman"/>
          <w:kern w:val="0"/>
          <w:sz w:val="22"/>
          <w:szCs w:val="22"/>
          <w:lang w:eastAsia="en-GB"/>
          <w14:ligatures w14:val="none"/>
        </w:rPr>
        <w:t>normalised</w:t>
      </w:r>
      <w:proofErr w:type="spellEnd"/>
      <w:r w:rsidRPr="0032251D">
        <w:rPr>
          <w:rFonts w:ascii="Aptos" w:eastAsia="Times New Roman" w:hAnsi="Aptos" w:cs="Times New Roman"/>
          <w:kern w:val="0"/>
          <w:sz w:val="22"/>
          <w:szCs w:val="22"/>
          <w:lang w:eastAsia="en-GB"/>
          <w14:ligatures w14:val="none"/>
        </w:rPr>
        <w:t xml:space="preserve"> while another is expanded</w:t>
      </w:r>
    </w:p>
    <w:p w14:paraId="248211E6" w14:textId="77777777" w:rsidR="009844C7" w:rsidRPr="0032251D" w:rsidRDefault="009844C7" w:rsidP="009844C7">
      <w:pPr>
        <w:numPr>
          <w:ilvl w:val="0"/>
          <w:numId w:val="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Take-up patterns differ across facilities (banks using BTFP but not discount window, suggesting stigma still binds the latter)</w:t>
      </w:r>
    </w:p>
    <w:p w14:paraId="2CF56884" w14:textId="77777777" w:rsidR="009844C7" w:rsidRPr="0032251D" w:rsidRDefault="009844C7" w:rsidP="009844C7">
      <w:pPr>
        <w:numPr>
          <w:ilvl w:val="0"/>
          <w:numId w:val="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Standing facilities are calm but crisis facilities are quietly being prepared (bank's stress assessment differs from public posture)</w:t>
      </w:r>
    </w:p>
    <w:p w14:paraId="5DB76020" w14:textId="77777777" w:rsidR="009844C7" w:rsidRPr="0032251D" w:rsidRDefault="009844C7" w:rsidP="009844C7">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upward, L1 → L3f.</w:t>
      </w:r>
      <w:r w:rsidRPr="0032251D">
        <w:rPr>
          <w:rFonts w:ascii="Aptos" w:eastAsia="Times New Roman" w:hAnsi="Aptos" w:cs="Times New Roman"/>
          <w:kern w:val="0"/>
          <w:sz w:val="22"/>
          <w:szCs w:val="22"/>
          <w:lang w:eastAsia="en-GB"/>
          <w14:ligatures w14:val="none"/>
        </w:rPr>
        <w:t xml:space="preserve"> Liquidity facilities should activate in funding stress regardless of monetary stance. Dissonance fires when the rule implies normal conditions but facility usage signals stress, or when facilities remain dormant during clear funding pressure.</w:t>
      </w:r>
    </w:p>
    <w:p w14:paraId="5EEF9319" w14:textId="77777777" w:rsidR="009844C7" w:rsidRPr="0032251D" w:rsidRDefault="009844C7" w:rsidP="009844C7">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upward, L2 → L3f.</w:t>
      </w:r>
      <w:r w:rsidRPr="0032251D">
        <w:rPr>
          <w:rFonts w:ascii="Aptos" w:eastAsia="Times New Roman" w:hAnsi="Aptos" w:cs="Times New Roman"/>
          <w:kern w:val="0"/>
          <w:sz w:val="22"/>
          <w:szCs w:val="22"/>
          <w:lang w:eastAsia="en-GB"/>
          <w14:ligatures w14:val="none"/>
        </w:rPr>
        <w:t xml:space="preserve"> Facilities provide constraint relief in stress. Dissonance fires when funding stress emerges (constraints binding for banks) but facilities are not </w:t>
      </w:r>
      <w:proofErr w:type="gramStart"/>
      <w:r w:rsidRPr="0032251D">
        <w:rPr>
          <w:rFonts w:ascii="Aptos" w:eastAsia="Times New Roman" w:hAnsi="Aptos" w:cs="Times New Roman"/>
          <w:kern w:val="0"/>
          <w:sz w:val="22"/>
          <w:szCs w:val="22"/>
          <w:lang w:eastAsia="en-GB"/>
          <w14:ligatures w14:val="none"/>
        </w:rPr>
        <w:t>extended, or</w:t>
      </w:r>
      <w:proofErr w:type="gramEnd"/>
      <w:r w:rsidRPr="0032251D">
        <w:rPr>
          <w:rFonts w:ascii="Aptos" w:eastAsia="Times New Roman" w:hAnsi="Aptos" w:cs="Times New Roman"/>
          <w:kern w:val="0"/>
          <w:sz w:val="22"/>
          <w:szCs w:val="22"/>
          <w:lang w:eastAsia="en-GB"/>
          <w14:ligatures w14:val="none"/>
        </w:rPr>
        <w:t xml:space="preserve"> extended without clear stress justification.</w:t>
      </w:r>
    </w:p>
    <w:p w14:paraId="27EB205E" w14:textId="77777777" w:rsidR="009844C7" w:rsidRPr="0032251D" w:rsidRDefault="009844C7" w:rsidP="009844C7">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peer, L3a ↔ L3f.</w:t>
      </w:r>
      <w:r w:rsidRPr="0032251D">
        <w:rPr>
          <w:rFonts w:ascii="Aptos" w:eastAsia="Times New Roman" w:hAnsi="Aptos" w:cs="Times New Roman"/>
          <w:kern w:val="0"/>
          <w:sz w:val="22"/>
          <w:szCs w:val="22"/>
          <w:lang w:eastAsia="en-GB"/>
          <w14:ligatures w14:val="none"/>
        </w:rPr>
        <w:t xml:space="preserve"> Normal times — rate active, facilities dormant. Stress times — </w:t>
      </w:r>
      <w:proofErr w:type="gramStart"/>
      <w:r w:rsidRPr="0032251D">
        <w:rPr>
          <w:rFonts w:ascii="Aptos" w:eastAsia="Times New Roman" w:hAnsi="Aptos" w:cs="Times New Roman"/>
          <w:kern w:val="0"/>
          <w:sz w:val="22"/>
          <w:szCs w:val="22"/>
          <w:lang w:eastAsia="en-GB"/>
          <w14:ligatures w14:val="none"/>
        </w:rPr>
        <w:t>both active</w:t>
      </w:r>
      <w:proofErr w:type="gramEnd"/>
      <w:r w:rsidRPr="0032251D">
        <w:rPr>
          <w:rFonts w:ascii="Aptos" w:eastAsia="Times New Roman" w:hAnsi="Aptos" w:cs="Times New Roman"/>
          <w:kern w:val="0"/>
          <w:sz w:val="22"/>
          <w:szCs w:val="22"/>
          <w:lang w:eastAsia="en-GB"/>
          <w14:ligatures w14:val="none"/>
        </w:rPr>
        <w:t xml:space="preserve"> in compatible directions. Dissonance: rate hikes while facilities are being extended for funding stress — the 2023 Fed pattern, where the BTFP was supporting bank funding while the policy rate continued to rise.</w:t>
      </w:r>
    </w:p>
    <w:p w14:paraId="02457A6A" w14:textId="77777777" w:rsidR="009844C7" w:rsidRPr="0032251D" w:rsidRDefault="009844C7" w:rsidP="009844C7">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peer, L3b ↔ L3f.</w:t>
      </w:r>
      <w:r w:rsidRPr="0032251D">
        <w:rPr>
          <w:rFonts w:ascii="Aptos" w:eastAsia="Times New Roman" w:hAnsi="Aptos" w:cs="Times New Roman"/>
          <w:kern w:val="0"/>
          <w:sz w:val="22"/>
          <w:szCs w:val="22"/>
          <w:lang w:eastAsia="en-GB"/>
          <w14:ligatures w14:val="none"/>
        </w:rPr>
        <w:t xml:space="preserve"> Both expand the central bank balance sheet but for different purposes (monetary vs market functioning). Dissonance: facility usage large enough to materially affect monetary stance, blurring the labelling.</w:t>
      </w:r>
    </w:p>
    <w:p w14:paraId="3E75D3D4" w14:textId="77777777" w:rsidR="009844C7" w:rsidRPr="0032251D" w:rsidRDefault="009844C7" w:rsidP="009844C7">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downward, L3f → L4b (FX).</w:t>
      </w:r>
      <w:r w:rsidRPr="0032251D">
        <w:rPr>
          <w:rFonts w:ascii="Aptos" w:eastAsia="Times New Roman" w:hAnsi="Aptos" w:cs="Times New Roman"/>
          <w:kern w:val="0"/>
          <w:sz w:val="22"/>
          <w:szCs w:val="22"/>
          <w:lang w:eastAsia="en-GB"/>
          <w14:ligatures w14:val="none"/>
        </w:rPr>
        <w:t xml:space="preserve"> FX swap lines </w:t>
      </w:r>
      <w:proofErr w:type="gramStart"/>
      <w:r w:rsidRPr="0032251D">
        <w:rPr>
          <w:rFonts w:ascii="Aptos" w:eastAsia="Times New Roman" w:hAnsi="Aptos" w:cs="Times New Roman"/>
          <w:kern w:val="0"/>
          <w:sz w:val="22"/>
          <w:szCs w:val="22"/>
          <w:lang w:eastAsia="en-GB"/>
          <w14:ligatures w14:val="none"/>
        </w:rPr>
        <w:t>compress</w:t>
      </w:r>
      <w:proofErr w:type="gramEnd"/>
      <w:r w:rsidRPr="0032251D">
        <w:rPr>
          <w:rFonts w:ascii="Aptos" w:eastAsia="Times New Roman" w:hAnsi="Aptos" w:cs="Times New Roman"/>
          <w:kern w:val="0"/>
          <w:sz w:val="22"/>
          <w:szCs w:val="22"/>
          <w:lang w:eastAsia="en-GB"/>
          <w14:ligatures w14:val="none"/>
        </w:rPr>
        <w:t xml:space="preserve"> cross-currency basis. Dissonance fires when dollar funding stress persists despite swap line availability — facility cap binding, take-up constrained by counterparty issues, or structural exclusion from facility access.</w:t>
      </w:r>
    </w:p>
    <w:p w14:paraId="494C4302" w14:textId="77777777" w:rsidR="009844C7" w:rsidRPr="0032251D" w:rsidRDefault="009844C7" w:rsidP="009844C7">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lastRenderedPageBreak/>
        <w:t>Vertical downward, L3f → L5a (banks).</w:t>
      </w:r>
      <w:r w:rsidRPr="0032251D">
        <w:rPr>
          <w:rFonts w:ascii="Aptos" w:eastAsia="Times New Roman" w:hAnsi="Aptos" w:cs="Times New Roman"/>
          <w:kern w:val="0"/>
          <w:sz w:val="22"/>
          <w:szCs w:val="22"/>
          <w:lang w:eastAsia="en-GB"/>
          <w14:ligatures w14:val="none"/>
        </w:rPr>
        <w:t xml:space="preserve"> Discount </w:t>
      </w:r>
      <w:proofErr w:type="gramStart"/>
      <w:r w:rsidRPr="0032251D">
        <w:rPr>
          <w:rFonts w:ascii="Aptos" w:eastAsia="Times New Roman" w:hAnsi="Aptos" w:cs="Times New Roman"/>
          <w:kern w:val="0"/>
          <w:sz w:val="22"/>
          <w:szCs w:val="22"/>
          <w:lang w:eastAsia="en-GB"/>
          <w14:ligatures w14:val="none"/>
        </w:rPr>
        <w:t>window is</w:t>
      </w:r>
      <w:proofErr w:type="gramEnd"/>
      <w:r w:rsidRPr="0032251D">
        <w:rPr>
          <w:rFonts w:ascii="Aptos" w:eastAsia="Times New Roman" w:hAnsi="Aptos" w:cs="Times New Roman"/>
          <w:kern w:val="0"/>
          <w:sz w:val="22"/>
          <w:szCs w:val="22"/>
          <w:lang w:eastAsia="en-GB"/>
          <w14:ligatures w14:val="none"/>
        </w:rPr>
        <w:t xml:space="preserve"> the primary stress relief channel for banks. Dissonance fires when bank stress signals are </w:t>
      </w:r>
      <w:proofErr w:type="gramStart"/>
      <w:r w:rsidRPr="0032251D">
        <w:rPr>
          <w:rFonts w:ascii="Aptos" w:eastAsia="Times New Roman" w:hAnsi="Aptos" w:cs="Times New Roman"/>
          <w:kern w:val="0"/>
          <w:sz w:val="22"/>
          <w:szCs w:val="22"/>
          <w:lang w:eastAsia="en-GB"/>
          <w14:ligatures w14:val="none"/>
        </w:rPr>
        <w:t>high</w:t>
      </w:r>
      <w:proofErr w:type="gramEnd"/>
      <w:r w:rsidRPr="0032251D">
        <w:rPr>
          <w:rFonts w:ascii="Aptos" w:eastAsia="Times New Roman" w:hAnsi="Aptos" w:cs="Times New Roman"/>
          <w:kern w:val="0"/>
          <w:sz w:val="22"/>
          <w:szCs w:val="22"/>
          <w:lang w:eastAsia="en-GB"/>
          <w14:ligatures w14:val="none"/>
        </w:rPr>
        <w:t xml:space="preserve"> but discount window remains underused — stigma effect dominating.</w:t>
      </w:r>
    </w:p>
    <w:p w14:paraId="0DB39027" w14:textId="77777777" w:rsidR="009844C7" w:rsidRPr="0032251D" w:rsidRDefault="009844C7" w:rsidP="009844C7">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downward, L3f → L5b (NBFI).</w:t>
      </w:r>
      <w:r w:rsidRPr="0032251D">
        <w:rPr>
          <w:rFonts w:ascii="Aptos" w:eastAsia="Times New Roman" w:hAnsi="Aptos" w:cs="Times New Roman"/>
          <w:kern w:val="0"/>
          <w:sz w:val="22"/>
          <w:szCs w:val="22"/>
          <w:lang w:eastAsia="en-GB"/>
          <w14:ligatures w14:val="none"/>
        </w:rPr>
        <w:t xml:space="preserve"> Most facilities exclude NBFIs except specific crisis tools. Dissonance fires when NBFI stress emerges without facility access — structural coverage </w:t>
      </w:r>
      <w:proofErr w:type="gramStart"/>
      <w:r w:rsidRPr="0032251D">
        <w:rPr>
          <w:rFonts w:ascii="Aptos" w:eastAsia="Times New Roman" w:hAnsi="Aptos" w:cs="Times New Roman"/>
          <w:kern w:val="0"/>
          <w:sz w:val="22"/>
          <w:szCs w:val="22"/>
          <w:lang w:eastAsia="en-GB"/>
          <w14:ligatures w14:val="none"/>
        </w:rPr>
        <w:t>gap</w:t>
      </w:r>
      <w:proofErr w:type="gramEnd"/>
      <w:r w:rsidRPr="0032251D">
        <w:rPr>
          <w:rFonts w:ascii="Aptos" w:eastAsia="Times New Roman" w:hAnsi="Aptos" w:cs="Times New Roman"/>
          <w:kern w:val="0"/>
          <w:sz w:val="22"/>
          <w:szCs w:val="22"/>
          <w:lang w:eastAsia="en-GB"/>
          <w14:ligatures w14:val="none"/>
        </w:rPr>
        <w:t>. The post-2008 risk migration combined with limited NBFI facility access is the most important standing macroprudential weakness.</w:t>
      </w:r>
    </w:p>
    <w:p w14:paraId="3CADD546" w14:textId="77777777" w:rsidR="009844C7" w:rsidRPr="0032251D" w:rsidRDefault="009844C7" w:rsidP="009844C7">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downward, L3f → L10b (financial stability).</w:t>
      </w:r>
      <w:r w:rsidRPr="0032251D">
        <w:rPr>
          <w:rFonts w:ascii="Aptos" w:eastAsia="Times New Roman" w:hAnsi="Aptos" w:cs="Times New Roman"/>
          <w:kern w:val="0"/>
          <w:sz w:val="22"/>
          <w:szCs w:val="22"/>
          <w:lang w:eastAsia="en-GB"/>
          <w14:ligatures w14:val="none"/>
        </w:rPr>
        <w:t xml:space="preserve"> Direct mapping — facilities target stability outcomes in stress. Dissonance fires when facilities are </w:t>
      </w:r>
      <w:proofErr w:type="gramStart"/>
      <w:r w:rsidRPr="0032251D">
        <w:rPr>
          <w:rFonts w:ascii="Aptos" w:eastAsia="Times New Roman" w:hAnsi="Aptos" w:cs="Times New Roman"/>
          <w:kern w:val="0"/>
          <w:sz w:val="22"/>
          <w:szCs w:val="22"/>
          <w:lang w:eastAsia="en-GB"/>
          <w14:ligatures w14:val="none"/>
        </w:rPr>
        <w:t>active</w:t>
      </w:r>
      <w:proofErr w:type="gramEnd"/>
      <w:r w:rsidRPr="0032251D">
        <w:rPr>
          <w:rFonts w:ascii="Aptos" w:eastAsia="Times New Roman" w:hAnsi="Aptos" w:cs="Times New Roman"/>
          <w:kern w:val="0"/>
          <w:sz w:val="22"/>
          <w:szCs w:val="22"/>
          <w:lang w:eastAsia="en-GB"/>
          <w14:ligatures w14:val="none"/>
        </w:rPr>
        <w:t xml:space="preserve"> but stability indicators continue to worsen (crisis severity exceeds tool capacity), or when facilities are absent during clear instability buildup.</w:t>
      </w:r>
    </w:p>
    <w:p w14:paraId="73DBC59A" w14:textId="77777777" w:rsidR="009844C7" w:rsidRPr="00B84586" w:rsidRDefault="009844C7" w:rsidP="009844C7">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The L3f node is the central bank's </w:t>
      </w:r>
      <w:r w:rsidRPr="0032251D">
        <w:rPr>
          <w:rFonts w:ascii="Aptos" w:eastAsia="Times New Roman" w:hAnsi="Aptos" w:cs="Times New Roman"/>
          <w:i/>
          <w:iCs/>
          <w:kern w:val="0"/>
          <w:sz w:val="22"/>
          <w:szCs w:val="22"/>
          <w:lang w:eastAsia="en-GB"/>
          <w14:ligatures w14:val="none"/>
        </w:rPr>
        <w:t>contingent liquidity provision instrument</w:t>
      </w:r>
      <w:r w:rsidRPr="0032251D">
        <w:rPr>
          <w:rFonts w:ascii="Aptos" w:eastAsia="Times New Roman" w:hAnsi="Aptos" w:cs="Times New Roman"/>
          <w:kern w:val="0"/>
          <w:sz w:val="22"/>
          <w:szCs w:val="22"/>
          <w:lang w:eastAsia="en-GB"/>
          <w14:ligatures w14:val="none"/>
        </w:rPr>
        <w:t xml:space="preserve">. Unlike the rate (price of unconstrained money), the balance sheet (monetary stance), FX intervention (currency price), or macroprudential policy (structural risk), it operates on the </w:t>
      </w:r>
      <w:r w:rsidRPr="0032251D">
        <w:rPr>
          <w:rFonts w:ascii="Aptos" w:eastAsia="Times New Roman" w:hAnsi="Aptos" w:cs="Times New Roman"/>
          <w:i/>
          <w:iCs/>
          <w:kern w:val="0"/>
          <w:sz w:val="22"/>
          <w:szCs w:val="22"/>
          <w:lang w:eastAsia="en-GB"/>
          <w14:ligatures w14:val="none"/>
        </w:rPr>
        <w:t>availability</w:t>
      </w:r>
      <w:r w:rsidRPr="0032251D">
        <w:rPr>
          <w:rFonts w:ascii="Aptos" w:eastAsia="Times New Roman" w:hAnsi="Aptos" w:cs="Times New Roman"/>
          <w:kern w:val="0"/>
          <w:sz w:val="22"/>
          <w:szCs w:val="22"/>
          <w:lang w:eastAsia="en-GB"/>
          <w14:ligatures w14:val="none"/>
        </w:rPr>
        <w:t xml:space="preserve"> of funding in stress. Its dormancy in normal times makes it operationally distinct from the other L3 instruments — most of its information content lies in </w:t>
      </w:r>
      <w:r w:rsidRPr="0032251D">
        <w:rPr>
          <w:rFonts w:ascii="Aptos" w:eastAsia="Times New Roman" w:hAnsi="Aptos" w:cs="Times New Roman"/>
          <w:i/>
          <w:iCs/>
          <w:kern w:val="0"/>
          <w:sz w:val="22"/>
          <w:szCs w:val="22"/>
          <w:lang w:eastAsia="en-GB"/>
          <w14:ligatures w14:val="none"/>
        </w:rPr>
        <w:t>whether and when</w:t>
      </w:r>
      <w:r w:rsidRPr="0032251D">
        <w:rPr>
          <w:rFonts w:ascii="Aptos" w:eastAsia="Times New Roman" w:hAnsi="Aptos" w:cs="Times New Roman"/>
          <w:kern w:val="0"/>
          <w:sz w:val="22"/>
          <w:szCs w:val="22"/>
          <w:lang w:eastAsia="en-GB"/>
          <w14:ligatures w14:val="none"/>
        </w:rPr>
        <w:t xml:space="preserve"> it is activated, not in its routine setting. Dissonance at L3f means either funding stress that facilities are not addressing, or facility deployment without underlying stress justification — both signals that the bank's reading of market conditions differs from market reality.</w:t>
      </w:r>
    </w:p>
    <w:p w14:paraId="57D583FE" w14:textId="77777777" w:rsidR="009844C7" w:rsidRPr="009844C7" w:rsidRDefault="009844C7" w:rsidP="009844C7">
      <w:pPr>
        <w:rPr>
          <w:sz w:val="22"/>
          <w:szCs w:val="22"/>
        </w:rPr>
      </w:pPr>
    </w:p>
    <w:sectPr w:rsidR="009844C7" w:rsidRPr="009844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231D7"/>
    <w:multiLevelType w:val="multilevel"/>
    <w:tmpl w:val="8C60A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545650"/>
    <w:multiLevelType w:val="multilevel"/>
    <w:tmpl w:val="EE5E4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670CB2"/>
    <w:multiLevelType w:val="multilevel"/>
    <w:tmpl w:val="6B868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875F2E"/>
    <w:multiLevelType w:val="multilevel"/>
    <w:tmpl w:val="4B383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433F23"/>
    <w:multiLevelType w:val="multilevel"/>
    <w:tmpl w:val="B9F23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995631"/>
    <w:multiLevelType w:val="multilevel"/>
    <w:tmpl w:val="DBCA6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5317078">
    <w:abstractNumId w:val="2"/>
  </w:num>
  <w:num w:numId="2" w16cid:durableId="497843834">
    <w:abstractNumId w:val="1"/>
  </w:num>
  <w:num w:numId="3" w16cid:durableId="43674844">
    <w:abstractNumId w:val="3"/>
  </w:num>
  <w:num w:numId="4" w16cid:durableId="458842272">
    <w:abstractNumId w:val="4"/>
  </w:num>
  <w:num w:numId="5" w16cid:durableId="399913516">
    <w:abstractNumId w:val="0"/>
  </w:num>
  <w:num w:numId="6" w16cid:durableId="10806412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971"/>
    <w:rsid w:val="00236FC6"/>
    <w:rsid w:val="003B1C21"/>
    <w:rsid w:val="004B4A76"/>
    <w:rsid w:val="009844C7"/>
    <w:rsid w:val="00AB0971"/>
    <w:rsid w:val="00D80E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D48D0"/>
  <w15:chartTrackingRefBased/>
  <w15:docId w15:val="{3E3D8C1F-33AF-41B6-AFC2-1205E06D0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09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09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09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09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09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09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09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09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09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09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09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09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09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09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09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09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09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0971"/>
    <w:rPr>
      <w:rFonts w:eastAsiaTheme="majorEastAsia" w:cstheme="majorBidi"/>
      <w:color w:val="272727" w:themeColor="text1" w:themeTint="D8"/>
    </w:rPr>
  </w:style>
  <w:style w:type="paragraph" w:styleId="Title">
    <w:name w:val="Title"/>
    <w:basedOn w:val="Normal"/>
    <w:next w:val="Normal"/>
    <w:link w:val="TitleChar"/>
    <w:uiPriority w:val="10"/>
    <w:qFormat/>
    <w:rsid w:val="00AB09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09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09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09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0971"/>
    <w:pPr>
      <w:spacing w:before="160"/>
      <w:jc w:val="center"/>
    </w:pPr>
    <w:rPr>
      <w:i/>
      <w:iCs/>
      <w:color w:val="404040" w:themeColor="text1" w:themeTint="BF"/>
    </w:rPr>
  </w:style>
  <w:style w:type="character" w:customStyle="1" w:styleId="QuoteChar">
    <w:name w:val="Quote Char"/>
    <w:basedOn w:val="DefaultParagraphFont"/>
    <w:link w:val="Quote"/>
    <w:uiPriority w:val="29"/>
    <w:rsid w:val="00AB0971"/>
    <w:rPr>
      <w:i/>
      <w:iCs/>
      <w:color w:val="404040" w:themeColor="text1" w:themeTint="BF"/>
    </w:rPr>
  </w:style>
  <w:style w:type="paragraph" w:styleId="ListParagraph">
    <w:name w:val="List Paragraph"/>
    <w:basedOn w:val="Normal"/>
    <w:uiPriority w:val="34"/>
    <w:qFormat/>
    <w:rsid w:val="00AB0971"/>
    <w:pPr>
      <w:ind w:left="720"/>
      <w:contextualSpacing/>
    </w:pPr>
  </w:style>
  <w:style w:type="character" w:styleId="IntenseEmphasis">
    <w:name w:val="Intense Emphasis"/>
    <w:basedOn w:val="DefaultParagraphFont"/>
    <w:uiPriority w:val="21"/>
    <w:qFormat/>
    <w:rsid w:val="00AB0971"/>
    <w:rPr>
      <w:i/>
      <w:iCs/>
      <w:color w:val="0F4761" w:themeColor="accent1" w:themeShade="BF"/>
    </w:rPr>
  </w:style>
  <w:style w:type="paragraph" w:styleId="IntenseQuote">
    <w:name w:val="Intense Quote"/>
    <w:basedOn w:val="Normal"/>
    <w:next w:val="Normal"/>
    <w:link w:val="IntenseQuoteChar"/>
    <w:uiPriority w:val="30"/>
    <w:qFormat/>
    <w:rsid w:val="00AB09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0971"/>
    <w:rPr>
      <w:i/>
      <w:iCs/>
      <w:color w:val="0F4761" w:themeColor="accent1" w:themeShade="BF"/>
    </w:rPr>
  </w:style>
  <w:style w:type="character" w:styleId="IntenseReference">
    <w:name w:val="Intense Reference"/>
    <w:basedOn w:val="DefaultParagraphFont"/>
    <w:uiPriority w:val="32"/>
    <w:qFormat/>
    <w:rsid w:val="00AB09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1986</Words>
  <Characters>12712</Characters>
  <Application>Microsoft Office Word</Application>
  <DocSecurity>0</DocSecurity>
  <Lines>195</Lines>
  <Paragraphs>85</Paragraphs>
  <ScaleCrop>false</ScaleCrop>
  <Company/>
  <LinksUpToDate>false</LinksUpToDate>
  <CharactersWithSpaces>14613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Stoddart</dc:creator>
  <cp:keywords/>
  <dc:description/>
  <cp:lastModifiedBy>Justin Stoddart</cp:lastModifiedBy>
  <cp:revision>2</cp:revision>
  <dcterms:created xsi:type="dcterms:W3CDTF">2026-05-16T09:40:00Z</dcterms:created>
  <dcterms:modified xsi:type="dcterms:W3CDTF">2026-05-16T09:40:00Z</dcterms:modified>
</cp:coreProperties>
</file>