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FB914" w14:textId="12A450B4" w:rsidR="004B4A76" w:rsidRDefault="00E10F26" w:rsidP="00E10F26">
      <w:pPr>
        <w:jc w:val="center"/>
        <w:rPr>
          <w:b/>
          <w:bCs/>
          <w:sz w:val="28"/>
          <w:szCs w:val="28"/>
        </w:rPr>
      </w:pPr>
      <w:r>
        <w:rPr>
          <w:b/>
          <w:bCs/>
          <w:sz w:val="28"/>
          <w:szCs w:val="28"/>
        </w:rPr>
        <w:t>Theory</w:t>
      </w:r>
    </w:p>
    <w:p w14:paraId="12BA7947"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Level 3e — Macroprudential Policy</w:t>
      </w:r>
    </w:p>
    <w:p w14:paraId="16CB4DEC"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Definition.</w:t>
      </w:r>
      <w:r w:rsidRPr="0032251D">
        <w:rPr>
          <w:rFonts w:ascii="Aptos" w:eastAsia="Times New Roman" w:hAnsi="Aptos" w:cs="Times New Roman"/>
          <w:kern w:val="0"/>
          <w:sz w:val="22"/>
          <w:szCs w:val="22"/>
          <w:lang w:eastAsia="en-GB"/>
          <w14:ligatures w14:val="none"/>
        </w:rPr>
        <w:t xml:space="preserve"> Macroprudential policy is the use of regulatory instruments to address system-wide financial stability risks, distinct from both </w:t>
      </w:r>
      <w:r w:rsidRPr="0032251D">
        <w:rPr>
          <w:rFonts w:ascii="Aptos" w:eastAsia="Times New Roman" w:hAnsi="Aptos" w:cs="Times New Roman"/>
          <w:i/>
          <w:iCs/>
          <w:kern w:val="0"/>
          <w:sz w:val="22"/>
          <w:szCs w:val="22"/>
          <w:lang w:eastAsia="en-GB"/>
          <w14:ligatures w14:val="none"/>
        </w:rPr>
        <w:t>microprudential</w:t>
      </w:r>
      <w:r w:rsidRPr="0032251D">
        <w:rPr>
          <w:rFonts w:ascii="Aptos" w:eastAsia="Times New Roman" w:hAnsi="Aptos" w:cs="Times New Roman"/>
          <w:kern w:val="0"/>
          <w:sz w:val="22"/>
          <w:szCs w:val="22"/>
          <w:lang w:eastAsia="en-GB"/>
          <w14:ligatures w14:val="none"/>
        </w:rPr>
        <w:t xml:space="preserve"> supervision (which targets individual institution safety) and </w:t>
      </w:r>
      <w:r w:rsidRPr="0032251D">
        <w:rPr>
          <w:rFonts w:ascii="Aptos" w:eastAsia="Times New Roman" w:hAnsi="Aptos" w:cs="Times New Roman"/>
          <w:i/>
          <w:iCs/>
          <w:kern w:val="0"/>
          <w:sz w:val="22"/>
          <w:szCs w:val="22"/>
          <w:lang w:eastAsia="en-GB"/>
          <w14:ligatures w14:val="none"/>
        </w:rPr>
        <w:t>monetary policy</w:t>
      </w:r>
      <w:r w:rsidRPr="0032251D">
        <w:rPr>
          <w:rFonts w:ascii="Aptos" w:eastAsia="Times New Roman" w:hAnsi="Aptos" w:cs="Times New Roman"/>
          <w:kern w:val="0"/>
          <w:sz w:val="22"/>
          <w:szCs w:val="22"/>
          <w:lang w:eastAsia="en-GB"/>
          <w14:ligatures w14:val="none"/>
        </w:rPr>
        <w:t xml:space="preserve"> (which targets price stability). The core toolkit: countercyclical capital buffer (CCyB), loan-to-value (LTV) caps, debt-service-to-income (DSTI) caps, reserve requirements, sectoral risk weights, liquidity ratios (LCR, NSFR), concentration limits, and systemic surcharges (G-SIB, D-SIB). The unifying feature: these tools target </w:t>
      </w:r>
      <w:r w:rsidRPr="0032251D">
        <w:rPr>
          <w:rFonts w:ascii="Aptos" w:eastAsia="Times New Roman" w:hAnsi="Aptos" w:cs="Times New Roman"/>
          <w:i/>
          <w:iCs/>
          <w:kern w:val="0"/>
          <w:sz w:val="22"/>
          <w:szCs w:val="22"/>
          <w:lang w:eastAsia="en-GB"/>
          <w14:ligatures w14:val="none"/>
        </w:rPr>
        <w:t>credit conditions, leverage, and systemic risk</w:t>
      </w:r>
      <w:r w:rsidRPr="0032251D">
        <w:rPr>
          <w:rFonts w:ascii="Aptos" w:eastAsia="Times New Roman" w:hAnsi="Aptos" w:cs="Times New Roman"/>
          <w:kern w:val="0"/>
          <w:sz w:val="22"/>
          <w:szCs w:val="22"/>
          <w:lang w:eastAsia="en-GB"/>
          <w14:ligatures w14:val="none"/>
        </w:rPr>
        <w:t xml:space="preserve"> through quantity and price restrictions, rather than through the overnight cost of money. Pre-2008 financial regulation was largely microprudential. Post-2008, macroprudential policy emerged as the explicit response to systemic risk that builds in the aggregate even when individual institutions look fine.</w:t>
      </w:r>
    </w:p>
    <w:p w14:paraId="107901E5" w14:textId="77777777" w:rsidR="00E10F26" w:rsidRPr="0032251D" w:rsidRDefault="00E10F26" w:rsidP="00E10F26">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50B0B194">
          <v:rect id="_x0000_i1025" alt="" style="width:451.3pt;height:.05pt;mso-width-percent:0;mso-height-percent:0;mso-width-percent:0;mso-height-percent:0" o:hralign="center" o:hrstd="t" o:hr="t" fillcolor="#a0a0a0" stroked="f"/>
        </w:pict>
      </w:r>
    </w:p>
    <w:p w14:paraId="0D4A79A6"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Theory</w:t>
      </w:r>
    </w:p>
    <w:p w14:paraId="7D298568"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Macropru exists because the policy rate alone cannot address financial stability.</w:t>
      </w:r>
    </w:p>
    <w:p w14:paraId="3CEFD826"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Tinbergen's principle.</w:t>
      </w:r>
      <w:r w:rsidRPr="0032251D">
        <w:rPr>
          <w:rFonts w:ascii="Aptos" w:eastAsia="Times New Roman" w:hAnsi="Aptos" w:cs="Times New Roman"/>
          <w:kern w:val="0"/>
          <w:sz w:val="22"/>
          <w:szCs w:val="22"/>
          <w:lang w:eastAsia="en-GB"/>
          <w14:ligatures w14:val="none"/>
        </w:rPr>
        <w:t xml:space="preserve"> You need at least as many instruments as objectives. The central bank has multiple objectives — price stability </w:t>
      </w:r>
      <w:r w:rsidRPr="0032251D">
        <w:rPr>
          <w:rFonts w:ascii="Aptos" w:eastAsia="Times New Roman" w:hAnsi="Aptos" w:cs="Times New Roman"/>
          <w:i/>
          <w:iCs/>
          <w:kern w:val="0"/>
          <w:sz w:val="22"/>
          <w:szCs w:val="22"/>
          <w:lang w:eastAsia="en-GB"/>
          <w14:ligatures w14:val="none"/>
        </w:rPr>
        <w:t>and</w:t>
      </w:r>
      <w:r w:rsidRPr="0032251D">
        <w:rPr>
          <w:rFonts w:ascii="Aptos" w:eastAsia="Times New Roman" w:hAnsi="Aptos" w:cs="Times New Roman"/>
          <w:kern w:val="0"/>
          <w:sz w:val="22"/>
          <w:szCs w:val="22"/>
          <w:lang w:eastAsia="en-GB"/>
          <w14:ligatures w14:val="none"/>
        </w:rPr>
        <w:t xml:space="preserve"> financial stability — and the policy rate alone cannot hit both. Macropru is the dedicated instrument for financial stability, with the policy rate left to target price stability. This is the post-2008 settlement, formalised across the BIS, IMF/FSB, and national architectures (FSOC in the US, FPC in the UK, ESRB in the EU).</w:t>
      </w:r>
    </w:p>
    <w:p w14:paraId="5843FCE6"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Externalities (Shleifer-Vishny; He-Krishnamurthy).</w:t>
      </w:r>
      <w:r w:rsidRPr="0032251D">
        <w:rPr>
          <w:rFonts w:ascii="Aptos" w:eastAsia="Times New Roman" w:hAnsi="Aptos" w:cs="Times New Roman"/>
          <w:kern w:val="0"/>
          <w:sz w:val="22"/>
          <w:szCs w:val="22"/>
          <w:lang w:eastAsia="en-GB"/>
          <w14:ligatures w14:val="none"/>
        </w:rPr>
        <w:t xml:space="preserve"> Individual banks do not internalise system-wide effects of their lending and risk-taking. Fire-sale externalities, funding spirals, and network contagion are not priced in by individual decisions. Macropru addresses these externalities directly with quantity-based instruments — capital surcharges, position limits, liquidity buffers.</w:t>
      </w:r>
    </w:p>
    <w:p w14:paraId="4349EE41"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Financial cycle distinct from business cycle (Borio 2014).</w:t>
      </w:r>
      <w:r w:rsidRPr="0032251D">
        <w:rPr>
          <w:rFonts w:ascii="Aptos" w:eastAsia="Times New Roman" w:hAnsi="Aptos" w:cs="Times New Roman"/>
          <w:kern w:val="0"/>
          <w:sz w:val="22"/>
          <w:szCs w:val="22"/>
          <w:lang w:eastAsia="en-GB"/>
          <w14:ligatures w14:val="none"/>
        </w:rPr>
        <w:t xml:space="preserve"> Financial cycles — credit growth, asset prices, leverage — are longer and larger than business cycles. Inflation-targeting monetary policy, </w:t>
      </w:r>
      <w:proofErr w:type="gramStart"/>
      <w:r w:rsidRPr="0032251D">
        <w:rPr>
          <w:rFonts w:ascii="Aptos" w:eastAsia="Times New Roman" w:hAnsi="Aptos" w:cs="Times New Roman"/>
          <w:kern w:val="0"/>
          <w:sz w:val="22"/>
          <w:szCs w:val="22"/>
          <w:lang w:eastAsia="en-GB"/>
          <w14:ligatures w14:val="none"/>
        </w:rPr>
        <w:t>calibrated</w:t>
      </w:r>
      <w:proofErr w:type="gramEnd"/>
      <w:r w:rsidRPr="0032251D">
        <w:rPr>
          <w:rFonts w:ascii="Aptos" w:eastAsia="Times New Roman" w:hAnsi="Aptos" w:cs="Times New Roman"/>
          <w:kern w:val="0"/>
          <w:sz w:val="22"/>
          <w:szCs w:val="22"/>
          <w:lang w:eastAsia="en-GB"/>
          <w14:ligatures w14:val="none"/>
        </w:rPr>
        <w:t xml:space="preserve"> to the business cycle, does not lean against the financial cycle hard enough. Macropru is needed because monetary policy systematically under-weights leverage build-up. This is the BIS view; it is contested but has shaped the global macropru framework.</w:t>
      </w:r>
    </w:p>
    <w:p w14:paraId="06460045"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procyclicality problem.</w:t>
      </w:r>
      <w:r w:rsidRPr="0032251D">
        <w:rPr>
          <w:rFonts w:ascii="Aptos" w:eastAsia="Times New Roman" w:hAnsi="Aptos" w:cs="Times New Roman"/>
          <w:kern w:val="0"/>
          <w:sz w:val="22"/>
          <w:szCs w:val="22"/>
          <w:lang w:eastAsia="en-GB"/>
          <w14:ligatures w14:val="none"/>
        </w:rPr>
        <w:t xml:space="preserve"> Banks' risk-taking is procyclical. They lend aggressively in booms (collateral values rising) and tighten in busts (collateral collapsing). This amplifies the cycle. Time-varying macropru — particularly the CCyB — is designed to deliberately counteract this: tighten in booms when banks would not, loosen in busts when banks would refuse.</w:t>
      </w:r>
    </w:p>
    <w:p w14:paraId="46850393"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ELB role.</w:t>
      </w:r>
      <w:r w:rsidRPr="0032251D">
        <w:rPr>
          <w:rFonts w:ascii="Aptos" w:eastAsia="Times New Roman" w:hAnsi="Aptos" w:cs="Times New Roman"/>
          <w:kern w:val="0"/>
          <w:sz w:val="22"/>
          <w:szCs w:val="22"/>
          <w:lang w:eastAsia="en-GB"/>
          <w14:ligatures w14:val="none"/>
        </w:rPr>
        <w:t xml:space="preserve"> When monetary policy is constrained at the ELB, macropru becomes the active instrument for managing financial stability. Loose monetary + tight macropru is the post-2008 DM playbook. Macropru is the substitute monetary instrument when monetary instruments are exhausted.</w:t>
      </w:r>
    </w:p>
    <w:p w14:paraId="77E6F431" w14:textId="77777777" w:rsidR="00E10F26" w:rsidRPr="0032251D" w:rsidRDefault="00E10F26" w:rsidP="00E10F26">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lastRenderedPageBreak/>
        <w:pict w14:anchorId="25995D99">
          <v:rect id="_x0000_i1026" alt="" style="width:451.3pt;height:.05pt;mso-width-percent:0;mso-height-percent:0;mso-width-percent:0;mso-height-percent:0" o:hralign="center" o:hrstd="t" o:hr="t" fillcolor="#a0a0a0" stroked="f"/>
        </w:pict>
      </w:r>
    </w:p>
    <w:p w14:paraId="7232FB2D"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Canonical specifications and parameters</w:t>
      </w:r>
    </w:p>
    <w:p w14:paraId="28DAE576"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macropru toolkit divides into five families.</w:t>
      </w:r>
    </w:p>
    <w:p w14:paraId="70A199EF"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Capital-based tools.</w:t>
      </w:r>
      <w:r w:rsidRPr="0032251D">
        <w:rPr>
          <w:rFonts w:ascii="Aptos" w:eastAsia="Times New Roman" w:hAnsi="Aptos" w:cs="Times New Roman"/>
          <w:kern w:val="0"/>
          <w:sz w:val="22"/>
          <w:szCs w:val="22"/>
          <w:lang w:eastAsia="en-GB"/>
          <w14:ligatures w14:val="none"/>
        </w:rPr>
        <w:t xml:space="preserve"> The most active set.</w:t>
      </w:r>
    </w:p>
    <w:p w14:paraId="029B5D44" w14:textId="77777777" w:rsidR="00E10F26" w:rsidRPr="0032251D" w:rsidRDefault="00E10F26" w:rsidP="00E10F26">
      <w:pPr>
        <w:numPr>
          <w:ilvl w:val="0"/>
          <w:numId w:val="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CCyB</w:t>
      </w:r>
      <w:r w:rsidRPr="0032251D">
        <w:rPr>
          <w:rFonts w:ascii="Aptos" w:eastAsia="Times New Roman" w:hAnsi="Aptos" w:cs="Times New Roman"/>
          <w:kern w:val="0"/>
          <w:sz w:val="22"/>
          <w:szCs w:val="22"/>
          <w:lang w:eastAsia="en-GB"/>
          <w14:ligatures w14:val="none"/>
        </w:rPr>
        <w:t>: time-varying, 0-2.5% of risk-weighted assets, set by national authorities. Triggered by credit-to-GDP gap (Basel III reference) or broader stability indicators.</w:t>
      </w:r>
    </w:p>
    <w:p w14:paraId="1D559B80" w14:textId="77777777" w:rsidR="00E10F26" w:rsidRPr="0032251D" w:rsidRDefault="00E10F26" w:rsidP="00E10F26">
      <w:pPr>
        <w:numPr>
          <w:ilvl w:val="0"/>
          <w:numId w:val="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Systemic risk buffer</w:t>
      </w:r>
      <w:r w:rsidRPr="0032251D">
        <w:rPr>
          <w:rFonts w:ascii="Aptos" w:eastAsia="Times New Roman" w:hAnsi="Aptos" w:cs="Times New Roman"/>
          <w:kern w:val="0"/>
          <w:sz w:val="22"/>
          <w:szCs w:val="22"/>
          <w:lang w:eastAsia="en-GB"/>
          <w14:ligatures w14:val="none"/>
        </w:rPr>
        <w:t>: structural surcharge for system-wide risk.</w:t>
      </w:r>
    </w:p>
    <w:p w14:paraId="783B2DE7" w14:textId="77777777" w:rsidR="00E10F26" w:rsidRPr="0032251D" w:rsidRDefault="00E10F26" w:rsidP="00E10F26">
      <w:pPr>
        <w:numPr>
          <w:ilvl w:val="0"/>
          <w:numId w:val="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G-SIB / D-SIB surcharges</w:t>
      </w:r>
      <w:r w:rsidRPr="0032251D">
        <w:rPr>
          <w:rFonts w:ascii="Aptos" w:eastAsia="Times New Roman" w:hAnsi="Aptos" w:cs="Times New Roman"/>
          <w:kern w:val="0"/>
          <w:sz w:val="22"/>
          <w:szCs w:val="22"/>
          <w:lang w:eastAsia="en-GB"/>
          <w14:ligatures w14:val="none"/>
        </w:rPr>
        <w:t>: for systemically important institutions.</w:t>
      </w:r>
    </w:p>
    <w:p w14:paraId="115CF4CD" w14:textId="77777777" w:rsidR="00E10F26" w:rsidRPr="0032251D" w:rsidRDefault="00E10F26" w:rsidP="00E10F26">
      <w:pPr>
        <w:numPr>
          <w:ilvl w:val="0"/>
          <w:numId w:val="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Sectoral risk weights</w:t>
      </w:r>
      <w:r w:rsidRPr="0032251D">
        <w:rPr>
          <w:rFonts w:ascii="Aptos" w:eastAsia="Times New Roman" w:hAnsi="Aptos" w:cs="Times New Roman"/>
          <w:kern w:val="0"/>
          <w:sz w:val="22"/>
          <w:szCs w:val="22"/>
          <w:lang w:eastAsia="en-GB"/>
          <w14:ligatures w14:val="none"/>
        </w:rPr>
        <w:t xml:space="preserve">: differentiated capital requirements for specific exposures (e.g., higher RWAs for commercial real estate, FX lending, or </w:t>
      </w:r>
      <w:proofErr w:type="gramStart"/>
      <w:r w:rsidRPr="0032251D">
        <w:rPr>
          <w:rFonts w:ascii="Aptos" w:eastAsia="Times New Roman" w:hAnsi="Aptos" w:cs="Times New Roman"/>
          <w:kern w:val="0"/>
          <w:sz w:val="22"/>
          <w:szCs w:val="22"/>
          <w:lang w:eastAsia="en-GB"/>
          <w14:ligatures w14:val="none"/>
        </w:rPr>
        <w:t>high-LTV</w:t>
      </w:r>
      <w:proofErr w:type="gramEnd"/>
      <w:r w:rsidRPr="0032251D">
        <w:rPr>
          <w:rFonts w:ascii="Aptos" w:eastAsia="Times New Roman" w:hAnsi="Aptos" w:cs="Times New Roman"/>
          <w:kern w:val="0"/>
          <w:sz w:val="22"/>
          <w:szCs w:val="22"/>
          <w:lang w:eastAsia="en-GB"/>
          <w14:ligatures w14:val="none"/>
        </w:rPr>
        <w:t xml:space="preserve"> mortgages).</w:t>
      </w:r>
    </w:p>
    <w:p w14:paraId="362815F2"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Borrower-based tools.</w:t>
      </w:r>
      <w:r w:rsidRPr="0032251D">
        <w:rPr>
          <w:rFonts w:ascii="Aptos" w:eastAsia="Times New Roman" w:hAnsi="Aptos" w:cs="Times New Roman"/>
          <w:kern w:val="0"/>
          <w:sz w:val="22"/>
          <w:szCs w:val="22"/>
          <w:lang w:eastAsia="en-GB"/>
          <w14:ligatures w14:val="none"/>
        </w:rPr>
        <w:t xml:space="preserve"> Direct constraints on loan terms.</w:t>
      </w:r>
    </w:p>
    <w:p w14:paraId="3ADEA49B" w14:textId="77777777" w:rsidR="00E10F26" w:rsidRPr="0032251D" w:rsidRDefault="00E10F26" w:rsidP="00E10F26">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LTV cap</w:t>
      </w:r>
      <w:r w:rsidRPr="0032251D">
        <w:rPr>
          <w:rFonts w:ascii="Aptos" w:eastAsia="Times New Roman" w:hAnsi="Aptos" w:cs="Times New Roman"/>
          <w:kern w:val="0"/>
          <w:sz w:val="22"/>
          <w:szCs w:val="22"/>
          <w:lang w:eastAsia="en-GB"/>
          <w14:ligatures w14:val="none"/>
        </w:rPr>
        <w:t>: maximum loan-to-value ratio. NZ used 80% LTV for owner-occupiers in Auckland during housing booms.</w:t>
      </w:r>
    </w:p>
    <w:p w14:paraId="0A5D90EC" w14:textId="77777777" w:rsidR="00E10F26" w:rsidRPr="0032251D" w:rsidRDefault="00E10F26" w:rsidP="00E10F26">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DSTI cap</w:t>
      </w:r>
      <w:r w:rsidRPr="0032251D">
        <w:rPr>
          <w:rFonts w:ascii="Aptos" w:eastAsia="Times New Roman" w:hAnsi="Aptos" w:cs="Times New Roman"/>
          <w:kern w:val="0"/>
          <w:sz w:val="22"/>
          <w:szCs w:val="22"/>
          <w:lang w:eastAsia="en-GB"/>
          <w14:ligatures w14:val="none"/>
        </w:rPr>
        <w:t>: maximum debt-service-to-income ratio.</w:t>
      </w:r>
    </w:p>
    <w:p w14:paraId="428D7391" w14:textId="77777777" w:rsidR="00E10F26" w:rsidRPr="0032251D" w:rsidRDefault="00E10F26" w:rsidP="00E10F26">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DTI cap</w:t>
      </w:r>
      <w:r w:rsidRPr="0032251D">
        <w:rPr>
          <w:rFonts w:ascii="Aptos" w:eastAsia="Times New Roman" w:hAnsi="Aptos" w:cs="Times New Roman"/>
          <w:kern w:val="0"/>
          <w:sz w:val="22"/>
          <w:szCs w:val="22"/>
          <w:lang w:eastAsia="en-GB"/>
          <w14:ligatures w14:val="none"/>
        </w:rPr>
        <w:t>: maximum debt-to-income ratio.</w:t>
      </w:r>
    </w:p>
    <w:p w14:paraId="4797669B" w14:textId="77777777" w:rsidR="00E10F26" w:rsidRPr="0032251D" w:rsidRDefault="00E10F26" w:rsidP="00E10F26">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Maturity caps</w:t>
      </w:r>
      <w:r w:rsidRPr="0032251D">
        <w:rPr>
          <w:rFonts w:ascii="Aptos" w:eastAsia="Times New Roman" w:hAnsi="Aptos" w:cs="Times New Roman"/>
          <w:kern w:val="0"/>
          <w:sz w:val="22"/>
          <w:szCs w:val="22"/>
          <w:lang w:eastAsia="en-GB"/>
          <w14:ligatures w14:val="none"/>
        </w:rPr>
        <w:t>: restrict gaming through extended amortisation.</w:t>
      </w:r>
    </w:p>
    <w:p w14:paraId="1648157D"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Liquidity-based tools.</w:t>
      </w:r>
    </w:p>
    <w:p w14:paraId="666D1355" w14:textId="77777777" w:rsidR="00E10F26" w:rsidRPr="0032251D" w:rsidRDefault="00E10F26" w:rsidP="00E10F26">
      <w:pPr>
        <w:numPr>
          <w:ilvl w:val="0"/>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LCR</w:t>
      </w:r>
      <w:r w:rsidRPr="0032251D">
        <w:rPr>
          <w:rFonts w:ascii="Aptos" w:eastAsia="Times New Roman" w:hAnsi="Aptos" w:cs="Times New Roman"/>
          <w:kern w:val="0"/>
          <w:sz w:val="22"/>
          <w:szCs w:val="22"/>
          <w:lang w:eastAsia="en-GB"/>
          <w14:ligatures w14:val="none"/>
        </w:rPr>
        <w:t>: 30-day stress liquidity (Basel III).</w:t>
      </w:r>
    </w:p>
    <w:p w14:paraId="018B8331" w14:textId="77777777" w:rsidR="00E10F26" w:rsidRPr="0032251D" w:rsidRDefault="00E10F26" w:rsidP="00E10F26">
      <w:pPr>
        <w:numPr>
          <w:ilvl w:val="0"/>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NSFR</w:t>
      </w:r>
      <w:r w:rsidRPr="0032251D">
        <w:rPr>
          <w:rFonts w:ascii="Aptos" w:eastAsia="Times New Roman" w:hAnsi="Aptos" w:cs="Times New Roman"/>
          <w:kern w:val="0"/>
          <w:sz w:val="22"/>
          <w:szCs w:val="22"/>
          <w:lang w:eastAsia="en-GB"/>
          <w14:ligatures w14:val="none"/>
        </w:rPr>
        <w:t>: structural funding stability (Basel III).</w:t>
      </w:r>
    </w:p>
    <w:p w14:paraId="6034A413" w14:textId="77777777" w:rsidR="00E10F26" w:rsidRPr="0032251D" w:rsidRDefault="00E10F26" w:rsidP="00E10F26">
      <w:pPr>
        <w:numPr>
          <w:ilvl w:val="0"/>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Loan-to-deposit ratio caps</w:t>
      </w:r>
      <w:r w:rsidRPr="0032251D">
        <w:rPr>
          <w:rFonts w:ascii="Aptos" w:eastAsia="Times New Roman" w:hAnsi="Aptos" w:cs="Times New Roman"/>
          <w:kern w:val="0"/>
          <w:sz w:val="22"/>
          <w:szCs w:val="22"/>
          <w:lang w:eastAsia="en-GB"/>
          <w14:ligatures w14:val="none"/>
        </w:rPr>
        <w:t>: used in several EMs.</w:t>
      </w:r>
    </w:p>
    <w:p w14:paraId="5E874C5C"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Reserve requirements.</w:t>
      </w:r>
      <w:r w:rsidRPr="0032251D">
        <w:rPr>
          <w:rFonts w:ascii="Aptos" w:eastAsia="Times New Roman" w:hAnsi="Aptos" w:cs="Times New Roman"/>
          <w:kern w:val="0"/>
          <w:sz w:val="22"/>
          <w:szCs w:val="22"/>
          <w:lang w:eastAsia="en-GB"/>
          <w14:ligatures w14:val="none"/>
        </w:rPr>
        <w:t xml:space="preserve"> Particularly important in EM. Required reserves on deposit liabilities, often differentiated by currency, maturity, or counterparty. RR has both monetary AND macropru dimensions — they affect money supply and credit allocation simultaneously.</w:t>
      </w:r>
    </w:p>
    <w:p w14:paraId="07895A77"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Sectoral and structural measures.</w:t>
      </w:r>
      <w:r w:rsidRPr="0032251D">
        <w:rPr>
          <w:rFonts w:ascii="Aptos" w:eastAsia="Times New Roman" w:hAnsi="Aptos" w:cs="Times New Roman"/>
          <w:kern w:val="0"/>
          <w:sz w:val="22"/>
          <w:szCs w:val="22"/>
          <w:lang w:eastAsia="en-GB"/>
          <w14:ligatures w14:val="none"/>
        </w:rPr>
        <w:t xml:space="preserve"> Concentration limits, foreign currency lending restrictions (relevant for FX mismatch in CEE), real estate-specific measures, ring-fencing, total loss-absorbing capacity (TLAC).</w:t>
      </w:r>
    </w:p>
    <w:p w14:paraId="3B603011"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Key parameters: </w:t>
      </w:r>
      <w:r w:rsidRPr="0032251D">
        <w:rPr>
          <w:rFonts w:ascii="Aptos" w:eastAsia="Times New Roman" w:hAnsi="Aptos" w:cs="Times New Roman"/>
          <w:i/>
          <w:iCs/>
          <w:kern w:val="0"/>
          <w:sz w:val="22"/>
          <w:szCs w:val="22"/>
          <w:lang w:eastAsia="en-GB"/>
          <w14:ligatures w14:val="none"/>
        </w:rPr>
        <w:t>calibration</w:t>
      </w:r>
      <w:r w:rsidRPr="0032251D">
        <w:rPr>
          <w:rFonts w:ascii="Aptos" w:eastAsia="Times New Roman" w:hAnsi="Aptos" w:cs="Times New Roman"/>
          <w:kern w:val="0"/>
          <w:sz w:val="22"/>
          <w:szCs w:val="22"/>
          <w:lang w:eastAsia="en-GB"/>
          <w14:ligatures w14:val="none"/>
        </w:rPr>
        <w:t xml:space="preserve"> (how much capital, what LTV); </w:t>
      </w:r>
      <w:r w:rsidRPr="0032251D">
        <w:rPr>
          <w:rFonts w:ascii="Aptos" w:eastAsia="Times New Roman" w:hAnsi="Aptos" w:cs="Times New Roman"/>
          <w:i/>
          <w:iCs/>
          <w:kern w:val="0"/>
          <w:sz w:val="22"/>
          <w:szCs w:val="22"/>
          <w:lang w:eastAsia="en-GB"/>
          <w14:ligatures w14:val="none"/>
        </w:rPr>
        <w:t>cyclical vs structural</w:t>
      </w:r>
      <w:r w:rsidRPr="0032251D">
        <w:rPr>
          <w:rFonts w:ascii="Aptos" w:eastAsia="Times New Roman" w:hAnsi="Aptos" w:cs="Times New Roman"/>
          <w:kern w:val="0"/>
          <w:sz w:val="22"/>
          <w:szCs w:val="22"/>
          <w:lang w:eastAsia="en-GB"/>
          <w14:ligatures w14:val="none"/>
        </w:rPr>
        <w:t xml:space="preserve"> (time-varying CCyB vs permanent G-SIB); </w:t>
      </w:r>
      <w:r w:rsidRPr="0032251D">
        <w:rPr>
          <w:rFonts w:ascii="Aptos" w:eastAsia="Times New Roman" w:hAnsi="Aptos" w:cs="Times New Roman"/>
          <w:i/>
          <w:iCs/>
          <w:kern w:val="0"/>
          <w:sz w:val="22"/>
          <w:szCs w:val="22"/>
          <w:lang w:eastAsia="en-GB"/>
          <w14:ligatures w14:val="none"/>
        </w:rPr>
        <w:t>sectoral vs broad-based</w:t>
      </w:r>
      <w:r w:rsidRPr="0032251D">
        <w:rPr>
          <w:rFonts w:ascii="Aptos" w:eastAsia="Times New Roman" w:hAnsi="Aptos" w:cs="Times New Roman"/>
          <w:kern w:val="0"/>
          <w:sz w:val="22"/>
          <w:szCs w:val="22"/>
          <w:lang w:eastAsia="en-GB"/>
          <w14:ligatures w14:val="none"/>
        </w:rPr>
        <w:t xml:space="preserve">; </w:t>
      </w:r>
      <w:r w:rsidRPr="0032251D">
        <w:rPr>
          <w:rFonts w:ascii="Aptos" w:eastAsia="Times New Roman" w:hAnsi="Aptos" w:cs="Times New Roman"/>
          <w:i/>
          <w:iCs/>
          <w:kern w:val="0"/>
          <w:sz w:val="22"/>
          <w:szCs w:val="22"/>
          <w:lang w:eastAsia="en-GB"/>
          <w14:ligatures w14:val="none"/>
        </w:rPr>
        <w:t>implementation lag</w:t>
      </w:r>
      <w:r w:rsidRPr="0032251D">
        <w:rPr>
          <w:rFonts w:ascii="Aptos" w:eastAsia="Times New Roman" w:hAnsi="Aptos" w:cs="Times New Roman"/>
          <w:kern w:val="0"/>
          <w:sz w:val="22"/>
          <w:szCs w:val="22"/>
          <w:lang w:eastAsia="en-GB"/>
          <w14:ligatures w14:val="none"/>
        </w:rPr>
        <w:t xml:space="preserve"> (months for capital, faster for borrower-based). The IMF iMaPP (Integrated Macroprudential Policy) database — Alam et al. 2019 — codifies macropru actions across categories for 134 countries.</w:t>
      </w:r>
    </w:p>
    <w:p w14:paraId="7420D5CA" w14:textId="77777777" w:rsidR="00E10F26" w:rsidRPr="0032251D" w:rsidRDefault="00E10F26" w:rsidP="00E10F26">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07A88077">
          <v:rect id="_x0000_i1027" alt="" style="width:451.3pt;height:.05pt;mso-width-percent:0;mso-height-percent:0;mso-width-percent:0;mso-height-percent:0" o:hralign="center" o:hrstd="t" o:hr="t" fillcolor="#a0a0a0" stroked="f"/>
        </w:pict>
      </w:r>
    </w:p>
    <w:p w14:paraId="2AB68984"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Why this matters for asset prices</w:t>
      </w:r>
    </w:p>
    <w:p w14:paraId="37C64C6B"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Macropru affects asset prices through six channels.</w:t>
      </w:r>
    </w:p>
    <w:p w14:paraId="4D6E78F1"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Credit spreads.</w:t>
      </w:r>
      <w:r w:rsidRPr="0032251D">
        <w:rPr>
          <w:rFonts w:ascii="Aptos" w:eastAsia="Times New Roman" w:hAnsi="Aptos" w:cs="Times New Roman"/>
          <w:kern w:val="0"/>
          <w:sz w:val="22"/>
          <w:szCs w:val="22"/>
          <w:lang w:eastAsia="en-GB"/>
          <w14:ligatures w14:val="none"/>
        </w:rPr>
        <w:t xml:space="preserve"> Tightening capital requirements raises bank </w:t>
      </w:r>
      <w:proofErr w:type="gramStart"/>
      <w:r w:rsidRPr="0032251D">
        <w:rPr>
          <w:rFonts w:ascii="Aptos" w:eastAsia="Times New Roman" w:hAnsi="Aptos" w:cs="Times New Roman"/>
          <w:kern w:val="0"/>
          <w:sz w:val="22"/>
          <w:szCs w:val="22"/>
          <w:lang w:eastAsia="en-GB"/>
          <w14:ligatures w14:val="none"/>
        </w:rPr>
        <w:t>cost</w:t>
      </w:r>
      <w:proofErr w:type="gramEnd"/>
      <w:r w:rsidRPr="0032251D">
        <w:rPr>
          <w:rFonts w:ascii="Aptos" w:eastAsia="Times New Roman" w:hAnsi="Aptos" w:cs="Times New Roman"/>
          <w:kern w:val="0"/>
          <w:sz w:val="22"/>
          <w:szCs w:val="22"/>
          <w:lang w:eastAsia="en-GB"/>
          <w14:ligatures w14:val="none"/>
        </w:rPr>
        <w:t xml:space="preserve"> of capital, which is passed to borrowers. Credit spreads widen on aggregate tightening; the reverse on loosening.</w:t>
      </w:r>
    </w:p>
    <w:p w14:paraId="222287C0"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Bank equity valuations.</w:t>
      </w:r>
      <w:r w:rsidRPr="0032251D">
        <w:rPr>
          <w:rFonts w:ascii="Aptos" w:eastAsia="Times New Roman" w:hAnsi="Aptos" w:cs="Times New Roman"/>
          <w:kern w:val="0"/>
          <w:sz w:val="22"/>
          <w:szCs w:val="22"/>
          <w:lang w:eastAsia="en-GB"/>
          <w14:ligatures w14:val="none"/>
        </w:rPr>
        <w:t xml:space="preserve"> Higher capital requirements compress bank ROE (more equity for the same profit). Bank stocks systematically de-rate on capital requirement tightening; G-SIB surcharge announcements are a clean event-study setting.</w:t>
      </w:r>
    </w:p>
    <w:p w14:paraId="21BE8E32"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Real estate prices.</w:t>
      </w:r>
      <w:r w:rsidRPr="0032251D">
        <w:rPr>
          <w:rFonts w:ascii="Aptos" w:eastAsia="Times New Roman" w:hAnsi="Aptos" w:cs="Times New Roman"/>
          <w:kern w:val="0"/>
          <w:sz w:val="22"/>
          <w:szCs w:val="22"/>
          <w:lang w:eastAsia="en-GB"/>
          <w14:ligatures w14:val="none"/>
        </w:rPr>
        <w:t xml:space="preserve"> LTV and DSTI caps directly constrain mortgage lending, which constrains housing demand. Effective borrower-based tools cool housing prices — but housing markets often substitute through cash buyers or alternative financing, so effectiveness varies.</w:t>
      </w:r>
    </w:p>
    <w:p w14:paraId="2661C58B"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Sectoral asset prices.</w:t>
      </w:r>
      <w:r w:rsidRPr="0032251D">
        <w:rPr>
          <w:rFonts w:ascii="Aptos" w:eastAsia="Times New Roman" w:hAnsi="Aptos" w:cs="Times New Roman"/>
          <w:kern w:val="0"/>
          <w:sz w:val="22"/>
          <w:szCs w:val="22"/>
          <w:lang w:eastAsia="en-GB"/>
          <w14:ligatures w14:val="none"/>
        </w:rPr>
        <w:t xml:space="preserve"> Sectoral risk weights affect lending to specific sectors. Higher CRE risk weights compress that asset class through reduced credit availability.</w:t>
      </w:r>
    </w:p>
    <w:p w14:paraId="0FE433E0"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Volatility.</w:t>
      </w:r>
      <w:r w:rsidRPr="0032251D">
        <w:rPr>
          <w:rFonts w:ascii="Aptos" w:eastAsia="Times New Roman" w:hAnsi="Aptos" w:cs="Times New Roman"/>
          <w:kern w:val="0"/>
          <w:sz w:val="22"/>
          <w:szCs w:val="22"/>
          <w:lang w:eastAsia="en-GB"/>
          <w14:ligatures w14:val="none"/>
        </w:rPr>
        <w:t xml:space="preserve"> Macropru can pre-empt crises by compressing tail </w:t>
      </w:r>
      <w:proofErr w:type="gramStart"/>
      <w:r w:rsidRPr="0032251D">
        <w:rPr>
          <w:rFonts w:ascii="Aptos" w:eastAsia="Times New Roman" w:hAnsi="Aptos" w:cs="Times New Roman"/>
          <w:kern w:val="0"/>
          <w:sz w:val="22"/>
          <w:szCs w:val="22"/>
          <w:lang w:eastAsia="en-GB"/>
          <w14:ligatures w14:val="none"/>
        </w:rPr>
        <w:t>risk, or</w:t>
      </w:r>
      <w:proofErr w:type="gramEnd"/>
      <w:r w:rsidRPr="0032251D">
        <w:rPr>
          <w:rFonts w:ascii="Aptos" w:eastAsia="Times New Roman" w:hAnsi="Aptos" w:cs="Times New Roman"/>
          <w:kern w:val="0"/>
          <w:sz w:val="22"/>
          <w:szCs w:val="22"/>
          <w:lang w:eastAsia="en-GB"/>
          <w14:ligatures w14:val="none"/>
        </w:rPr>
        <w:t xml:space="preserve"> precipitate them by forcing simultaneous deleveraging. Implementation timing matters more than the announced calibration.</w:t>
      </w:r>
    </w:p>
    <w:p w14:paraId="40A6CBB3"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Credit availability.</w:t>
      </w:r>
      <w:r w:rsidRPr="0032251D">
        <w:rPr>
          <w:rFonts w:ascii="Aptos" w:eastAsia="Times New Roman" w:hAnsi="Aptos" w:cs="Times New Roman"/>
          <w:kern w:val="0"/>
          <w:sz w:val="22"/>
          <w:szCs w:val="22"/>
          <w:lang w:eastAsia="en-GB"/>
          <w14:ligatures w14:val="none"/>
        </w:rPr>
        <w:t xml:space="preserve"> Most directly, macropru affects who can borrow and on what terms. This flows through to real activity and corporate earnings.</w:t>
      </w:r>
    </w:p>
    <w:p w14:paraId="59E17C20"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For investment managers the key analytical point: macropru creates a </w:t>
      </w:r>
      <w:r w:rsidRPr="0032251D">
        <w:rPr>
          <w:rFonts w:ascii="Aptos" w:eastAsia="Times New Roman" w:hAnsi="Aptos" w:cs="Times New Roman"/>
          <w:i/>
          <w:iCs/>
          <w:kern w:val="0"/>
          <w:sz w:val="22"/>
          <w:szCs w:val="22"/>
          <w:lang w:eastAsia="en-GB"/>
          <w14:ligatures w14:val="none"/>
        </w:rPr>
        <w:t>credit/cost-of-capital wedge</w:t>
      </w:r>
      <w:r w:rsidRPr="0032251D">
        <w:rPr>
          <w:rFonts w:ascii="Aptos" w:eastAsia="Times New Roman" w:hAnsi="Aptos" w:cs="Times New Roman"/>
          <w:kern w:val="0"/>
          <w:sz w:val="22"/>
          <w:szCs w:val="22"/>
          <w:lang w:eastAsia="en-GB"/>
          <w14:ligatures w14:val="none"/>
        </w:rPr>
        <w:t xml:space="preserve"> that is independent of the policy rate. The same nominal monetary stance can produce very different credit conditions depending on the macropru setting. The post-2008 DM regime — loose monetary + tight macropru — produced asset price inflation (low discount rates) without credit boom (constrained access). This is a fundamentally different asset price environment from loose monetary + loose macropru (1990s-2000s), and it requires different portfolio positioning.</w:t>
      </w:r>
    </w:p>
    <w:p w14:paraId="3A63B942" w14:textId="77777777" w:rsidR="00E10F26" w:rsidRPr="0032251D" w:rsidRDefault="00E10F26" w:rsidP="00E10F26">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66550C73">
          <v:rect id="_x0000_i1028" alt="" style="width:451.3pt;height:.05pt;mso-width-percent:0;mso-height-percent:0;mso-width-percent:0;mso-height-percent:0" o:hralign="center" o:hrstd="t" o:hr="t" fillcolor="#a0a0a0" stroked="f"/>
        </w:pict>
      </w:r>
    </w:p>
    <w:p w14:paraId="1EC6E674"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Regime and EM variation</w:t>
      </w:r>
    </w:p>
    <w:p w14:paraId="4F83C2F0"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Macropru deployment varies more across the panel than any other L3 instrument.</w:t>
      </w:r>
    </w:p>
    <w:p w14:paraId="0CDA4004"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DM panel.</w:t>
      </w:r>
      <w:r w:rsidRPr="0032251D">
        <w:rPr>
          <w:rFonts w:ascii="Aptos" w:eastAsia="Times New Roman" w:hAnsi="Aptos" w:cs="Times New Roman"/>
          <w:kern w:val="0"/>
          <w:sz w:val="22"/>
          <w:szCs w:val="22"/>
          <w:lang w:eastAsia="en-GB"/>
          <w14:ligatures w14:val="none"/>
        </w:rPr>
        <w:t xml:space="preserve"> Substantial macropru architecture post-2008. Basel III implementation, CCyB activation in the UK (since 2016) and Nordic countries (active users). NZ, Australia, UK, several EU countries use borrower-based tools. The US is comparatively less active on CCyB and relies more on stress tests as its de facto macropru instrument. BoE-FPC is the most institutionalised macropru authority globally; the ECB-SSM-ESRB architecture is more complex coordination across micro and macropru.</w:t>
      </w:r>
    </w:p>
    <w:p w14:paraId="2BD6903A"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EM panel.</w:t>
      </w:r>
      <w:r w:rsidRPr="0032251D">
        <w:rPr>
          <w:rFonts w:ascii="Aptos" w:eastAsia="Times New Roman" w:hAnsi="Aptos" w:cs="Times New Roman"/>
          <w:kern w:val="0"/>
          <w:sz w:val="22"/>
          <w:szCs w:val="22"/>
          <w:lang w:eastAsia="en-GB"/>
          <w14:ligatures w14:val="none"/>
        </w:rPr>
        <w:t xml:space="preserve"> Often more active macropru users than DM, but for different reasons. Reserve requirements are heavily used as both monetary and macropru tools (BCB, Banxico, Bank Indonesia). Asian EMs (Korea, Hong Kong, Singapore) use borrower-based tools actively. BCB runs sectoral capital requirements and active reserve requirement variation. Singapore famously coordinates macropru with FX. India's RBI uses macropru extensively for sector-specific lending control.</w:t>
      </w:r>
    </w:p>
    <w:p w14:paraId="6167D271"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 xml:space="preserve">The key EM insight: macropru in EM often </w:t>
      </w:r>
      <w:r w:rsidRPr="0032251D">
        <w:rPr>
          <w:rFonts w:ascii="Aptos" w:eastAsia="Times New Roman" w:hAnsi="Aptos" w:cs="Times New Roman"/>
          <w:i/>
          <w:iCs/>
          <w:kern w:val="0"/>
          <w:sz w:val="22"/>
          <w:szCs w:val="22"/>
          <w:lang w:eastAsia="en-GB"/>
          <w14:ligatures w14:val="none"/>
        </w:rPr>
        <w:t>substitutes</w:t>
      </w:r>
      <w:r w:rsidRPr="0032251D">
        <w:rPr>
          <w:rFonts w:ascii="Aptos" w:eastAsia="Times New Roman" w:hAnsi="Aptos" w:cs="Times New Roman"/>
          <w:kern w:val="0"/>
          <w:sz w:val="22"/>
          <w:szCs w:val="22"/>
          <w:lang w:eastAsia="en-GB"/>
          <w14:ligatures w14:val="none"/>
        </w:rPr>
        <w:t xml:space="preserve"> for the policy rate as a credit-tightening tool when rate hikes are constrained by external considerations (Fed convergence, fear of floating). Macropru is therefore a more central instrument in EM than in DM, despite DM having more elaborate macropru architecture.</w:t>
      </w:r>
    </w:p>
    <w:p w14:paraId="67011CEE"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SA specifically.</w:t>
      </w:r>
      <w:r w:rsidRPr="0032251D">
        <w:rPr>
          <w:rFonts w:ascii="Aptos" w:eastAsia="Times New Roman" w:hAnsi="Aptos" w:cs="Times New Roman"/>
          <w:kern w:val="0"/>
          <w:sz w:val="22"/>
          <w:szCs w:val="22"/>
          <w:lang w:eastAsia="en-GB"/>
          <w14:ligatures w14:val="none"/>
        </w:rPr>
        <w:t xml:space="preserve"> SARB implements Basel III and has a Financial Stability Committee. The CCyB has been held at 0% throughout. Some sectoral monitoring around home loans, but no formal LTV cap framework. Conservative deployment overall — SARB's macropru posture mirrors its broader institutional pattern of orthodox monetary policy and limited policy innovation. L3e is </w:t>
      </w:r>
      <w:r w:rsidRPr="0032251D">
        <w:rPr>
          <w:rFonts w:ascii="Aptos" w:eastAsia="Times New Roman" w:hAnsi="Aptos" w:cs="Times New Roman"/>
          <w:i/>
          <w:iCs/>
          <w:kern w:val="0"/>
          <w:sz w:val="22"/>
          <w:szCs w:val="22"/>
          <w:lang w:eastAsia="en-GB"/>
          <w14:ligatures w14:val="none"/>
        </w:rPr>
        <w:t>active but conservatively used</w:t>
      </w:r>
      <w:r w:rsidRPr="0032251D">
        <w:rPr>
          <w:rFonts w:ascii="Aptos" w:eastAsia="Times New Roman" w:hAnsi="Aptos" w:cs="Times New Roman"/>
          <w:kern w:val="0"/>
          <w:sz w:val="22"/>
          <w:szCs w:val="22"/>
          <w:lang w:eastAsia="en-GB"/>
          <w14:ligatures w14:val="none"/>
        </w:rPr>
        <w:t xml:space="preserve"> for SA — there is a framework, but rare deployment.</w:t>
      </w:r>
    </w:p>
    <w:p w14:paraId="30BFB52C" w14:textId="77777777" w:rsidR="00E10F26" w:rsidRPr="0032251D" w:rsidRDefault="00E10F26" w:rsidP="00E10F26">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67CB92F5">
          <v:rect id="_x0000_i1029" alt="" style="width:451.3pt;height:.05pt;mso-width-percent:0;mso-height-percent:0;mso-width-percent:0;mso-height-percent:0" o:hralign="center" o:hrstd="t" o:hr="t" fillcolor="#a0a0a0" stroked="f"/>
        </w:pict>
      </w:r>
    </w:p>
    <w:p w14:paraId="4596233D"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Empirical pitfalls</w:t>
      </w:r>
    </w:p>
    <w:p w14:paraId="2BD2B53A"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Multi-dimensional toolkit.</w:t>
      </w:r>
      <w:r w:rsidRPr="0032251D">
        <w:rPr>
          <w:rFonts w:ascii="Aptos" w:eastAsia="Times New Roman" w:hAnsi="Aptos" w:cs="Times New Roman"/>
          <w:kern w:val="0"/>
          <w:sz w:val="22"/>
          <w:szCs w:val="22"/>
          <w:lang w:eastAsia="en-GB"/>
          <w14:ligatures w14:val="none"/>
        </w:rPr>
        <w:t xml:space="preserve"> Macropru is not a single instrument. Capital, liquidity, borrower-based, sectoral, and reserve requirements address different risks. Aggregating into a single "stance" index requires arbitrary weights. Most empirical work uses simple counts of tightening vs loosening actions (Cerutti-Claessens-Laeven 2017), which loses calibration information.</w:t>
      </w:r>
    </w:p>
    <w:p w14:paraId="4D7F3249"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Implementation lag.</w:t>
      </w:r>
      <w:r w:rsidRPr="0032251D">
        <w:rPr>
          <w:rFonts w:ascii="Aptos" w:eastAsia="Times New Roman" w:hAnsi="Aptos" w:cs="Times New Roman"/>
          <w:kern w:val="0"/>
          <w:sz w:val="22"/>
          <w:szCs w:val="22"/>
          <w:lang w:eastAsia="en-GB"/>
          <w14:ligatures w14:val="none"/>
        </w:rPr>
        <w:t xml:space="preserve"> Capital requirement changes are announced and implemented with lags of months to years. The announcement may move bank equity prices; the implementation may move lending behaviour at a different time. Identifying which is which requires careful event windowing.</w:t>
      </w:r>
    </w:p>
    <w:p w14:paraId="23B8E78C"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Sectoral vs aggregate.</w:t>
      </w:r>
      <w:r w:rsidRPr="0032251D">
        <w:rPr>
          <w:rFonts w:ascii="Aptos" w:eastAsia="Times New Roman" w:hAnsi="Aptos" w:cs="Times New Roman"/>
          <w:kern w:val="0"/>
          <w:sz w:val="22"/>
          <w:szCs w:val="22"/>
          <w:lang w:eastAsia="en-GB"/>
          <w14:ligatures w14:val="none"/>
        </w:rPr>
        <w:t xml:space="preserve"> A sectoral measure (e.g., higher RWAs for CRE) may show up weakly in aggregate metrics but have strong sector-specific effects. Aggregate stance indices systematically understate sectoral macropru.</w:t>
      </w:r>
    </w:p>
    <w:p w14:paraId="0797B536"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Substitution effects.</w:t>
      </w:r>
      <w:r w:rsidRPr="0032251D">
        <w:rPr>
          <w:rFonts w:ascii="Aptos" w:eastAsia="Times New Roman" w:hAnsi="Aptos" w:cs="Times New Roman"/>
          <w:kern w:val="0"/>
          <w:sz w:val="22"/>
          <w:szCs w:val="22"/>
          <w:lang w:eastAsia="en-GB"/>
          <w14:ligatures w14:val="none"/>
        </w:rPr>
        <w:t xml:space="preserve"> Macropru on banks can shift risk to NBFIs. The iMaPP database tracks bank-side actions; NBFI substitution is harder to measure and probably under-counted.</w:t>
      </w:r>
    </w:p>
    <w:p w14:paraId="620F99CE"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Effectiveness vs activation.</w:t>
      </w:r>
      <w:r w:rsidRPr="0032251D">
        <w:rPr>
          <w:rFonts w:ascii="Aptos" w:eastAsia="Times New Roman" w:hAnsi="Aptos" w:cs="Times New Roman"/>
          <w:kern w:val="0"/>
          <w:sz w:val="22"/>
          <w:szCs w:val="22"/>
          <w:lang w:eastAsia="en-GB"/>
          <w14:ligatures w14:val="none"/>
        </w:rPr>
        <w:t xml:space="preserve"> Did the macropru tool </w:t>
      </w:r>
      <w:proofErr w:type="gramStart"/>
      <w:r w:rsidRPr="0032251D">
        <w:rPr>
          <w:rFonts w:ascii="Aptos" w:eastAsia="Times New Roman" w:hAnsi="Aptos" w:cs="Times New Roman"/>
          <w:kern w:val="0"/>
          <w:sz w:val="22"/>
          <w:szCs w:val="22"/>
          <w:lang w:eastAsia="en-GB"/>
          <w14:ligatures w14:val="none"/>
        </w:rPr>
        <w:t>actually achieve</w:t>
      </w:r>
      <w:proofErr w:type="gramEnd"/>
      <w:r w:rsidRPr="0032251D">
        <w:rPr>
          <w:rFonts w:ascii="Aptos" w:eastAsia="Times New Roman" w:hAnsi="Aptos" w:cs="Times New Roman"/>
          <w:kern w:val="0"/>
          <w:sz w:val="22"/>
          <w:szCs w:val="22"/>
          <w:lang w:eastAsia="en-GB"/>
          <w14:ligatures w14:val="none"/>
        </w:rPr>
        <w:t xml:space="preserve"> its objective? Activation databases are clean; effectiveness studies are messier. Cerutti-Claessens-Laeven (2017) found modest effects on credit growth but heterogeneous across countries and tools.</w:t>
      </w:r>
    </w:p>
    <w:p w14:paraId="0B8C4EBA"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Endogeneity.</w:t>
      </w:r>
      <w:r w:rsidRPr="0032251D">
        <w:rPr>
          <w:rFonts w:ascii="Aptos" w:eastAsia="Times New Roman" w:hAnsi="Aptos" w:cs="Times New Roman"/>
          <w:kern w:val="0"/>
          <w:sz w:val="22"/>
          <w:szCs w:val="22"/>
          <w:lang w:eastAsia="en-GB"/>
          <w14:ligatures w14:val="none"/>
        </w:rPr>
        <w:t xml:space="preserve"> Macropru is activated </w:t>
      </w:r>
      <w:r w:rsidRPr="0032251D">
        <w:rPr>
          <w:rFonts w:ascii="Aptos" w:eastAsia="Times New Roman" w:hAnsi="Aptos" w:cs="Times New Roman"/>
          <w:i/>
          <w:iCs/>
          <w:kern w:val="0"/>
          <w:sz w:val="22"/>
          <w:szCs w:val="22"/>
          <w:lang w:eastAsia="en-GB"/>
          <w14:ligatures w14:val="none"/>
        </w:rPr>
        <w:t>in response to</w:t>
      </w:r>
      <w:r w:rsidRPr="0032251D">
        <w:rPr>
          <w:rFonts w:ascii="Aptos" w:eastAsia="Times New Roman" w:hAnsi="Aptos" w:cs="Times New Roman"/>
          <w:kern w:val="0"/>
          <w:sz w:val="22"/>
          <w:szCs w:val="22"/>
          <w:lang w:eastAsia="en-GB"/>
          <w14:ligatures w14:val="none"/>
        </w:rPr>
        <w:t xml:space="preserve"> credit booms or asset price increases. So observed correlations between macropru and credit growth are confounded by reverse causality. Clean identification requires either policy rules (predictable activation based on observable triggers) or exogenous variation (cross-country comparison with shared shocks).</w:t>
      </w:r>
    </w:p>
    <w:p w14:paraId="20B4F5B6"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Regulatory perimeter.</w:t>
      </w:r>
      <w:r w:rsidRPr="0032251D">
        <w:rPr>
          <w:rFonts w:ascii="Aptos" w:eastAsia="Times New Roman" w:hAnsi="Aptos" w:cs="Times New Roman"/>
          <w:kern w:val="0"/>
          <w:sz w:val="22"/>
          <w:szCs w:val="22"/>
          <w:lang w:eastAsia="en-GB"/>
          <w14:ligatures w14:val="none"/>
        </w:rPr>
        <w:t xml:space="preserve"> Macropru tools operate within the regulated banking perimeter. Cross-border substitution (lending booked offshore) and NBFI substitution (shadow banking) can defeat them. This is the central limitation of the post-2008 architecture.</w:t>
      </w:r>
    </w:p>
    <w:p w14:paraId="59430D2D" w14:textId="77777777" w:rsidR="00E10F26" w:rsidRPr="0032251D" w:rsidRDefault="00E10F26" w:rsidP="00E10F26">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07D1B286">
          <v:rect id="_x0000_i1030" alt="" style="width:451.3pt;height:.05pt;mso-width-percent:0;mso-height-percent:0;mso-width-percent:0;mso-height-percent:0" o:hralign="center" o:hrstd="t" o:hr="t" fillcolor="#a0a0a0" stroked="f"/>
        </w:pict>
      </w:r>
    </w:p>
    <w:p w14:paraId="7C5D4AD0"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Where dissonance lives</w:t>
      </w:r>
    </w:p>
    <w:p w14:paraId="220C1B1B"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Within L3e:</w:t>
      </w:r>
    </w:p>
    <w:p w14:paraId="457892EE"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Intra-node.</w:t>
      </w:r>
      <w:r w:rsidRPr="0032251D">
        <w:rPr>
          <w:rFonts w:ascii="Aptos" w:eastAsia="Times New Roman" w:hAnsi="Aptos" w:cs="Times New Roman"/>
          <w:kern w:val="0"/>
          <w:sz w:val="22"/>
          <w:szCs w:val="22"/>
          <w:lang w:eastAsia="en-GB"/>
          <w14:ligatures w14:val="none"/>
        </w:rPr>
        <w:t xml:space="preserve"> Components of the macropru stance should pull the same direction. Dissonance fires when:</w:t>
      </w:r>
    </w:p>
    <w:p w14:paraId="3DA9902C" w14:textId="77777777" w:rsidR="00E10F26" w:rsidRPr="0032251D" w:rsidRDefault="00E10F26" w:rsidP="00E10F26">
      <w:pPr>
        <w:numPr>
          <w:ilvl w:val="0"/>
          <w:numId w:val="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Capital requirements tighten but liquidity requirements loosen</w:t>
      </w:r>
    </w:p>
    <w:p w14:paraId="2D0CCE6A" w14:textId="77777777" w:rsidR="00E10F26" w:rsidRPr="0032251D" w:rsidRDefault="00E10F26" w:rsidP="00E10F26">
      <w:pPr>
        <w:numPr>
          <w:ilvl w:val="0"/>
          <w:numId w:val="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CCyB lifts but sectoral RWAs unchanged</w:t>
      </w:r>
    </w:p>
    <w:p w14:paraId="5F577799" w14:textId="77777777" w:rsidR="00E10F26" w:rsidRPr="0032251D" w:rsidRDefault="00E10F26" w:rsidP="00E10F26">
      <w:pPr>
        <w:numPr>
          <w:ilvl w:val="0"/>
          <w:numId w:val="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Aggregate macropru tightens but sectoral measures move opposite</w:t>
      </w:r>
    </w:p>
    <w:p w14:paraId="3994002D" w14:textId="77777777" w:rsidR="00E10F26" w:rsidRPr="0032251D" w:rsidRDefault="00E10F26" w:rsidP="00E10F26">
      <w:pPr>
        <w:numPr>
          <w:ilvl w:val="0"/>
          <w:numId w:val="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Macropru tightens but stress test assumptions become more lenient (covert loosening through changed scenarios)</w:t>
      </w:r>
    </w:p>
    <w:p w14:paraId="7DD77EC8"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 L1 → L3e.</w:t>
      </w:r>
      <w:r w:rsidRPr="0032251D">
        <w:rPr>
          <w:rFonts w:ascii="Aptos" w:eastAsia="Times New Roman" w:hAnsi="Aptos" w:cs="Times New Roman"/>
          <w:kern w:val="0"/>
          <w:sz w:val="22"/>
          <w:szCs w:val="22"/>
          <w:lang w:eastAsia="en-GB"/>
          <w14:ligatures w14:val="none"/>
        </w:rPr>
        <w:t xml:space="preserve"> Macropru should be active when the rule's λ (financial stability weight) is positive and stability indicators are stressed. Dissonance fires when financial stability is degrading but macropru is </w:t>
      </w:r>
      <w:proofErr w:type="gramStart"/>
      <w:r w:rsidRPr="0032251D">
        <w:rPr>
          <w:rFonts w:ascii="Aptos" w:eastAsia="Times New Roman" w:hAnsi="Aptos" w:cs="Times New Roman"/>
          <w:kern w:val="0"/>
          <w:sz w:val="22"/>
          <w:szCs w:val="22"/>
          <w:lang w:eastAsia="en-GB"/>
          <w14:ligatures w14:val="none"/>
        </w:rPr>
        <w:t>passive, or</w:t>
      </w:r>
      <w:proofErr w:type="gramEnd"/>
      <w:r w:rsidRPr="0032251D">
        <w:rPr>
          <w:rFonts w:ascii="Aptos" w:eastAsia="Times New Roman" w:hAnsi="Aptos" w:cs="Times New Roman"/>
          <w:kern w:val="0"/>
          <w:sz w:val="22"/>
          <w:szCs w:val="22"/>
          <w:lang w:eastAsia="en-GB"/>
          <w14:ligatures w14:val="none"/>
        </w:rPr>
        <w:t xml:space="preserve"> tightening pre-emptively without underlying stress.</w:t>
      </w:r>
    </w:p>
    <w:p w14:paraId="4F27C6F3"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 L2 → L3e.</w:t>
      </w:r>
      <w:r w:rsidRPr="0032251D">
        <w:rPr>
          <w:rFonts w:ascii="Aptos" w:eastAsia="Times New Roman" w:hAnsi="Aptos" w:cs="Times New Roman"/>
          <w:kern w:val="0"/>
          <w:sz w:val="22"/>
          <w:szCs w:val="22"/>
          <w:lang w:eastAsia="en-GB"/>
          <w14:ligatures w14:val="none"/>
        </w:rPr>
        <w:t xml:space="preserve"> The λ weight in the loss function justifies macropru deployment. Dissonance fires when financial stability is in the mandate but macropru is dormant, or active without an underlying stability mandate to justify it.</w:t>
      </w:r>
    </w:p>
    <w:p w14:paraId="440841B4"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peer, L3a ↔ L3e.</w:t>
      </w:r>
      <w:r w:rsidRPr="0032251D">
        <w:rPr>
          <w:rFonts w:ascii="Aptos" w:eastAsia="Times New Roman" w:hAnsi="Aptos" w:cs="Times New Roman"/>
          <w:kern w:val="0"/>
          <w:sz w:val="22"/>
          <w:szCs w:val="22"/>
          <w:lang w:eastAsia="en-GB"/>
          <w14:ligatures w14:val="none"/>
        </w:rPr>
        <w:t xml:space="preserve"> Monetary and macropru can intentionally diverge — loose monetary + tight macropru is the post-2008 DM playbook. Dissonance: when divergence is extreme and unaligned with stated framework, or when both move the same direction in ways the framework does not justify.</w:t>
      </w:r>
    </w:p>
    <w:p w14:paraId="0BCD5FAD"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peer, L3b ↔ L3e.</w:t>
      </w:r>
      <w:r w:rsidRPr="0032251D">
        <w:rPr>
          <w:rFonts w:ascii="Aptos" w:eastAsia="Times New Roman" w:hAnsi="Aptos" w:cs="Times New Roman"/>
          <w:kern w:val="0"/>
          <w:sz w:val="22"/>
          <w:szCs w:val="22"/>
          <w:lang w:eastAsia="en-GB"/>
          <w14:ligatures w14:val="none"/>
        </w:rPr>
        <w:t xml:space="preserve"> Balance sheet expansion can build leverage that macropru must counter. Dissonance: QE expanding household credit while macropru loosens LTV caps — instruments working at cross purposes.</w:t>
      </w:r>
    </w:p>
    <w:p w14:paraId="60DC15AF"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L3e → L5a (banks).</w:t>
      </w:r>
      <w:r w:rsidRPr="0032251D">
        <w:rPr>
          <w:rFonts w:ascii="Aptos" w:eastAsia="Times New Roman" w:hAnsi="Aptos" w:cs="Times New Roman"/>
          <w:kern w:val="0"/>
          <w:sz w:val="22"/>
          <w:szCs w:val="22"/>
          <w:lang w:eastAsia="en-GB"/>
          <w14:ligatures w14:val="none"/>
        </w:rPr>
        <w:t xml:space="preserve"> Macropru directly targets bank balance sheets. Dissonance fires when macropru is tightened but bank lending continues to grow — circumvention, grandfathering, or substitution.</w:t>
      </w:r>
    </w:p>
    <w:p w14:paraId="7638D05C"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L3e → L5b (NBFI).</w:t>
      </w:r>
      <w:r w:rsidRPr="0032251D">
        <w:rPr>
          <w:rFonts w:ascii="Aptos" w:eastAsia="Times New Roman" w:hAnsi="Aptos" w:cs="Times New Roman"/>
          <w:kern w:val="0"/>
          <w:sz w:val="22"/>
          <w:szCs w:val="22"/>
          <w:lang w:eastAsia="en-GB"/>
          <w14:ligatures w14:val="none"/>
        </w:rPr>
        <w:t xml:space="preserve"> NBFI sits outside most macropru perimeters. Dissonance fires when macropru tightens on banks while NBFI risk builds — the post-2008 risk migration pattern. This is the central structural weakness of current macropru architecture.</w:t>
      </w:r>
    </w:p>
    <w:p w14:paraId="7C9E47F0"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L3e → L10b (financial stability).</w:t>
      </w:r>
      <w:r w:rsidRPr="0032251D">
        <w:rPr>
          <w:rFonts w:ascii="Aptos" w:eastAsia="Times New Roman" w:hAnsi="Aptos" w:cs="Times New Roman"/>
          <w:kern w:val="0"/>
          <w:sz w:val="22"/>
          <w:szCs w:val="22"/>
          <w:lang w:eastAsia="en-GB"/>
          <w14:ligatures w14:val="none"/>
        </w:rPr>
        <w:t xml:space="preserve"> Direct mapping — macropru targets stability outcomes. Dissonance fires when macropru is active but financial stability indicators worsen — wrong targeting, wrong calibration, or risk migrating outside the regulatory perimeter.</w:t>
      </w:r>
    </w:p>
    <w:p w14:paraId="5F3ABF64" w14:textId="77777777" w:rsidR="00E10F26" w:rsidRPr="0032251D" w:rsidRDefault="00E10F26" w:rsidP="00E10F2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L3e node is the bank's </w:t>
      </w:r>
      <w:r w:rsidRPr="0032251D">
        <w:rPr>
          <w:rFonts w:ascii="Aptos" w:eastAsia="Times New Roman" w:hAnsi="Aptos" w:cs="Times New Roman"/>
          <w:i/>
          <w:iCs/>
          <w:kern w:val="0"/>
          <w:sz w:val="22"/>
          <w:szCs w:val="22"/>
          <w:lang w:eastAsia="en-GB"/>
          <w14:ligatures w14:val="none"/>
        </w:rPr>
        <w:t>systemic risk management instrument</w:t>
      </w:r>
      <w:r w:rsidRPr="0032251D">
        <w:rPr>
          <w:rFonts w:ascii="Aptos" w:eastAsia="Times New Roman" w:hAnsi="Aptos" w:cs="Times New Roman"/>
          <w:kern w:val="0"/>
          <w:sz w:val="22"/>
          <w:szCs w:val="22"/>
          <w:lang w:eastAsia="en-GB"/>
          <w14:ligatures w14:val="none"/>
        </w:rPr>
        <w:t xml:space="preserve">. Operating on a different axis from the rate (cost of money), the balance sheet (quantity of safe assets), and FX intervention (currency price), it operates on the structure and incentives of credit allocation. Dissonance at L3e means the bank's stated financial stability mandate and its actual risk management actions have diverged, or that the macropru perimeter has failed to cover where the risk has </w:t>
      </w:r>
      <w:proofErr w:type="gramStart"/>
      <w:r w:rsidRPr="0032251D">
        <w:rPr>
          <w:rFonts w:ascii="Aptos" w:eastAsia="Times New Roman" w:hAnsi="Aptos" w:cs="Times New Roman"/>
          <w:kern w:val="0"/>
          <w:sz w:val="22"/>
          <w:szCs w:val="22"/>
          <w:lang w:eastAsia="en-GB"/>
          <w14:ligatures w14:val="none"/>
        </w:rPr>
        <w:t>actually accumulated</w:t>
      </w:r>
      <w:proofErr w:type="gramEnd"/>
      <w:r w:rsidRPr="0032251D">
        <w:rPr>
          <w:rFonts w:ascii="Aptos" w:eastAsia="Times New Roman" w:hAnsi="Aptos" w:cs="Times New Roman"/>
          <w:kern w:val="0"/>
          <w:sz w:val="22"/>
          <w:szCs w:val="22"/>
          <w:lang w:eastAsia="en-GB"/>
          <w14:ligatures w14:val="none"/>
        </w:rPr>
        <w:t>.</w:t>
      </w:r>
    </w:p>
    <w:p w14:paraId="7C8335B7" w14:textId="77777777" w:rsidR="00E10F26" w:rsidRPr="00E10F26" w:rsidRDefault="00E10F26" w:rsidP="00E10F26">
      <w:pPr>
        <w:rPr>
          <w:sz w:val="22"/>
          <w:szCs w:val="22"/>
        </w:rPr>
      </w:pPr>
    </w:p>
    <w:sectPr w:rsidR="00E10F26" w:rsidRPr="00E10F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A826A5"/>
    <w:multiLevelType w:val="multilevel"/>
    <w:tmpl w:val="88F2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9934D9"/>
    <w:multiLevelType w:val="multilevel"/>
    <w:tmpl w:val="2BEE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806FC7"/>
    <w:multiLevelType w:val="multilevel"/>
    <w:tmpl w:val="CA84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7A1959"/>
    <w:multiLevelType w:val="multilevel"/>
    <w:tmpl w:val="2562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9640248">
    <w:abstractNumId w:val="2"/>
  </w:num>
  <w:num w:numId="2" w16cid:durableId="1066879712">
    <w:abstractNumId w:val="0"/>
  </w:num>
  <w:num w:numId="3" w16cid:durableId="187332845">
    <w:abstractNumId w:val="1"/>
  </w:num>
  <w:num w:numId="4" w16cid:durableId="20508396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E69"/>
    <w:rsid w:val="00236FC6"/>
    <w:rsid w:val="003B1C21"/>
    <w:rsid w:val="004B4A76"/>
    <w:rsid w:val="00BB3E69"/>
    <w:rsid w:val="00D80E04"/>
    <w:rsid w:val="00E10F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9B91B"/>
  <w15:chartTrackingRefBased/>
  <w15:docId w15:val="{2BF95DF8-60C3-4656-B756-2B972CC79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E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E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E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E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E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E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E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E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E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E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E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E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E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E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E69"/>
    <w:rPr>
      <w:rFonts w:eastAsiaTheme="majorEastAsia" w:cstheme="majorBidi"/>
      <w:color w:val="272727" w:themeColor="text1" w:themeTint="D8"/>
    </w:rPr>
  </w:style>
  <w:style w:type="paragraph" w:styleId="Title">
    <w:name w:val="Title"/>
    <w:basedOn w:val="Normal"/>
    <w:next w:val="Normal"/>
    <w:link w:val="TitleChar"/>
    <w:uiPriority w:val="10"/>
    <w:qFormat/>
    <w:rsid w:val="00BB3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E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E69"/>
    <w:pPr>
      <w:spacing w:before="160"/>
      <w:jc w:val="center"/>
    </w:pPr>
    <w:rPr>
      <w:i/>
      <w:iCs/>
      <w:color w:val="404040" w:themeColor="text1" w:themeTint="BF"/>
    </w:rPr>
  </w:style>
  <w:style w:type="character" w:customStyle="1" w:styleId="QuoteChar">
    <w:name w:val="Quote Char"/>
    <w:basedOn w:val="DefaultParagraphFont"/>
    <w:link w:val="Quote"/>
    <w:uiPriority w:val="29"/>
    <w:rsid w:val="00BB3E69"/>
    <w:rPr>
      <w:i/>
      <w:iCs/>
      <w:color w:val="404040" w:themeColor="text1" w:themeTint="BF"/>
    </w:rPr>
  </w:style>
  <w:style w:type="paragraph" w:styleId="ListParagraph">
    <w:name w:val="List Paragraph"/>
    <w:basedOn w:val="Normal"/>
    <w:uiPriority w:val="34"/>
    <w:qFormat/>
    <w:rsid w:val="00BB3E69"/>
    <w:pPr>
      <w:ind w:left="720"/>
      <w:contextualSpacing/>
    </w:pPr>
  </w:style>
  <w:style w:type="character" w:styleId="IntenseEmphasis">
    <w:name w:val="Intense Emphasis"/>
    <w:basedOn w:val="DefaultParagraphFont"/>
    <w:uiPriority w:val="21"/>
    <w:qFormat/>
    <w:rsid w:val="00BB3E69"/>
    <w:rPr>
      <w:i/>
      <w:iCs/>
      <w:color w:val="0F4761" w:themeColor="accent1" w:themeShade="BF"/>
    </w:rPr>
  </w:style>
  <w:style w:type="paragraph" w:styleId="IntenseQuote">
    <w:name w:val="Intense Quote"/>
    <w:basedOn w:val="Normal"/>
    <w:next w:val="Normal"/>
    <w:link w:val="IntenseQuoteChar"/>
    <w:uiPriority w:val="30"/>
    <w:qFormat/>
    <w:rsid w:val="00BB3E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E69"/>
    <w:rPr>
      <w:i/>
      <w:iCs/>
      <w:color w:val="0F4761" w:themeColor="accent1" w:themeShade="BF"/>
    </w:rPr>
  </w:style>
  <w:style w:type="character" w:styleId="IntenseReference">
    <w:name w:val="Intense Reference"/>
    <w:basedOn w:val="DefaultParagraphFont"/>
    <w:uiPriority w:val="32"/>
    <w:qFormat/>
    <w:rsid w:val="00BB3E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1877</Words>
  <Characters>11433</Characters>
  <Application>Microsoft Office Word</Application>
  <DocSecurity>0</DocSecurity>
  <Lines>184</Lines>
  <Paragraphs>81</Paragraphs>
  <ScaleCrop>false</ScaleCrop>
  <Company/>
  <LinksUpToDate>false</LinksUpToDate>
  <CharactersWithSpaces>13229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Stoddart</dc:creator>
  <cp:keywords/>
  <dc:description/>
  <cp:lastModifiedBy>Justin Stoddart</cp:lastModifiedBy>
  <cp:revision>2</cp:revision>
  <dcterms:created xsi:type="dcterms:W3CDTF">2026-05-16T09:40:00Z</dcterms:created>
  <dcterms:modified xsi:type="dcterms:W3CDTF">2026-05-16T09:40:00Z</dcterms:modified>
</cp:coreProperties>
</file>