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EAE7" w14:textId="0F8D8A1F" w:rsidR="00EB15BB" w:rsidRPr="00EC13A0" w:rsidRDefault="00EB15BB" w:rsidP="00EB15BB">
      <w:pPr>
        <w:jc w:val="center"/>
        <w:rPr>
          <w:rFonts w:asciiTheme="majorHAnsi" w:hAnsiTheme="majorHAnsi"/>
          <w:b/>
          <w:bCs/>
          <w:sz w:val="22"/>
          <w:szCs w:val="22"/>
          <w:lang w:val="en-US"/>
        </w:rPr>
      </w:pPr>
      <w:r w:rsidRPr="00EC13A0">
        <w:rPr>
          <w:rFonts w:asciiTheme="majorHAnsi" w:hAnsiTheme="majorHAnsi"/>
          <w:b/>
          <w:bCs/>
          <w:sz w:val="22"/>
          <w:szCs w:val="22"/>
          <w:lang w:val="en-US"/>
        </w:rPr>
        <w:t>Level 1 Estimation</w:t>
      </w:r>
    </w:p>
    <w:p w14:paraId="71D9AE13" w14:textId="0710C890" w:rsidR="00EB15BB" w:rsidRPr="00EC13A0" w:rsidRDefault="00EB15BB" w:rsidP="00EB15BB">
      <w:pPr>
        <w:jc w:val="center"/>
        <w:rPr>
          <w:rFonts w:asciiTheme="majorHAnsi" w:hAnsiTheme="majorHAnsi"/>
          <w:b/>
          <w:bCs/>
          <w:sz w:val="22"/>
          <w:szCs w:val="22"/>
        </w:rPr>
      </w:pPr>
      <w:r w:rsidRPr="00EC13A0">
        <w:rPr>
          <w:rFonts w:asciiTheme="majorHAnsi" w:hAnsiTheme="majorHAnsi"/>
          <w:b/>
          <w:bCs/>
          <w:sz w:val="22"/>
          <w:szCs w:val="22"/>
        </w:rPr>
        <w:t>L1 ↔ L3a — Reaction Function ↔ Policy Rate</w:t>
      </w:r>
    </w:p>
    <w:p w14:paraId="06362517" w14:textId="7F1EF2C1" w:rsidR="00EC13A0" w:rsidRPr="00EC13A0" w:rsidRDefault="00EC13A0" w:rsidP="00EC13A0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</w:t>
      </w: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orrelation </w:t>
      </w:r>
      <w:r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</w:t>
      </w: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</w:t>
      </w:r>
      <w:r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4E215BB" w14:textId="301DF82D" w:rsidR="0035453E" w:rsidRDefault="00EC13A0" w:rsidP="0035453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It</w:t>
      </w:r>
      <w:r w:rsid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a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clean</w:t>
      </w:r>
      <w:r w:rsid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correlation test 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because both sides are scalar time series that map onto each other one-for-one: the observed policy rate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the rule-implied rate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*_t.</w:t>
      </w:r>
      <w:r w:rsid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="0035453E"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This is genuinely bivariate</w:t>
      </w:r>
      <w:r w:rsid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1714D5B0" w14:textId="0EFCDF3E" w:rsidR="00EB15BB" w:rsidRPr="00EC13A0" w:rsidRDefault="0035453E" w:rsidP="0035453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reaction function produces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_t</w:t>
      </w:r>
      <w:proofErr w:type="spellEnd"/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at each date; the actual rate </w:t>
      </w:r>
      <w:proofErr w:type="spellStart"/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is observed. </w:t>
      </w:r>
      <w:r w:rsidR="00BE6B02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Correlation </w:t>
      </w:r>
      <w:r w:rsidR="00BE6B02"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=</w:t>
      </w:r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how much of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</w:t>
      </w:r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</w:t>
      </w:r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's variation is captured by </w:t>
      </w:r>
      <w:proofErr w:type="spellStart"/>
      <w:r w:rsidRPr="0035453E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</w:t>
      </w:r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If correlation is high, the residual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*_t carries signal (real deviation from rule). If low,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dominated by misspecification noise and the dissonance metric for this edge is diagnostically useless.</w:t>
      </w:r>
      <w: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</w:t>
      </w:r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he estimated reaction function must explain a sufficient share of variation in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for 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to be diagnostic — operationally R² ≥ 0.</w:t>
      </w:r>
      <w:r w:rsidR="00BE6B02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84</w:t>
      </w:r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σ(ε)/σ(</w:t>
      </w:r>
      <w:proofErr w:type="spellStart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35453E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≤ 0.4.</w:t>
      </w:r>
    </w:p>
    <w:p w14:paraId="15567265" w14:textId="77777777" w:rsidR="00EB15BB" w:rsidRPr="00EC13A0" w:rsidRDefault="00EB15BB" w:rsidP="00EB1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R²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of the fitted reaction function on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06F3BAC" w14:textId="77777777" w:rsidR="00EB15BB" w:rsidRPr="00EC13A0" w:rsidRDefault="00EB15BB" w:rsidP="00EB1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σ(ε) / σ(</w:t>
      </w:r>
      <w:proofErr w:type="spellStart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)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residual SD relative to rate SD. Low ratio = high coupling.</w:t>
      </w:r>
    </w:p>
    <w:p w14:paraId="36510B0E" w14:textId="77777777" w:rsidR="00EB15BB" w:rsidRPr="00EC13A0" w:rsidRDefault="00EB15BB" w:rsidP="00EB1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Out-of-sample RMSE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on a held-out window (2015–2019 if calibrated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on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2005–2014).</w:t>
      </w:r>
    </w:p>
    <w:p w14:paraId="5E21DC32" w14:textId="77777777" w:rsidR="00EB15BB" w:rsidRPr="00EC13A0" w:rsidRDefault="00EB15BB" w:rsidP="00EB1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Granger causality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from {π gap, ỹ,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Δq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i^foreign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} 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4094846" w14:textId="2B0CDE01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Sufficiency condition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(in pre-registration): R² &gt; 0.</w:t>
      </w:r>
      <w:r w:rsidR="00BE6B02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84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σ(ε)/σ(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&lt; 0.4 in the normal-regime calibration window. Below this, flag the country-relationship as low-intensity and down</w:t>
      </w:r>
      <w:r w:rsidR="00BE6B02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weight in the composite.</w:t>
      </w:r>
    </w:p>
    <w:p w14:paraId="032684AB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R^{L1↔L3a}</w:t>
      </w:r>
    </w:p>
    <w:p w14:paraId="77BC426C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rule produces an implied rate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*_t. The consistency function maps the joint observation to zero in equilibrium:</w:t>
      </w:r>
    </w:p>
    <w:p w14:paraId="0C4D332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state_t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; θ̂)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</w:t>
      </w:r>
    </w:p>
    <w:p w14:paraId="08B1458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with</w:t>
      </w:r>
    </w:p>
    <w:p w14:paraId="13C603E6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t = </w:t>
      </w:r>
      <w:proofErr w:type="spell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ρ·i</w:t>
      </w:r>
      <w:proofErr w:type="spell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{t−1} + (1−</w:t>
      </w:r>
      <w:proofErr w:type="gram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ρ)·</w:t>
      </w:r>
      <w:proofErr w:type="gram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[r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α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·(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π_{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t+h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} − π*) + β·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ỹ_{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t+k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} +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γ·Δq_t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δ·i_t^foreign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]</w:t>
      </w:r>
    </w:p>
    <w:p w14:paraId="2E904195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6F30BF5A" w14:textId="77777777" w:rsidR="00EB15BB" w:rsidRPr="00EC13A0" w:rsidRDefault="00EB15BB" w:rsidP="00EB1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DM panel: CGG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forward-smoothed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γ = δ = 0.</w:t>
      </w:r>
    </w:p>
    <w:p w14:paraId="3C29D1D0" w14:textId="77777777" w:rsidR="00EB15BB" w:rsidRPr="00EC13A0" w:rsidRDefault="00EB15BB" w:rsidP="00EB1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EM panel: full Aron-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Muellbauer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/ Mohanty-Klau form, γ, δ ≠ 0.</w:t>
      </w:r>
    </w:p>
    <w:p w14:paraId="2B62E49E" w14:textId="77777777" w:rsidR="00EB15BB" w:rsidRPr="00EC13A0" w:rsidRDefault="00EB15BB" w:rsidP="00EB1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Horizons: h = 4 quarters (inflation), k = 0 (output gap).</w:t>
      </w:r>
    </w:p>
    <w:p w14:paraId="0BE942E4" w14:textId="77777777" w:rsidR="00EB15BB" w:rsidRPr="00EC13A0" w:rsidRDefault="00EB15BB" w:rsidP="00EB1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Forecasts: real-time consensus (Bloomberg, SPF, Focus for Brazil) where available;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otherwise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model-based proxies. Document choice country-by-country.</w:t>
      </w:r>
    </w:p>
    <w:p w14:paraId="0EB7CED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3C87CA4E" w14:textId="77777777" w:rsidR="00EB15BB" w:rsidRPr="00EC13A0" w:rsidRDefault="00EB15BB" w:rsidP="00EB1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GMM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with instruments {lagged π, lagged ỹ, commodity prices, lagged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i^foreign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} to address simultaneity.</w:t>
      </w:r>
    </w:p>
    <w:p w14:paraId="4068D9E5" w14:textId="77777777" w:rsidR="00EB15BB" w:rsidRPr="00EC13A0" w:rsidRDefault="00EB15BB" w:rsidP="00EB1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OLS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as comparator under a strict-timing identification (state dated t−1 only).</w:t>
      </w:r>
    </w:p>
    <w:p w14:paraId="117BEB94" w14:textId="77777777" w:rsidR="00EB15BB" w:rsidRPr="00EC13A0" w:rsidRDefault="00EB15BB" w:rsidP="00EB1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Sample split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θ̂ estimated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on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2005–2014 (with 2008–09 dummied);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computed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on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2015–2024 out-of-sample to avoid the trivial fitted-residual-equals-zero problem.</w:t>
      </w:r>
    </w:p>
    <w:p w14:paraId="5A0947E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By construction E[R^{L1↔L3a}] = 0 in the calibration window.</w:t>
      </w:r>
    </w:p>
    <w:p w14:paraId="31178F01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Dissonance function</w:t>
      </w:r>
    </w:p>
    <w:p w14:paraId="6FD5F466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 = |R^{L1↔L3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t| = |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*_t|</w:t>
      </w:r>
    </w:p>
    <w:p w14:paraId="7E0DE17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τ = 2 · σ(ε) on the normal-regime calibration window. Robustness across {1.5σ, 2σ, 2.5σ; 90th, 95th, 99th percentiles}.</w:t>
      </w:r>
    </w:p>
    <w:p w14:paraId="759082F3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carried separately (not folded into D):</w:t>
      </w:r>
    </w:p>
    <w:p w14:paraId="43FC9EEF" w14:textId="77777777" w:rsidR="00EB15BB" w:rsidRPr="00EC13A0" w:rsidRDefault="00EB15BB" w:rsidP="00EB1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Sign(</w:t>
      </w:r>
      <w:proofErr w:type="spellStart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ε_t</w:t>
      </w:r>
      <w:proofErr w:type="spellEnd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)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dovish (ε &lt; 0) vs hawkish (ε &gt; 0) deviation. Asset-class incidence differs.</w:t>
      </w:r>
    </w:p>
    <w:p w14:paraId="4D6A1E00" w14:textId="77777777" w:rsidR="00EB15BB" w:rsidRPr="00EC13A0" w:rsidRDefault="00EB15BB" w:rsidP="00EB1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Persistence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AR(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1) of ε over a 12-meeting window. Coefficient &gt; 0.5 indicates structural off-rule action rather than meeting-noise.</w:t>
      </w:r>
    </w:p>
    <w:p w14:paraId="7B0DC468" w14:textId="77777777" w:rsidR="00EB15BB" w:rsidRPr="00EC13A0" w:rsidRDefault="00EB15BB" w:rsidP="00EB1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Cumulative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Σε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over a 6-meeting rolling window. Captures sustained drift.</w:t>
      </w:r>
    </w:p>
    <w:p w14:paraId="5A34C4E3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Two design notes</w:t>
      </w:r>
    </w:p>
    <w:p w14:paraId="3572231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TVP version vs static-θ̂ version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The static residual conflates rule violation with rule drift. A TVP specification (Kalman filter on the reaction function) cleanly separates them:</w:t>
      </w:r>
    </w:p>
    <w:p w14:paraId="76B8EF09" w14:textId="77777777" w:rsidR="00EB15BB" w:rsidRPr="00EC13A0" w:rsidRDefault="00EB15BB" w:rsidP="00EB1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Var(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θ̂_t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) over time = </w:t>
      </w: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intra-L1 dissonance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(rule itself changing).</w:t>
      </w:r>
    </w:p>
    <w:p w14:paraId="2FB729A0" w14:textId="77777777" w:rsidR="00EB15BB" w:rsidRPr="00EC13A0" w:rsidRDefault="00EB15BB" w:rsidP="00EB1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|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θ̂_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)|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L1 ↔ L3a dissonance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proper (deviation from the time-varying rule).</w:t>
      </w:r>
    </w:p>
    <w:p w14:paraId="20C4B49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Run both. Headline metric uses static θ̂; decomposition uses TVP. The TVP version is also the natural feeder into the intra-L1 estimation, so estimating jointly is efficient.</w:t>
      </w:r>
    </w:p>
    <w:p w14:paraId="3551F4E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Why this relationship anchors the framework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L1 ↔ L3a is the cleanest empirical edge in the system — a single executed rate against a single estimated rule, with the longest literature, the most data, and the smallest measurement ambiguity. It will be the highest-quality node in the composite and should carry the largest pre-registered weight in the theory-weighted aggregation scheme. The remaining L1 ↔ L3 edges (b through f) are progressively harder and noisier; getting L1 ↔ L3a right disciplines everything downstream.</w:t>
      </w:r>
    </w:p>
    <w:p w14:paraId="242D2427" w14:textId="77777777" w:rsidR="00EB15BB" w:rsidRPr="00EC13A0" w:rsidRDefault="00000000" w:rsidP="00EB15BB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661802D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9DC2034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3E62AABC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38949B5D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32B6479F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434EE8F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0C6DC0C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AA276D4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530A1B1C" w14:textId="77777777" w:rsidR="00EB15BB" w:rsidRPr="00EC13A0" w:rsidRDefault="00EB15BB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771E8AC6" w14:textId="77777777" w:rsidR="00EC13A0" w:rsidRPr="00EC13A0" w:rsidRDefault="00EC13A0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54228C46" w14:textId="77777777" w:rsidR="00EC13A0" w:rsidRPr="00EC13A0" w:rsidRDefault="00EC13A0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DDDD0E6" w14:textId="77777777" w:rsidR="00EC13A0" w:rsidRPr="00EC13A0" w:rsidRDefault="00EC13A0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3C885220" w14:textId="77777777" w:rsidR="00EC13A0" w:rsidRPr="00EC13A0" w:rsidRDefault="00EC13A0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657E9D98" w14:textId="77777777" w:rsidR="00EC13A0" w:rsidRPr="00EC13A0" w:rsidRDefault="00EC13A0" w:rsidP="00EB15BB">
      <w:pPr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</w:p>
    <w:p w14:paraId="4E15D297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  <w:t>L1 ↔ L3b — Reaction Function ↔ Balance Sheet</w:t>
      </w:r>
    </w:p>
    <w:p w14:paraId="363CCC30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Intensity test</w:t>
      </w:r>
    </w:p>
    <w:p w14:paraId="5572256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balance sheet only does monetary work when the rule cannot be executed through the rate alone — i.e., at or near the ELB, or when the rule prescribes a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stance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the rate has already exhausted. Intensity is therefore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conditional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on regime: high under ELB-binding, near-zero in normal-rate regimes, and structurally null for countries that have not used the instrument.</w:t>
      </w:r>
    </w:p>
    <w:p w14:paraId="1711C3B3" w14:textId="77777777" w:rsidR="00EB15BB" w:rsidRPr="00EC13A0" w:rsidRDefault="00EB15BB" w:rsidP="00EB1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Event-study elasticity of term premium to QE/QT announcements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basis points of 10y term premium per $100bn duration-equivalent purchase (Krishnamurthy-Vissing-Jorgensen, Gagnon et al. methodology).</w:t>
      </w:r>
    </w:p>
    <w:p w14:paraId="1F8D775B" w14:textId="77777777" w:rsidR="00EB15BB" w:rsidRPr="00EC13A0" w:rsidRDefault="00EB15BB" w:rsidP="00EB1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gramStart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Wu-Xia</w:t>
      </w:r>
      <w:proofErr w:type="gramEnd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/ Krippner shadow rate gap to policy rate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when balance sheet is active and the rate is at the ELB, the shadow rate should diverge meaningfully from the policy rate. A persistent shadow-gap ≥ 100bp indicates the instrument is doing real work.</w:t>
      </w:r>
    </w:p>
    <w:p w14:paraId="1128A2EC" w14:textId="77777777" w:rsidR="00EB15BB" w:rsidRPr="00EC13A0" w:rsidRDefault="00EB15BB" w:rsidP="00EB1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Sensitivity of long-end yields to balance sheet flow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regression of monthly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10y yield) on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duration absorbed) over the active sample.</w:t>
      </w:r>
    </w:p>
    <w:p w14:paraId="5EFEE870" w14:textId="77777777" w:rsidR="00EB15BB" w:rsidRPr="00EC13A0" w:rsidRDefault="00EB15BB" w:rsidP="00EB1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Granger causality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from announced asset-purchase pace to term premium decomposition (Adrian-Crump-Moench).</w:t>
      </w:r>
    </w:p>
    <w:p w14:paraId="7427ED1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Sufficiency condition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(pre-registered): the relationship is estimable only when the country has had at least one episode of active monetary-stance balance sheet operations (excludes market-functioning interventions). For countries failing this test — SA, India, Mexico (largely), Indonesia, Turkey — flag L1 ↔ L3b as structurally inactive and assign zero weight in the composite. This is a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result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for the EM panel, not a measurement gap.</w:t>
      </w:r>
    </w:p>
    <w:p w14:paraId="3ABECA52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R^{L1↔L3b}</w:t>
      </w:r>
    </w:p>
    <w:p w14:paraId="44646C2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rule prescribes a total monetary stance. The actual stance is the combination of the rate and the balance sheet, summarised as a shadow rate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Equilibrium holds when the combined stance equals the rule:</w:t>
      </w:r>
    </w:p>
    <w:p w14:paraId="5B95EF21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b}(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state_t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; θ̂)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</w:t>
      </w:r>
    </w:p>
    <w:p w14:paraId="2203B276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where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*_t is the rule-implied stance from L1, and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the shadow rate:</w:t>
      </w:r>
    </w:p>
    <w:p w14:paraId="02E21AC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· </w:t>
      </w:r>
      <w:r w:rsidRPr="00EC13A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𝟙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{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&gt; ELB} +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WuXia_t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· </w:t>
      </w:r>
      <w:r w:rsidRPr="00EC13A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𝟙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{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≤ ELB}</w:t>
      </w:r>
    </w:p>
    <w:p w14:paraId="372B24A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with a custom rate-equivalent extension for episodes where balance sheet is active above the ELB:</w:t>
      </w:r>
    </w:p>
    <w:p w14:paraId="0D2B0AD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ψ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duration_absorbed_t</w:t>
      </w:r>
      <w:proofErr w:type="spellEnd"/>
    </w:p>
    <w:p w14:paraId="474CC775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ψ is the rate-equivalent conversion factor — typically estimated at ~25bp per $1tn of 10y-duration equivalent in post-2008 DM event studies; pre-registered country-by-country.</w:t>
      </w:r>
    </w:p>
    <w:p w14:paraId="678CA10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190B6FDA" w14:textId="77777777" w:rsidR="00EB15BB" w:rsidRPr="00EC13A0" w:rsidRDefault="00EB15BB" w:rsidP="00EB1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DM panel: Wu-Xia shadow rate as the headline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; Krippner as the robustness comparator.</w:t>
      </w:r>
    </w:p>
    <w:p w14:paraId="66CEC8E6" w14:textId="77777777" w:rsidR="00EB15BB" w:rsidRPr="00EC13A0" w:rsidRDefault="00EB15BB" w:rsidP="00EB1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EM panel: relationship inactive by default. For any active-balance-sheet episode (e.g.,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Banxico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2020 securities programme, BCB 2020 secondary-market interventions), construct a custom rate-equivalent from duration absorbed.</w:t>
      </w:r>
    </w:p>
    <w:p w14:paraId="25FDFD11" w14:textId="77777777" w:rsidR="00EB15BB" w:rsidRPr="00EC13A0" w:rsidRDefault="00EB15BB" w:rsidP="00EB1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Conditional activation: dissonance series populated only when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≤ ELB + 25bp OR balance sheet flow is non-zero in a 3-month window. Outside these regimes, the relationship is not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informative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the metric is set to missing (not zero).</w:t>
      </w:r>
    </w:p>
    <w:p w14:paraId="1BE24307" w14:textId="77777777" w:rsidR="00EB15BB" w:rsidRPr="00EC13A0" w:rsidRDefault="00EB15BB" w:rsidP="00EB1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Stock vs flow: stock measure (total duration absorbed) drives the level dissonance; flow measure (monthly purchase pace minus announced pace) drives episode-level dissonance. Run both.</w:t>
      </w:r>
    </w:p>
    <w:p w14:paraId="523232D1" w14:textId="77777777" w:rsidR="00EB15BB" w:rsidRPr="00EC13A0" w:rsidRDefault="00EB15BB" w:rsidP="00EB1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Labelling: only stance-labelled operations enter the calculation. Market-functioning operations excluded but tracked separately as an intra-L3b signal.</w:t>
      </w:r>
    </w:p>
    <w:p w14:paraId="6AD45C8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6FEDC63C" w14:textId="77777777" w:rsidR="00EB15BB" w:rsidRPr="00EC13A0" w:rsidRDefault="00EB15BB" w:rsidP="00EB1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Wu-Xia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/ Krippner shadow rates taken as externally produced; documented in the data appendix.</w:t>
      </w:r>
    </w:p>
    <w:p w14:paraId="0FDAD1ED" w14:textId="77777777" w:rsidR="00EB15BB" w:rsidRPr="00EC13A0" w:rsidRDefault="00EB15BB" w:rsidP="00EB1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ψ estimated via event-study regression on QE/QT announcement days over a held-out training window (e.g., QE1–QE3 for the Fed, APP / PEPP launches for the ECB).</w:t>
      </w:r>
    </w:p>
    <w:p w14:paraId="58B43AC0" w14:textId="77777777" w:rsidR="00EB15BB" w:rsidRPr="00EC13A0" w:rsidRDefault="00EB15BB" w:rsidP="00EB1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Sample: 2008–2024 for the DM panel; episode-specific windows for any active EM cases.</w:t>
      </w:r>
    </w:p>
    <w:p w14:paraId="153EC6CC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By construction E[R^{L1↔L3b}] = 0 in the active calibration window.</w:t>
      </w:r>
    </w:p>
    <w:p w14:paraId="245D3AEE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Dissonance function</w:t>
      </w:r>
    </w:p>
    <w:p w14:paraId="27AA867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 = |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i^s_t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*_t|, conditional on the relationship being active.</w:t>
      </w:r>
    </w:p>
    <w:p w14:paraId="53F654E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τ = 2 · σ(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ε^s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on the active-regime calibration window. Robustness across {1.5σ, 2σ, 2.5σ}, plus a fixed-magnitude alternative (τ = 50bp absolute).</w:t>
      </w:r>
    </w:p>
    <w:p w14:paraId="2C25216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carried separately:</w:t>
      </w:r>
    </w:p>
    <w:p w14:paraId="277F3852" w14:textId="77777777" w:rsidR="00EB15BB" w:rsidRPr="00EC13A0" w:rsidRDefault="00EB15BB" w:rsidP="00EB1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Sign(</w:t>
      </w:r>
      <w:proofErr w:type="spellStart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ε^s</w:t>
      </w:r>
      <w:proofErr w:type="spellEnd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)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combined stance tighter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ε^s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&gt; 0) or looser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ε^s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&lt; 0) than the rule prescribes. Tighter-than-rule via QT is the modern dissonance pattern; looser-than-rule via dormant balance sheet is the ELB-era dissonance pattern.</w:t>
      </w:r>
    </w:p>
    <w:p w14:paraId="56A07BB4" w14:textId="77777777" w:rsidR="00EB15BB" w:rsidRPr="00EC13A0" w:rsidRDefault="00EB15BB" w:rsidP="00EB1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Instrument-mix gap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at the ELB, the rule prescribing easing while the balance sheet is inactive is a specific dissonance type (the bank refusing to deploy an available instrument). Flagged as a binary indicator alongside D.</w:t>
      </w:r>
    </w:p>
    <w:p w14:paraId="65B68107" w14:textId="77777777" w:rsidR="00EB15BB" w:rsidRPr="00EC13A0" w:rsidRDefault="00EB15BB" w:rsidP="00EB1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Labelling-effect gap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if operations labelled as market-functioning produce stance-like magnitude moves in term premium, this is a separate flag indicating implicit stance the bank is not acknowledging.</w:t>
      </w:r>
    </w:p>
    <w:p w14:paraId="2580E52D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</w:p>
    <w:p w14:paraId="5CE4BDF2" w14:textId="77777777" w:rsidR="00EB15BB" w:rsidRPr="00EC13A0" w:rsidRDefault="00EB15BB" w:rsidP="00EB1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Shadow rate fragility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Wu-Xia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Krippner can disagree by 100–200bp at the same date; both are model-dependent extrapolations of a hypothetical negative rate consistent with the 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observed curve. The disagreement is not noise — it is the model-uncertainty premium on this measurement at the ELB. Report D^{L1↔L3b} under both shadow rates with the disagreement carried as a confidence band. If the two metrics fire together, the signal is robust; if only one fires, the dissonance is model-dependent and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downweighted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4E57DB82" w14:textId="77777777" w:rsidR="00EB15BB" w:rsidRPr="00EC13A0" w:rsidRDefault="00EB15BB" w:rsidP="00EB1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Conditional activation is the structural feature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Unlike L1 ↔ L3a, which is always active, L1 ↔ L3b is active only when the balance sheet is being used as a monetary instrument. For most of the EM panel and for DM in normal-rate regimes, the metric is missing rather than zero. The framework should treat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missingness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zero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as different states: missingness means the instrument is inactive (no diagnostic value); zero means the active instrument is consistent with the rule. The composite weighting scheme must handle this asymmetry — equal-weighting across all countries would bias the EM composite toward false-zero on L3b. Use the activation-mask before aggregation.</w:t>
      </w:r>
    </w:p>
    <w:p w14:paraId="1B8CE7F7" w14:textId="77777777" w:rsidR="00EB15BB" w:rsidRPr="00EC13A0" w:rsidRDefault="00000000" w:rsidP="00EB15BB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5C31E4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7ABAB20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Ready for L1 ↔ L3c when you are.</w:t>
      </w:r>
    </w:p>
    <w:p w14:paraId="1233034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04E37CA5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231595F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8896347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1B2142D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04FD207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29F671CB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5AC7CB5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1D8AC1B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050AFC0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C0BF2B3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23441C23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CDB13B8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2B7D84F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45FECFC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D996A5C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1D408AC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9821F01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  <w:t>L1 ↔ L3c — Reaction Function ↔ Forward Guidance</w:t>
      </w:r>
    </w:p>
    <w:p w14:paraId="1FEC3545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Intensity test</w:t>
      </w:r>
    </w:p>
    <w:p w14:paraId="43C44B9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 xml:space="preserve">Guidance only does monetary work when stated paths move the belly of the curve and shape near-term expectations. Without that, guidance is just words and the consistency function — comparing communicated path to rule path — has nothing to measure. Intensity here is the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belief weight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the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market places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on bank communication.</w:t>
      </w:r>
    </w:p>
    <w:p w14:paraId="5C95C50A" w14:textId="77777777" w:rsidR="00EB15BB" w:rsidRPr="00EC13A0" w:rsidRDefault="00EB15BB" w:rsidP="00EB1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Bauer-Swanson path-factor effect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bp move in 2y / 5y yields per σ of path-factor shock from high-frequency identification around guidance events. Requires liquid OIS.</w:t>
      </w:r>
    </w:p>
    <w:p w14:paraId="78B4E5E6" w14:textId="77777777" w:rsidR="00EB15BB" w:rsidRPr="00EC13A0" w:rsidRDefault="00EB15BB" w:rsidP="00EB1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OIS path vs communicated path regression beta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for banks with explicit numeric paths, the β of the OIS-implied path on the bank's stated path. β near 1 = guidance fully priced; β near 0 = markets discount the bank.</w:t>
      </w:r>
    </w:p>
    <w:p w14:paraId="4EE49D84" w14:textId="77777777" w:rsidR="00EB15BB" w:rsidRPr="00EC13A0" w:rsidRDefault="00EB15BB" w:rsidP="00EB1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Press-conference / statement reactivity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daily yield change variance on guidance event days versus non-event days. Captures whether the corpus has signal at all.</w:t>
      </w:r>
    </w:p>
    <w:p w14:paraId="337BBFA0" w14:textId="77777777" w:rsidR="00EB15BB" w:rsidRPr="00EC13A0" w:rsidRDefault="00EB15BB" w:rsidP="00EB1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NLP sentiment vs realised next-meeting move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does an NLP-extracted hawkishness score predict the sign and size of the next decision? Validates the lexicon and the corpus simultaneously.</w:t>
      </w:r>
    </w:p>
    <w:p w14:paraId="2D731B78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Sufficiency condition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(pre-registered): the relationship is estimable if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any one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holds —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explicit numeric path published (dot plot, repo path, fan chart); (ii) liquid OIS market for clean Bauer-Swanson decomposition; (iii) NLP corpus of ≥ 30 statements over the sample plus a validated central-bank-specific lexicon. Countries failing all three are flagged as not estimable on L1 ↔ L3c.</w:t>
      </w:r>
    </w:p>
    <w:p w14:paraId="33F182DE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R^{L1↔L3c}</w:t>
      </w:r>
    </w:p>
    <w:p w14:paraId="533641E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The rule defines an implied policy path by forward iteration. The bank communicates a path through statements, projections, and press conferences. Equilibrium holds when the communicated path equals the rule-implied path given the bank's own state forecast:</w:t>
      </w:r>
    </w:p>
    <w:p w14:paraId="638C4C0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c}(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path^rule_t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; θ̂) = </w:t>
      </w:r>
      <w:r w:rsidRPr="00EC13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‖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path^rule_t</w:t>
      </w:r>
      <w:proofErr w:type="spellEnd"/>
      <w:r w:rsidRPr="00EC13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‖</w:t>
      </w:r>
    </w:p>
    <w:p w14:paraId="184CCEE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with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path^rule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_{</w:t>
      </w:r>
      <w:proofErr w:type="spellStart"/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t,h</w:t>
      </w:r>
      <w:proofErr w:type="spellEnd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} =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state forecast at horizon h; θ̂) for h = 1, …, 8 quarters, and </w:t>
      </w:r>
      <w:r w:rsidRPr="00EC13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‖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·</w:t>
      </w:r>
      <w:r w:rsidRPr="00EC13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‖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either the L2 norm over the horizon vector or evaluation at a fixed point (default: 24-month-ahead).</w:t>
      </w:r>
    </w:p>
    <w:p w14:paraId="55AB510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Three operational versions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depending on country coverage:</w:t>
      </w:r>
    </w:p>
    <w:p w14:paraId="284F9DAF" w14:textId="77777777" w:rsidR="00EB15BB" w:rsidRPr="00EC13A0" w:rsidRDefault="00EB15BB" w:rsidP="00EB1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Numeric-path version (DM with projections)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taken directly from Fed SEP / dot plot,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Riksbank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/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Norges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Bank / RBNZ repo path, BoE fan-chart conditional path, BCB inflation-report path. Direct vector comparison.</w:t>
      </w:r>
    </w:p>
    <w:p w14:paraId="116101E4" w14:textId="77777777" w:rsidR="00EB15BB" w:rsidRPr="00EC13A0" w:rsidRDefault="00EB15BB" w:rsidP="00EB1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OIS-implied version (deep-OIS markets)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inferred from the OIS curve to 24 months. Blends market expectations with guidance content — not pure guidance, useful comparator.</w:t>
      </w:r>
    </w:p>
    <w:p w14:paraId="51924DF6" w14:textId="77777777" w:rsidR="00EB15BB" w:rsidRPr="00EC13A0" w:rsidRDefault="00EB15BB" w:rsidP="00EB1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NLP version (most EMs, SARB)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hawk_score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EC13A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∈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[−1, +1] from a validated lexicon (Loughran-McDonald extended) plus an LLM zero-shot classifier ensemble. Mapped to a direction-and-magnitude rule equivalent — sign(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_{t+1} − </w:t>
      </w:r>
      <w:proofErr w:type="spell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) scaled by |</w:t>
      </w:r>
      <w:proofErr w:type="spell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_{t+1}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| / σ(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74C5B0C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Delphic-Odyssean decomposition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(where separable — requires bank-published state forecasts):</w:t>
      </w:r>
    </w:p>
    <w:p w14:paraId="5F1CB1E4" w14:textId="77777777" w:rsidR="00EB15BB" w:rsidRPr="00EC13A0" w:rsidRDefault="00EB15BB" w:rsidP="00EB1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Naïve dissonance: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D^naive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rule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consensus forecast).</w:t>
      </w:r>
    </w:p>
    <w:p w14:paraId="6AE1569C" w14:textId="77777777" w:rsidR="00EB15BB" w:rsidRPr="00EC13A0" w:rsidRDefault="00EB15BB" w:rsidP="00EB1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Delphic component: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D^Delphic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rule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bank forecast)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rule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consensus forecast). Informational disagreement.</w:t>
      </w:r>
    </w:p>
    <w:p w14:paraId="61C49641" w14:textId="77777777" w:rsidR="00EB15BB" w:rsidRPr="00EC13A0" w:rsidRDefault="00EB15BB" w:rsidP="00EB1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Odyssean component: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D^Odyssean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rule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(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bank forecast). Commitment to deviate from the rule.</w:t>
      </w:r>
    </w:p>
    <w:p w14:paraId="4DC537EB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Only Odyssean dissonance is a credibility signal in the strong sense.</w:t>
      </w:r>
    </w:p>
    <w:p w14:paraId="21FF1953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527B4EA8" w14:textId="77777777" w:rsidR="00EB15BB" w:rsidRPr="00EC13A0" w:rsidRDefault="00EB15BB" w:rsidP="00EB1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DM panel: Fed (numeric SEP since 2012), ECB (NLP + Bauer-Swanson path factor), BoE (fan chart since 2013 + NLP), BoJ (NLP + YCC as price-level guidance),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Riksbank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/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Norges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Bank / RBA / BoC (numeric paths where published).</w:t>
      </w:r>
    </w:p>
    <w:p w14:paraId="5F856423" w14:textId="77777777" w:rsidR="00EB15BB" w:rsidRPr="00EC13A0" w:rsidRDefault="00EB15BB" w:rsidP="00EB1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EM panel: BCB (numeric inflation-report path + OIS-implied), SARB (NLP only — MPC statement + Governor press conference),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Banxico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/ RBI / BI / TCMB /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BCCh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(NLP only).</w:t>
      </w:r>
    </w:p>
    <w:p w14:paraId="1B5F7C24" w14:textId="77777777" w:rsidR="00EB15BB" w:rsidRPr="00EC13A0" w:rsidRDefault="00EB15BB" w:rsidP="00EB1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Horizon: 8 quarters default; 4Q and 12Q as robustness.</w:t>
      </w:r>
    </w:p>
    <w:p w14:paraId="392A3A5C" w14:textId="77777777" w:rsidR="00EB15BB" w:rsidRPr="00EC13A0" w:rsidRDefault="00EB15BB" w:rsidP="00EB1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NLP method: ensemble of Loughran-McDonald-extended dictionary plus an LLM-based zero-shot classifier; agreement between the two is itself a confidence weight.</w:t>
      </w:r>
    </w:p>
    <w:p w14:paraId="240DA7A0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3AE4748D" w14:textId="77777777" w:rsidR="00EB15BB" w:rsidRPr="00EC13A0" w:rsidRDefault="00EB15BB" w:rsidP="00EB1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path^rule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simulated by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forward-iterating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the L1 estimated rule (from L1 ↔ L3a) conditional on consensus or bank state forecasts.</w:t>
      </w:r>
    </w:p>
    <w:p w14:paraId="69580D60" w14:textId="77777777" w:rsidR="00EB15BB" w:rsidRPr="00EC13A0" w:rsidRDefault="00EB15BB" w:rsidP="00EB1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NLP lexicon trained on a held-out hand-labelled corpus per country (target ≥ 200 sentences); validated by next-meeting-move regression in the intensity test.</w:t>
      </w:r>
    </w:p>
    <w:p w14:paraId="72061901" w14:textId="77777777" w:rsidR="00EB15BB" w:rsidRPr="00EC13A0" w:rsidRDefault="00EB15BB" w:rsidP="00EB1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Sample: 2005–2024; pre-2012 Fed handled separately as the dot plot did not exist.</w:t>
      </w:r>
    </w:p>
    <w:p w14:paraId="6EFA223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By construction E[R^{L1↔L3c}] = 0 on the calibration window where the NLP score is centred and path comparisons are differenced.</w:t>
      </w:r>
    </w:p>
    <w:p w14:paraId="0D006723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Dissonance function</w:t>
      </w:r>
    </w:p>
    <w:p w14:paraId="63816F9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 = </w:t>
      </w:r>
      <w:r w:rsidRPr="00EC13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‖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path^com_t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path^rule_t</w:t>
      </w:r>
      <w:proofErr w:type="spellEnd"/>
      <w:r w:rsidRPr="00EC13A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‖</w:t>
      </w:r>
    </w:p>
    <w:p w14:paraId="77A412A8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τ = 2 · σ(D) on the normal-regime calibration window. Robustness across {1.5σ, 2σ, 2.5σ}, plus a horizon-decomposed threshold (separate τ for 1–2y and 3–5y).</w:t>
      </w:r>
    </w:p>
    <w:p w14:paraId="6C6CA67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carried separately:</w:t>
      </w:r>
    </w:p>
    <w:p w14:paraId="1F3A6784" w14:textId="77777777" w:rsidR="00EB15BB" w:rsidRPr="00EC13A0" w:rsidRDefault="00EB15BB" w:rsidP="00EB1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Sign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hawkish-vs-rule guidance (commitment to over-tightening) vs dovish-vs-rule (over-easing). Hawkish dissonance flattens the belly; dovish steepens. Different asset incidence.</w:t>
      </w:r>
    </w:p>
    <w:p w14:paraId="1EA1EF6C" w14:textId="77777777" w:rsidR="00EB15BB" w:rsidRPr="00EC13A0" w:rsidRDefault="00EB15BB" w:rsidP="00EB1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Horizon profile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front-loaded (Q1–Q4) vs back-loaded (Q5–Q8) dissonance. Front-loaded captures next-meeting expectations; back-loaded captures terminal-rate / regime expectations. Asset implications differ markedly.</w:t>
      </w:r>
    </w:p>
    <w:p w14:paraId="456ACC1D" w14:textId="77777777" w:rsidR="00EB15BB" w:rsidRPr="00EC13A0" w:rsidRDefault="00EB15BB" w:rsidP="00EB1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Delphic-Odyssean split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(when separable) — only Odyssean feeds the credibility module of the composite.</w:t>
      </w:r>
    </w:p>
    <w:p w14:paraId="2D25521F" w14:textId="77777777" w:rsidR="00EB15BB" w:rsidRPr="00EC13A0" w:rsidRDefault="00EB15BB" w:rsidP="00EB1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Source disagreement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when statement, press conference, and projection disagree (the intra-L3c signal), R^{L1↔L3c} is computed against each source separately; max-divergence and mean-divergence both carried.</w:t>
      </w:r>
    </w:p>
    <w:p w14:paraId="0BCC4416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</w:p>
    <w:p w14:paraId="365CA4C8" w14:textId="77777777" w:rsidR="00EB15BB" w:rsidRPr="00EC13A0" w:rsidRDefault="00EB15BB" w:rsidP="00EB15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Three estimation tiers create unit non-comparability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Numeric-path dissonance is in basis points, NLP version is in standardised sentiment units, OIS-implied is a hybrid. Cross-country aggregation requires standardisation — convert each to a country-specific z-score against its own calibration distribution before composite aggregation. Reporting in raw units would mechanically privilege DM in the composite even when EM dissonance is structurally larger.</w:t>
      </w:r>
    </w:p>
    <w:p w14:paraId="1B2A6D9E" w14:textId="77777777" w:rsidR="00EB15BB" w:rsidRPr="00EC13A0" w:rsidRDefault="00EB15BB" w:rsidP="00EB15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Credibility is a moderator, not the metric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Guidance dissonance carries more economic weight when credibility stock is high — a credible bank violating prior commitment is more informative than a low-credibility bank doing the same. Don't bake credibility into D directly; track it as a separate moderator (long-run BEI anchoring, dot dispersion, historical guidance-honour rate) and interact at the asset-return regression stage. This preserves D as a clean structural object while letting downstream tests pick up the conditioning.</w:t>
      </w:r>
    </w:p>
    <w:p w14:paraId="45BBFB86" w14:textId="77777777" w:rsidR="00EB15BB" w:rsidRPr="00EC13A0" w:rsidRDefault="00EB15BB" w:rsidP="00EB15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Direct line to intra-L3c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The intra-L3c metric (statement–presser–dot disagreement) is the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input variance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to the L1 ↔ L3c metric. When the bank is internally inconsistent on L3c, the L1 ↔ L3c reading depends entirely on which source is chosen. Treat max-divergence as the headline metric and mean-divergence as the conservative comparator; report both.</w:t>
      </w:r>
    </w:p>
    <w:p w14:paraId="57AD1533" w14:textId="77777777" w:rsidR="00EB15BB" w:rsidRPr="00EC13A0" w:rsidRDefault="00000000" w:rsidP="00EB15BB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78509D7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6133758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Ready for L1 ↔ L3d when you are.</w:t>
      </w:r>
    </w:p>
    <w:p w14:paraId="642156E2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3418138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7E4FD3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033B4F70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9854AE4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9A6A7A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3575D67D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7A6962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3E23D21E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67BE0055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  <w:t>L1 ↔ L3d — Reaction Function ↔ FX Intervention</w:t>
      </w:r>
    </w:p>
    <w:p w14:paraId="7F1FA420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Intensity test</w:t>
      </w:r>
    </w:p>
    <w:p w14:paraId="7BE86B5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Intervention is a complement to the rate channel for executing the rule's FX response (the δ coefficient). Intensity here asks whether intervention is systematic relative to FX deviations — whether the bank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actually deploys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the instrument in a predictable, rule-shaped way. For most of the DM panel intensity is structurally near-zero; for the EM panel it varies markedly.</w:t>
      </w:r>
    </w:p>
    <w:p w14:paraId="1E6BC5D9" w14:textId="77777777" w:rsidR="00EB15BB" w:rsidRPr="00EC13A0" w:rsidRDefault="00EB15BB" w:rsidP="00EB1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Intervention reaction-function R²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regress observed intervention on {FX gap from REER target, FX vol, reserves relative to ARA, rate-channel residual from L1 ↔ L3a}. Captures the systematic component of intervention.</w:t>
      </w:r>
    </w:p>
    <w:p w14:paraId="2791E170" w14:textId="77777777" w:rsidR="00EB15BB" w:rsidRPr="00EC13A0" w:rsidRDefault="00EB15BB" w:rsidP="00EB1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Granger causality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from FX gap to intervention flow. A bank that intervenes systematically should show this lead-lag pattern; a discretionary or signalling-only intervener will not.</w:t>
      </w:r>
    </w:p>
    <w:p w14:paraId="228243BB" w14:textId="77777777" w:rsidR="00EB15BB" w:rsidRPr="00EC13A0" w:rsidRDefault="00EB15BB" w:rsidP="00EB1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Share of FX variance absorbed by intervention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event-study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around announced intervention windows, scaled by daily FX turnover. Measures whether the instrument moves the price.</w:t>
      </w:r>
    </w:p>
    <w:p w14:paraId="7A6D1FB1" w14:textId="77777777" w:rsidR="00EB15BB" w:rsidRPr="00EC13A0" w:rsidRDefault="00EB15BB" w:rsidP="00EB1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 jure vs de facto regime gap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Calvo-Reinhart classification of the stated regime against observed intervention pattern. Large gap = bank claims to float but intervenes systematically; itself a credibility-relevant intensity signal.</w:t>
      </w:r>
    </w:p>
    <w:p w14:paraId="4765C36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Sufficiency condition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(pre-registered): the relationship is estimable when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δ ≠ 0 in the L1 estimation (FX is in the reaction function), AND (ii) at least 20 monthly observations of non-zero intervention over the sample. DM panel — except BoJ and SNB — fails (ii) structurally; flag as inactive. For SA, document the marginal case: SARB δ is estimable but intervention is rare; expect low-intensity flag.</w:t>
      </w:r>
    </w:p>
    <w:p w14:paraId="26075603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R^{L1↔L3d}</w:t>
      </w:r>
    </w:p>
    <w:p w14:paraId="027B7F05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The rule prescribes a total FX response. This response can be executed through two instruments — the rate (via δ) and direct intervention. Equilibrium holds when actual intervention equals the rule-implied intervention conditional on the rate channel:</w:t>
      </w:r>
    </w:p>
    <w:p w14:paraId="56C492B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d}(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INV_t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; θ̂, π̂)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INV_t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INV*_t</w:t>
      </w:r>
    </w:p>
    <w:p w14:paraId="4E3C9321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where INV*_t is the intervention-rule implied magnitude:</w:t>
      </w:r>
    </w:p>
    <w:p w14:paraId="04E52904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INV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_t</w:t>
      </w:r>
      <w:proofErr w:type="spell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= π_0 + π_1 · (</w:t>
      </w:r>
      <w:proofErr w:type="spell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s_t</w:t>
      </w:r>
      <w:proofErr w:type="spell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− </w:t>
      </w:r>
      <w:proofErr w:type="spell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+ π_2 · σ_30d(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) + π_3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Reserves_t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/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ARA_t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π_4 · 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</w:t>
      </w:r>
    </w:p>
    <w:p w14:paraId="666331A1" w14:textId="77777777" w:rsidR="00EB15BB" w:rsidRPr="00EC13A0" w:rsidRDefault="00EB15BB" w:rsidP="00EB1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s*_t) is the FX deviation from REER target or equilibrium REER (BEER / FEER specification).</w:t>
      </w:r>
    </w:p>
    <w:p w14:paraId="0673C9A7" w14:textId="77777777" w:rsidR="00EB15BB" w:rsidRPr="00EC13A0" w:rsidRDefault="00EB15BB" w:rsidP="00EB1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σ_30d(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captures intervention-against-volatility behaviour (smoothing intervention).</w:t>
      </w:r>
    </w:p>
    <w:p w14:paraId="230BCF2E" w14:textId="77777777" w:rsidR="00EB15BB" w:rsidRPr="00EC13A0" w:rsidRDefault="00EB15BB" w:rsidP="00EB1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Reserves / ARA: the binding-constraint regressor — intervention slows as reserves approach the IMF ARA threshold.</w:t>
      </w:r>
    </w:p>
    <w:p w14:paraId="1717E471" w14:textId="77777777" w:rsidR="00EB15BB" w:rsidRPr="00EC13A0" w:rsidRDefault="00EB15BB" w:rsidP="00EB1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t: the Taylor residual. Captures whether intervention substitutes for rate action when the rate is constrained.</w:t>
      </w:r>
    </w:p>
    <w:p w14:paraId="0AA37688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3C06EAB7" w14:textId="77777777" w:rsidR="00EB15BB" w:rsidRPr="00EC13A0" w:rsidRDefault="00EB15BB" w:rsidP="00EB1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EM panel: estimate INV* by Tobit (intervention is bounded at zero for non-intervention periods and at reserves for the upper bound). Two-stage variant — logit for the intervention decision, OLS for conditional magnitude — as comparator.</w:t>
      </w:r>
    </w:p>
    <w:p w14:paraId="706747DE" w14:textId="77777777" w:rsidR="00EB15BB" w:rsidRPr="00EC13A0" w:rsidRDefault="00EB15BB" w:rsidP="00EB1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INV measurement: spot intervention for all;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plus forward book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for BCB,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Banxico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Bank Indonesia where disclosed. Document the forward-book invisibility for any country without disclosure.</w:t>
      </w:r>
    </w:p>
    <w:p w14:paraId="453D043D" w14:textId="77777777" w:rsidR="00EB15BB" w:rsidRPr="00EC13A0" w:rsidRDefault="00EB15BB" w:rsidP="00EB1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Sterilisation classification: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Δbase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relative to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Δreserves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Carry as a binary covariate.</w:t>
      </w:r>
    </w:p>
    <w:p w14:paraId="50D863E9" w14:textId="77777777" w:rsidR="00EB15BB" w:rsidRPr="00EC13A0" w:rsidRDefault="00EB15BB" w:rsidP="00EB1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DM panel: relationship inactive by default. BoJ and SNB estimated on active episodes only (2010–2011, 2022 for BoJ; 2011–2015 for the EUR/CHF floor period for SNB).</w:t>
      </w:r>
    </w:p>
    <w:p w14:paraId="187DD3FD" w14:textId="77777777" w:rsidR="00EB15BB" w:rsidRPr="00EC13A0" w:rsidRDefault="00EB15BB" w:rsidP="00EB1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SARB specifically: estimate with explicit low-intensity flag; document zero-coefficient null as the leading hypothesis. The relationship is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kept in the framework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but expected to contribute little to the SA composite.</w:t>
      </w:r>
    </w:p>
    <w:p w14:paraId="2E3A4B6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0D6C8F7C" w14:textId="77777777" w:rsidR="00EB15BB" w:rsidRPr="00EC13A0" w:rsidRDefault="00EB15BB" w:rsidP="00EB1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Tobit / two-stage Heckman-style intervention reaction function.</w:t>
      </w:r>
    </w:p>
    <w:p w14:paraId="18C93754" w14:textId="77777777" w:rsidR="00EB15BB" w:rsidRPr="00EC13A0" w:rsidRDefault="00EB15BB" w:rsidP="00EB1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Reserves data must be decomposed: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ΔReserves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= NI + valuation + interest + SDR. Only NI enters as intervention proxy.</w:t>
      </w:r>
    </w:p>
    <w:p w14:paraId="7A5C5C97" w14:textId="77777777" w:rsidR="00EB15BB" w:rsidRPr="00EC13A0" w:rsidRDefault="00EB15BB" w:rsidP="00EB1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BCB daily auction data is the gold-standard sample for parameter calibration; transferred to other EMs as priors with country-specific re-estimation.</w:t>
      </w:r>
    </w:p>
    <w:p w14:paraId="44590D35" w14:textId="77777777" w:rsidR="00EB15BB" w:rsidRPr="00EC13A0" w:rsidRDefault="00EB15BB" w:rsidP="00EB1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Sample: 2005–2024; structural-break dummies for clearly episodic regime changes (Turkey post-2018, Argentina post-2018).</w:t>
      </w:r>
    </w:p>
    <w:p w14:paraId="275C89F0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By construction E[R^{L1↔L3d}] = 0 in the active-intervention calibration window.</w:t>
      </w:r>
    </w:p>
    <w:p w14:paraId="2424944E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3. Dissonance function</w:t>
      </w:r>
    </w:p>
    <w:p w14:paraId="2A5A3F31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 = |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INV_t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INV*_t| /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Reserves_t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(normalised by gross reserves to make magnitudes cross-country comparable)</w:t>
      </w:r>
    </w:p>
    <w:p w14:paraId="6336FFE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τ = 2 · σ(D) on the active calibration window. Robustness across {1.5σ, 2σ, 2.5σ}, plus a fixed-magnitude alternative (τ = 1% of reserves per month).</w:t>
      </w:r>
    </w:p>
    <w:p w14:paraId="50036D13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carried separately:</w:t>
      </w:r>
    </w:p>
    <w:p w14:paraId="2E7C41ED" w14:textId="77777777" w:rsidR="00EB15BB" w:rsidRPr="00EC13A0" w:rsidRDefault="00EB15BB" w:rsidP="00EB1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Sign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intervention buying USD (resisting domestic-currency strength) vs selling USD (resisting weakness). Different asset incidence — selling-USD dissonance is the EM stress signature; buying-USD dissonance is rare and typically points to FX management or reserve accumulation.</w:t>
      </w:r>
    </w:p>
    <w:p w14:paraId="6FF9FAA2" w14:textId="77777777" w:rsidR="00EB15BB" w:rsidRPr="00EC13A0" w:rsidRDefault="00EB15BB" w:rsidP="00EB1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Reserve-constraint proximity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Reserves / ARA below 1.0 makes intervention unsustainable irrespective of rule. Binary flag carried alongside D. The classic Turkey 2018–2022 pattern.</w:t>
      </w:r>
    </w:p>
    <w:p w14:paraId="64111B60" w14:textId="77777777" w:rsidR="00EB15BB" w:rsidRPr="00EC13A0" w:rsidRDefault="00EB15BB" w:rsidP="00EB1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Sterilisation status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sterilised vs unsterilised intervention have different monetary-stance implications. Unsterilised intervention without rule justification creates joint L1 ↔ L3a / L1 ↔ L3d dissonance.</w:t>
      </w:r>
    </w:p>
    <w:p w14:paraId="7F541BBF" w14:textId="77777777" w:rsidR="00EB15BB" w:rsidRPr="00EC13A0" w:rsidRDefault="00EB15BB" w:rsidP="00EB1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Spot vs forward mix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quiet FX defence via forward book outside headline reserves is itself a separate flag (intra-L3d) that conditions the L1 ↔ L3d reading.</w:t>
      </w:r>
    </w:p>
    <w:p w14:paraId="58B9617A" w14:textId="77777777" w:rsidR="00EB15BB" w:rsidRPr="00EC13A0" w:rsidRDefault="00EB15BB" w:rsidP="00EB1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 jure / de facto gap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stated regime is float, observed pattern is heavy intervention. Persistent gap is a structural credibility signal even when individual interventions look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rule-consistent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ADD5F28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</w:p>
    <w:p w14:paraId="79987990" w14:textId="77777777" w:rsidR="00EB15BB" w:rsidRPr="00EC13A0" w:rsidRDefault="00EB15BB" w:rsidP="00EB15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DM/EM asymmetry is the dominant structural feature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For most of the DM panel L1 ↔ L3d is null by construction — banks do not intervene. This is not a measurement gap, it is a regime feature, and it produces the cleanest DM/EM divergence in the entire framework. The composite weighting must treat DM-inactive as missing rather than zero, otherwise the EM composite is mechanically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inflated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DM mechanically deflated on this edge.</w:t>
      </w:r>
    </w:p>
    <w:p w14:paraId="697C8910" w14:textId="77777777" w:rsidR="00EB15BB" w:rsidRPr="00EC13A0" w:rsidRDefault="00EB15BB" w:rsidP="00EB15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Forward-book invisibility is the dominant measurement risk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BCB's forward book has peaked above $70bn — larger than headline intervention flows. Without forward-book disclosure for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Banxico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BI, RBI, and others, the intervention magnitude is systematically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underestimated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and D is systematically biased toward zero. Where forward-book data is not available, flag the country as low-confidence on L3d and report a wide confidence band.</w:t>
      </w:r>
    </w:p>
    <w:p w14:paraId="69A31F79" w14:textId="77777777" w:rsidR="00EB15BB" w:rsidRPr="00EC13A0" w:rsidRDefault="00EB15BB" w:rsidP="00EB15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Reserves constraint is itself the dissonance signal in extremis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The standard D metric flags off-rule intervention magnitude. The reserves-binding case is the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terminal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dissonance — the bank running through its constraint, which often precedes regime change (Turkey 2018–2022, Argentina 2018–2023). Carry the Reserves / ARA threshold as a binary alongside D and let the composite treat them additively. In some empirical specifications, reserves-binding will fire before magnitude-dissonance does — both are needed.</w:t>
      </w:r>
    </w:p>
    <w:p w14:paraId="31FB5E0B" w14:textId="77777777" w:rsidR="00EB15BB" w:rsidRPr="00EC13A0" w:rsidRDefault="00000000" w:rsidP="00EB15BB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1F46110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35393DB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Ready for L1 ↔ L3e when you are.</w:t>
      </w:r>
    </w:p>
    <w:p w14:paraId="6DE97BBE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ED0875D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32B7E3A0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F3BEA27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24F3D06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C78DA3E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02B9AD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2B73278F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  <w:t>L1 ↔ L3e — Reaction Function ↔ Macroprudential Policy</w:t>
      </w:r>
    </w:p>
    <w:p w14:paraId="7BC16B38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Intensity test</w:t>
      </w:r>
    </w:p>
    <w:p w14:paraId="463B2E1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sits awkwardly relative to L1 — the standard Taylor rule has no financial stability term, so the relationship is structurally indirect. Intensity here is whether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deployment is systematic relative to financial stability state variables, and whether it co-moves coherently with the monetary stance. The instrument is heterogeneous (capital, liquidity, borrower-based, sectoral, RR), so intensity is also a function of measurement quality.</w:t>
      </w:r>
    </w:p>
    <w:p w14:paraId="67650897" w14:textId="77777777" w:rsidR="00EB15BB" w:rsidRPr="00EC13A0" w:rsidRDefault="00EB15BB" w:rsidP="00EB1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Pseudo-R² of an estimated </w:t>
      </w:r>
      <w:proofErr w:type="spellStart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reaction function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ordered-probit fit on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iMaPP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actions regressed on {credit-to-GDP gap, house price gap, corporate/household DSR, NBFI growth, FX-credit share}.</w:t>
      </w:r>
    </w:p>
    <w:p w14:paraId="2A0784F0" w14:textId="77777777" w:rsidR="00EB15BB" w:rsidRPr="00EC13A0" w:rsidRDefault="00EB15BB" w:rsidP="00EB1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Correlation between credit-to-GDP gap and net </w:t>
      </w:r>
      <w:proofErr w:type="spellStart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calibration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Basel-reference test: does the buffer track the gap it was designed to respond to?</w:t>
      </w:r>
    </w:p>
    <w:p w14:paraId="7D83BD3B" w14:textId="77777777" w:rsidR="00EB15BB" w:rsidRPr="00EC13A0" w:rsidRDefault="00EB15BB" w:rsidP="00EB1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Granger causality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from financial stability indicators →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actions. Captures whether the bank responds systematically or discretionarily.</w:t>
      </w:r>
    </w:p>
    <w:p w14:paraId="41FF7CAA" w14:textId="77777777" w:rsidR="00EB15BB" w:rsidRPr="00EC13A0" w:rsidRDefault="00EB15BB" w:rsidP="00EB1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Sub-tool coherence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within-period correlation across capital, borrower-based, and liquidity sub-indices. Low coherence suggests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being used for unrelated objectives and the aggregate stance metric is unreliable.</w:t>
      </w:r>
    </w:p>
    <w:p w14:paraId="015E65B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Sufficiency condition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(pre-registered): the relationship is estimable when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) the country has ≥ 10 tightening/loosening actions in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iMaPP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over the sample AND (ii) the framework documents an explicit financial stability mandate (λ &gt; 0 inferable from monetary law / policy framework). Countries failing either flagged inactive. SA is the marginal case — framework exists, deployment minimal; document low-intensity flag and expect near-null D.</w:t>
      </w:r>
    </w:p>
    <w:p w14:paraId="1D71F7A7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R^{L1↔L3e}</w:t>
      </w:r>
    </w:p>
    <w:p w14:paraId="38367C0A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monetary rule (L1) responds to inflation and output;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responds to financial stability indicators. The two are coupled through the bank's loss function via the λ weight. Equilibrium holds when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deployment matches what a </w:t>
      </w:r>
      <w:proofErr w:type="spellStart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 xml:space="preserve"> reaction function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would prescribe given financial stability state and the monetary rule's stance:</w:t>
      </w:r>
    </w:p>
    <w:p w14:paraId="1D415DB8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e}(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FS_state_t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t; ω̂)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MP*_t</w:t>
      </w:r>
    </w:p>
    <w:p w14:paraId="6FB5220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where MP*_t is the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-rule implied stance:</w:t>
      </w:r>
    </w:p>
    <w:p w14:paraId="12E82E2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MP*_t = ω_0 + ω_1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cred_gap_t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ω_2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house_gap_t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ω_3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DSR_t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ω_4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NBFI_growth_t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ω_5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FX_credit_share_t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ω_6 · 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</w:t>
      </w:r>
    </w:p>
    <w:p w14:paraId="703E86EB" w14:textId="77777777" w:rsidR="00EB15BB" w:rsidRPr="00EC13A0" w:rsidRDefault="00EB15BB" w:rsidP="00EB1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cred_gap_t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BIS credit-to-GDP gap (Basel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reference variable).</w:t>
      </w:r>
    </w:p>
    <w:p w14:paraId="29CAEAE5" w14:textId="77777777" w:rsidR="00EB15BB" w:rsidRPr="00EC13A0" w:rsidRDefault="00EB15BB" w:rsidP="00EB1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house_gap_t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house price z-score relative to long-run trend.</w:t>
      </w:r>
    </w:p>
    <w:p w14:paraId="68A220E4" w14:textId="77777777" w:rsidR="00EB15BB" w:rsidRPr="00EC13A0" w:rsidRDefault="00EB15BB" w:rsidP="00EB1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DSR_t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household + corporate debt-service ratio.</w:t>
      </w:r>
    </w:p>
    <w:p w14:paraId="2ED4B288" w14:textId="77777777" w:rsidR="00EB15BB" w:rsidRPr="00EC13A0" w:rsidRDefault="00EB15BB" w:rsidP="00EB1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NBFI_growth_t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shadow-bank growth where measurable (perimeter-leakage proxy).</w:t>
      </w:r>
    </w:p>
    <w:p w14:paraId="30D1CDDE" w14:textId="77777777" w:rsidR="00EB15BB" w:rsidRPr="00EC13A0" w:rsidRDefault="00EB15BB" w:rsidP="00EB1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FX_credit_share_t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foreign-currency lending share (relevant for CEE, parts of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LatAm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).</w:t>
      </w:r>
    </w:p>
    <w:p w14:paraId="7BD39BE8" w14:textId="77777777" w:rsidR="00EB15BB" w:rsidRPr="00EC13A0" w:rsidRDefault="00EB15BB" w:rsidP="00EB1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t: Taylor residual. Captures the substitute relationship — when monetary policy is constrained (positive ε, off-rule tightening blocked),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expected to compensate.</w:t>
      </w:r>
    </w:p>
    <w:p w14:paraId="00110075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274B2EA5" w14:textId="77777777" w:rsidR="00EB15BB" w:rsidRPr="00EC13A0" w:rsidRDefault="00EB15BB" w:rsidP="00EB1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stance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iMaPP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cumulative net tightening (Alam et al. 2019) as headline; custom country-weighted aggregation as comparator (weights for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level, LTV cap, RR by importance).</w:t>
      </w:r>
    </w:p>
    <w:p w14:paraId="0A4934E1" w14:textId="77777777" w:rsidR="00EB15BB" w:rsidRPr="00EC13A0" w:rsidRDefault="00EB15BB" w:rsidP="00EB1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Sub-indices: capital, borrower-based, liquidity, sectoral, RR tracked separately. Aggregate D plus disaggregated diagnostic.</w:t>
      </w:r>
    </w:p>
    <w:p w14:paraId="357E610C" w14:textId="77777777" w:rsidR="00EB15BB" w:rsidRPr="00EC13A0" w:rsidRDefault="00EB15BB" w:rsidP="00EB1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DM panel: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as complement to monetary in normal times; the post-2008 "loose monetary + tight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" regime is the modal case. UK (FPC since 2013), Nordics, NZ, Australia as the most active sub-panel.</w:t>
      </w:r>
    </w:p>
    <w:p w14:paraId="4C5DE3DF" w14:textId="77777777" w:rsidR="00EB15BB" w:rsidRPr="00EC13A0" w:rsidRDefault="00EB15BB" w:rsidP="00EB1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EM panel: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as substitute for the rate when external constraints bind. BCB,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Banxico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BI, RBI as the most active sub-panel.</w:t>
      </w:r>
    </w:p>
    <w:p w14:paraId="48FBCC09" w14:textId="77777777" w:rsidR="00EB15BB" w:rsidRPr="00EC13A0" w:rsidRDefault="00EB15BB" w:rsidP="00EB1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SA: estimated with explicit low-intensity flag. Expect MP* ≈ 0 most periods; documented passive-deployment regime.</w:t>
      </w:r>
    </w:p>
    <w:p w14:paraId="7ECF4FEE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723A556B" w14:textId="77777777" w:rsidR="00EB15BB" w:rsidRPr="00EC13A0" w:rsidRDefault="00EB15BB" w:rsidP="00EB1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Ordered probit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on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iMaPP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discrete actions {−1 = loosen, 0 = hold, +1 = tighten}, with sub-tool fixed effects to absorb instrument heterogeneity.</w:t>
      </w:r>
    </w:p>
    <w:p w14:paraId="42EBE2BB" w14:textId="77777777" w:rsidR="00EB15BB" w:rsidRPr="00EC13A0" w:rsidRDefault="00EB15BB" w:rsidP="00EB1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Cross-country panel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with regime fixed effects (DM-pre2008, DM-post2008, EM) —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architecture changed fundamentally post-Basel-III.</w:t>
      </w:r>
    </w:p>
    <w:p w14:paraId="6E65F952" w14:textId="77777777" w:rsidR="00EB15BB" w:rsidRPr="00EC13A0" w:rsidRDefault="00EB15BB" w:rsidP="00EB1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Sample: 2005–2024 with pre/post-2008 explicit split. Pre-2008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largely RR-only for the EM panel.</w:t>
      </w:r>
    </w:p>
    <w:p w14:paraId="591AB360" w14:textId="77777777" w:rsidR="00EB15BB" w:rsidRPr="00EC13A0" w:rsidRDefault="00EB15BB" w:rsidP="00EB1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For countries with explicit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calibration (UK, Nordics, several EU), supplement the probit with a continuous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-percentage regression as a cross-check.</w:t>
      </w:r>
    </w:p>
    <w:p w14:paraId="70605BF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By construction E[R^{L1↔L3e}] = 0 in the active calibration window where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being used.</w:t>
      </w:r>
    </w:p>
    <w:p w14:paraId="3BB5EB40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Dissonance function</w:t>
      </w:r>
    </w:p>
    <w:p w14:paraId="4D0ED722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 = |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MP*_t|</w:t>
      </w:r>
    </w:p>
    <w:p w14:paraId="4D6007DF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: τ = 2 · σ(D) on the active calibration window. Robustness across {1.5σ, 2σ, 2.5σ}. Discrete-action structure means D is coarser than for L1 ↔ L3a — note in the data appendix.</w:t>
      </w:r>
    </w:p>
    <w:p w14:paraId="781ACBA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carried separately:</w:t>
      </w:r>
    </w:p>
    <w:p w14:paraId="3703B71C" w14:textId="77777777" w:rsidR="00EB15BB" w:rsidRPr="00EC13A0" w:rsidRDefault="00EB15BB" w:rsidP="00EB1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Sign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tighter-than-rule (pre-emptive) vs looser-than-rule (under-response to credit boom). Asset incidence 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differs: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pre-emptive tightening compresses bank equity and credit spreads; under-response builds tail risk priced in vol and credit later.</w:t>
      </w:r>
    </w:p>
    <w:p w14:paraId="2494872A" w14:textId="77777777" w:rsidR="00EB15BB" w:rsidRPr="00EC13A0" w:rsidRDefault="00EB15BB" w:rsidP="00EB1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Sub-tool divergence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capital-based tightening while borrower-based loosening (or vice versa) creates intra-L3e dissonance that conditions L1 ↔ L3e. Track sub-tool z-scores against the aggregate.</w:t>
      </w:r>
    </w:p>
    <w:p w14:paraId="71120F80" w14:textId="77777777" w:rsidR="00EB15BB" w:rsidRPr="00EC13A0" w:rsidRDefault="00EB15BB" w:rsidP="00EB1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Perimeter-leakage flag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tightens but NBFI growth accelerates. Captures the post-2008 risk-migration pattern; downstream connection to L3e → L5b. Carry as a binary alongside D.</w:t>
      </w:r>
    </w:p>
    <w:p w14:paraId="5CE99902" w14:textId="77777777" w:rsidR="00EB15BB" w:rsidRPr="00EC13A0" w:rsidRDefault="00EB15BB" w:rsidP="00EB1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Cross-stance coherence with L3a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monetary tightening +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tightening simultaneously is rare and aggressive (1990s-style); monetary loose +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 is the post-2008 DM playbook. The combination read against the loss function's λ is the deeper structural signal.</w:t>
      </w:r>
    </w:p>
    <w:p w14:paraId="089FD725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</w:p>
    <w:p w14:paraId="770D4BC1" w14:textId="77777777" w:rsidR="00EB15BB" w:rsidRPr="00EC13A0" w:rsidRDefault="00EB15BB" w:rsidP="00EB15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L1 ↔ L3e is structurally an L2 question forced through an L1 lens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The financial stability term lives in the loss function (λ), not the standard Taylor rule. We're estimating an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implicit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rule because the bank's stated rule doesn't include one. The relationship will become tighter and cleaner when we get to L2 ↔ L3e — at which point L1 ↔ L3e can be reframed as the joint-instrument consistency check derived from the loss-function-level test. Worth flagging in the thesis as a definitional choice rather than a measurement gap.</w:t>
      </w:r>
    </w:p>
    <w:p w14:paraId="5420167C" w14:textId="77777777" w:rsidR="00EB15BB" w:rsidRPr="00EC13A0" w:rsidRDefault="00EB15BB" w:rsidP="00EB15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Discrete data is a power problem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iMaPP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actions are coded {−1, 0, +1} per tool per period; the underlying stance is continuous. The ordered-probit approach loses information that an OLS framework (used for L1 ↔ L3a) does not lose. Expect lower statistical power, wider confidence bands, and noisier D. Where explicit calibration data exists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percentages in the UK, Nordics), use the continuous version and document the precision gain.</w:t>
      </w:r>
    </w:p>
    <w:p w14:paraId="6E0B781F" w14:textId="77777777" w:rsidR="00EB15BB" w:rsidRPr="00EC13A0" w:rsidRDefault="00EB15BB" w:rsidP="00EB15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Perimeter leakage is the post-2008 structural pattern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tightens on banks, risk migrates to NBFI, aggregate financial stability does not improve. The metric will flag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non-leaking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tightening as on-rule;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leaking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tightening also looks on-rule because the action was taken. The leakage shows up only at L3e → L5b. This means a high-confidence reading on L1 ↔ L3e requires consulting the NBFI-state node — a vertical-edge dependency worth noting now.</w:t>
      </w:r>
    </w:p>
    <w:p w14:paraId="490C3EBD" w14:textId="77777777" w:rsidR="00EB15BB" w:rsidRPr="00EC13A0" w:rsidRDefault="00EB15BB" w:rsidP="00EB15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SA is a documented low-intensity case, not a measurement failure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SARB's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macropru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genuinely passive —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CCyB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at 0% throughout the sample, no LTV/DTI framework, conservative deployment. The expected SA-specific result is that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MP_t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≈ MP*_t ≈ 0 most periods, with D firing only at rare structural moments. This is consistent with SARB's broader orthodox posture and should be reported as a country-feature, not a calibration problem.</w:t>
      </w:r>
    </w:p>
    <w:p w14:paraId="75CFADB3" w14:textId="77777777" w:rsidR="00EB15BB" w:rsidRPr="00EC13A0" w:rsidRDefault="00000000" w:rsidP="00EB15BB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784CE2D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B47B273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Ready for L1 ↔ L3f when you are.</w:t>
      </w:r>
    </w:p>
    <w:p w14:paraId="3337C659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3593F0B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052CA47" w14:textId="77777777" w:rsidR="00EB15BB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24A55F3A" w14:textId="77777777" w:rsid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6009B161" w14:textId="77777777" w:rsid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24B86D06" w14:textId="77777777" w:rsid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6A28B37" w14:textId="77777777" w:rsid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157E71D" w14:textId="77777777" w:rsid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08A0D135" w14:textId="77777777" w:rsid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73632FA7" w14:textId="77777777" w:rsidR="00EC13A0" w:rsidRPr="00EC13A0" w:rsidRDefault="00EC13A0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8001F12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36"/>
          <w:sz w:val="22"/>
          <w:szCs w:val="22"/>
          <w:lang w:eastAsia="en-GB"/>
          <w14:ligatures w14:val="none"/>
        </w:rPr>
        <w:t>L1 ↔ L3f — Reaction Function ↔ Liquidity Facilities</w:t>
      </w:r>
    </w:p>
    <w:p w14:paraId="57B4C004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1. Intensity test</w:t>
      </w:r>
    </w:p>
    <w:p w14:paraId="4C37486C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Facilities are orthogonal to the standard reaction function — L1 responds to inflation and output, L3f responds to funding stress. The relationship is structurally indirect, like L1 ↔ L3e but with a more episodic activation profile. Intensity here is whether facility deployment is systematic relative to funding-stress state variables, and whether availability has measurable effect even when utilisation is low.</w:t>
      </w:r>
    </w:p>
    <w:p w14:paraId="7FE23172" w14:textId="77777777" w:rsidR="00EB15BB" w:rsidRPr="00EC13A0" w:rsidRDefault="00EB15BB" w:rsidP="00EB1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Pseudo-R² of a facility-deployment rule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Tobit or two-part probit-OLS on facility utilisation regressed on {LIBOR-OIS, FRA-OIS, CIP basis, bank CDS, MMF flow stress, repo-spike indicator}. Captures whether deployment is rule-shaped or purely discretionary.</w:t>
      </w:r>
    </w:p>
    <w:p w14:paraId="238FD6EE" w14:textId="77777777" w:rsidR="00EB15BB" w:rsidRPr="00EC13A0" w:rsidRDefault="00EB15BB" w:rsidP="00EB1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Correlation between funding-stress spikes and discount-window / SRF / crisis-facility usage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bivariate at event frequency.</w:t>
      </w:r>
    </w:p>
    <w:p w14:paraId="60352D52" w14:textId="77777777" w:rsidR="00EB15BB" w:rsidRPr="00EC13A0" w:rsidRDefault="00EB15BB" w:rsidP="00EB1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Granger causality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from funding spreads → facility activity. Validates the directional assumption.</w:t>
      </w:r>
    </w:p>
    <w:p w14:paraId="731879DA" w14:textId="77777777" w:rsidR="00EB15BB" w:rsidRPr="00EC13A0" w:rsidRDefault="00EB15BB" w:rsidP="00EB1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Stigma premium estimation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spread between discount-window rate and anonymous-auction-facility rate (TAF in 2007-2008) when both available. 30-50bp historical benchmark; persistent stigma is itself an intensity-reducer.</w:t>
      </w:r>
    </w:p>
    <w:p w14:paraId="0D07A2F3" w14:textId="77777777" w:rsidR="00EB15BB" w:rsidRPr="00EC13A0" w:rsidRDefault="00EB15BB" w:rsidP="00EB1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Availability-vs-utilisation gap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for countries with structural exclusion from Fed swap lines (SA, India, Turkey, etc.), availability is null and the metric cannot capture option-value. Carry as a binary structural variable.</w:t>
      </w:r>
    </w:p>
    <w:p w14:paraId="7902F66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Sufficiency condition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(pre-registered): the relationship is estimable when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 the country has had at least one stress episode with non-zero facility utilisation over the sample AND (ii) measurable funding-stress indicators are available. DM panel satisfies easily (2008, 2020 both major activations). For SA: domestic SRF satisfies (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); document Fed-swap-line-exclusion as a separate structural flag rather than including it in the metric.</w:t>
      </w:r>
    </w:p>
    <w:p w14:paraId="01B3BB1E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2. Consistency function R^{L1↔L3f}</w:t>
      </w:r>
    </w:p>
    <w:p w14:paraId="671E1E60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monetary rule prescribes a stance on the economy. Facility deployment responds to funding stress in the plumbing. Equilibrium holds when facility activity matches what a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facility-deployment rule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would prescribe given the funding-stress state and the monetary stance:</w:t>
      </w:r>
    </w:p>
    <w:p w14:paraId="098036BA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f}(</w:t>
      </w:r>
      <w:proofErr w:type="spellStart"/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LF_t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FS_state_t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, 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t; ξ̂) =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LF_t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LF*_t</w:t>
      </w:r>
    </w:p>
    <w:p w14:paraId="16C02CA1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where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LF_t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is the operational facility-activity metric (utilisation as fraction of cap, or activation indicator) and LF*_t is the implied deployment:</w:t>
      </w:r>
    </w:p>
    <w:p w14:paraId="657CD2A9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LF*_t = ξ_0 + ξ_1 · LIBOR-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OIS_t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ξ_2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CIP_basis_t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ξ_3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bank_CDS_t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ξ_4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MMF_flow_stress_t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ξ_5 ·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repo_spike_t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+ ξ_6 · ε^{L1↔L3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a}_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 · </w:t>
      </w:r>
      <w:r w:rsidRPr="00EC13A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𝟙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{ELB}</w:t>
      </w:r>
    </w:p>
    <w:p w14:paraId="00AA83C0" w14:textId="77777777" w:rsidR="00EB15BB" w:rsidRPr="00EC13A0" w:rsidRDefault="00EB15BB" w:rsidP="00EB1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The ε · </w:t>
      </w:r>
      <w:r w:rsidRPr="00EC13A0">
        <w:rPr>
          <w:rFonts w:ascii="Cambria Math" w:eastAsia="Times New Roman" w:hAnsi="Cambria Math" w:cs="Cambria Math"/>
          <w:kern w:val="0"/>
          <w:sz w:val="22"/>
          <w:szCs w:val="22"/>
          <w:lang w:eastAsia="en-GB"/>
          <w14:ligatures w14:val="none"/>
        </w:rPr>
        <w:t>𝟙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{ELB} term: at the ELB, facilities can do additional work when the rate is constrained. Outside the ELB regime, the interaction is zero.</w:t>
      </w:r>
    </w:p>
    <w:p w14:paraId="288D14E0" w14:textId="77777777" w:rsidR="00EB15BB" w:rsidRPr="00EC13A0" w:rsidRDefault="00EB15BB" w:rsidP="00EB1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lastRenderedPageBreak/>
        <w:t>Funding-stress regressors are country-specific: for the DM panel, US-style spreads; for EM, domestic-currency money market spreads plus cross-currency basis swap proxies.</w:t>
      </w:r>
    </w:p>
    <w:p w14:paraId="47668ABA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Pre-registered specifications</w:t>
      </w:r>
    </w:p>
    <w:p w14:paraId="43E4CD23" w14:textId="77777777" w:rsidR="00EB15BB" w:rsidRPr="00EC13A0" w:rsidRDefault="00EB15BB" w:rsidP="00EB1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DM panel: full LOLR toolkit measured separately — standing facilities (discount window, SRF, MLF), crisis facilities (TAF, PDCF, BTFP, MMLF), cross-border (Fed swap line drawings or, for non-Fed countries, incoming swap line drawings as the dependent variable).</w:t>
      </w:r>
    </w:p>
    <w:p w14:paraId="3B9E857E" w14:textId="77777777" w:rsidR="00EB15BB" w:rsidRPr="00EC13A0" w:rsidRDefault="00EB15BB" w:rsidP="00EB1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EM panel with Fed swap-line access (Brazil, Mexico, Korea, Singapore): incoming swap line drawings + domestic facility usage.</w:t>
      </w:r>
    </w:p>
    <w:p w14:paraId="4B73FB14" w14:textId="77777777" w:rsidR="00EB15BB" w:rsidRPr="00EC13A0" w:rsidRDefault="00EB15BB" w:rsidP="00EB1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EM panel without Fed swap-line access (SA, India, Indonesia, Turkey, Chile): domestic facility usage only. Fed swap-line exclusion carried as a separate structural variable.</w:t>
      </w:r>
    </w:p>
    <w:p w14:paraId="3B7412F8" w14:textId="77777777" w:rsidR="00EB15BB" w:rsidRPr="00EC13A0" w:rsidRDefault="00EB15BB" w:rsidP="00EB1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IMF arrangements (FCL, PLL, SBA) tracked as an EM-specific cross-border LOLR proxy.</w:t>
      </w:r>
    </w:p>
    <w:p w14:paraId="6F0892BA" w14:textId="77777777" w:rsidR="00EB15BB" w:rsidRPr="00EC13A0" w:rsidRDefault="00EB15BB" w:rsidP="00EB1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Sample: pre/post-2008 split — toolkit fundamentally expanded in 2008. Pre-2008 facility activity outside 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Bagehotian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standing windows is rare.</w:t>
      </w:r>
    </w:p>
    <w:p w14:paraId="36F1D338" w14:textId="77777777" w:rsidR="00EB15BB" w:rsidRPr="00EC13A0" w:rsidRDefault="00EB15BB" w:rsidP="00EB1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Sample: domestic-currency funding stress indicators specified country-by-country in the data appendix; cross-currency basis is the universal cross-border indicator.</w:t>
      </w:r>
    </w:p>
    <w:p w14:paraId="7640E987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Estimation</w:t>
      </w:r>
    </w:p>
    <w:p w14:paraId="334BC63F" w14:textId="77777777" w:rsidR="00EB15BB" w:rsidRPr="00EC13A0" w:rsidRDefault="00EB15BB" w:rsidP="00EB1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Two-part model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probit on activation indicator, OLS on utilisation conditional on activation. Cleaner than Tobit for episodic data.</w:t>
      </w:r>
    </w:p>
    <w:p w14:paraId="7D012F6E" w14:textId="77777777" w:rsidR="00EB15BB" w:rsidRPr="00EC13A0" w:rsidRDefault="00EB15BB" w:rsidP="00EB1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Cross-country panel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with regime fixed effects (pre/post-2008) and country fixed effects. DM and EM sub-panels estimated separately.</w:t>
      </w:r>
    </w:p>
    <w:p w14:paraId="31859948" w14:textId="77777777" w:rsidR="00EB15BB" w:rsidRPr="00EC13A0" w:rsidRDefault="00EB15BB" w:rsidP="00EB1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Sample: 2005–2024 with separate identification windows for 2008-09, 2020, 2022-23, and any country-specific crisis episodes.</w:t>
      </w:r>
    </w:p>
    <w:p w14:paraId="6D561E78" w14:textId="77777777" w:rsidR="00EB15BB" w:rsidRPr="00EC13A0" w:rsidRDefault="00EB15BB" w:rsidP="00EB1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Identification: facility deployment is endogenous to stress. Use one-period lags of funding-stress indicators as instruments; supplement with high-frequency event-study around announcements for headline facilities (BTFP March 2023, swap line activations March 2020, TAF December 2007).</w:t>
      </w:r>
    </w:p>
    <w:p w14:paraId="1BDBCE18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By construction E[R^{L1↔L3f}] = 0 in the active-deployment calibration window. In the dormancy window the metric is mechanically zero.</w:t>
      </w:r>
    </w:p>
    <w:p w14:paraId="5A7E22CB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3. Dissonance function</w:t>
      </w:r>
    </w:p>
    <w:p w14:paraId="3409A8CD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D^{L1↔L3</w:t>
      </w:r>
      <w:proofErr w:type="gram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f}_</w:t>
      </w:r>
      <w:proofErr w:type="gram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t = |</w:t>
      </w:r>
      <w:proofErr w:type="spellStart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LF_t</w:t>
      </w:r>
      <w:proofErr w:type="spellEnd"/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− LF*_t|</w:t>
      </w:r>
    </w:p>
    <w:p w14:paraId="719D9F41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Threshold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: τ = 2 · σ(D) on the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active-regime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calibration window. Dormancy periods are excluded from σ computation — otherwise σ is dominated by zeros and the threshold becomes trivially small. Robustness across {1.5σ, 2σ, 2.5σ}.</w:t>
      </w:r>
    </w:p>
    <w:p w14:paraId="46F37833" w14:textId="77777777" w:rsidR="00EB15BB" w:rsidRPr="00EC13A0" w:rsidRDefault="00EB15BB" w:rsidP="00EB15BB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Auxiliary dimensions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carried separately:</w:t>
      </w:r>
    </w:p>
    <w:p w14:paraId="05571279" w14:textId="77777777" w:rsidR="00EB15BB" w:rsidRPr="00EC13A0" w:rsidRDefault="00EB15BB" w:rsidP="00EB1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Sign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over-deployment (facility expanded without funding-stress justification — moral hazard or regulatory arbitrage) vs under-deployment (facility dormant despite clear funding pressure — bank reading the regime incorrectly or stigma-binding). Under-deployment is the more common and the more dangerous dissonance.</w:t>
      </w:r>
    </w:p>
    <w:p w14:paraId="786C6C8B" w14:textId="77777777" w:rsidR="00EB15BB" w:rsidRPr="00EC13A0" w:rsidRDefault="00EB15BB" w:rsidP="00EB1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Stigma flag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voluntary-access facility usage relative to anonymous-auction facility usage. Persistent stigma premium indicates the headline facility is not doing the work it could.</w:t>
      </w:r>
    </w:p>
    <w:p w14:paraId="728D005C" w14:textId="77777777" w:rsidR="00EB15BB" w:rsidRPr="00EC13A0" w:rsidRDefault="00EB15BB" w:rsidP="00EB1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lastRenderedPageBreak/>
        <w:t>Cross-border availability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Fed swap-line access is a binary structural variable for the EM panel. Carry as a separate flag, not in the metric. The 2008 and 2020 episodes show clear access asymmetry across the EM panel; the metric should not penalise countries for an option they were structurally denied.</w:t>
      </w:r>
    </w:p>
    <w:p w14:paraId="2653D0F8" w14:textId="77777777" w:rsidR="00EB15BB" w:rsidRPr="00EC13A0" w:rsidRDefault="00EB15BB" w:rsidP="00EB1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Deliberate separation flag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2023 Fed pattern: rate tightening + BTFP support. The L1 monetary rule is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intentionally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decoupled from the L3f stability response under the post-2008 settlement. Track as a binary "intended separation" indicator rather than firing it as dissonance.</w:t>
      </w:r>
    </w:p>
    <w:p w14:paraId="78848432" w14:textId="77777777" w:rsidR="00EB15BB" w:rsidRPr="00EC13A0" w:rsidRDefault="00EB15BB" w:rsidP="00EB1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Multi-purpose facility split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TLTRO is monetary + LOLR; SRF is standing + crisis. Document the labelling decisions and report D under both labelling conventions.</w:t>
      </w:r>
    </w:p>
    <w:p w14:paraId="0ED064A8" w14:textId="77777777" w:rsidR="00EB15BB" w:rsidRPr="00EC13A0" w:rsidRDefault="00EB15BB" w:rsidP="00EB15B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Design notes</w:t>
      </w:r>
    </w:p>
    <w:p w14:paraId="6BB2497C" w14:textId="77777777" w:rsidR="00EB15BB" w:rsidRPr="00EC13A0" w:rsidRDefault="00EB15BB" w:rsidP="00EB1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L1 ↔ L3f is episodic by construction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Long stretches of dormancy punctuated by crisis activation. The data structure is zero-inflated and standard regression frameworks struggle. The two-part probit-OLS approach is the practical choice; ordered probit on coarse activation categories is the robustness comparator. D is mechanically zero for most observations and fires hard during stress — closer in character to a regime-switching indicator than to a continuous metric.</w:t>
      </w:r>
    </w:p>
    <w:p w14:paraId="31BA0CB0" w14:textId="77777777" w:rsidR="00EB15BB" w:rsidRPr="00EC13A0" w:rsidRDefault="00EB15BB" w:rsidP="00EB1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Availability is a real signal that the framework cannot directly measure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. The Fed SRF has had minimal usage but plausibly compressed repo-spike tail risk in 2021–2023. The standing Fed-ECB-BoE-BoJ-SNB-BoC swap lines are credibility infrastructure even when unused. The D metric captures utilisation only; the option-value of availability shows up only by </w:t>
      </w:r>
      <w:r w:rsidRPr="00EC13A0">
        <w:rPr>
          <w:rFonts w:asciiTheme="majorHAnsi" w:eastAsia="Times New Roman" w:hAnsiTheme="majorHAnsi" w:cs="Times New Roman"/>
          <w:i/>
          <w:iCs/>
          <w:kern w:val="0"/>
          <w:sz w:val="22"/>
          <w:szCs w:val="22"/>
          <w:lang w:eastAsia="en-GB"/>
          <w14:ligatures w14:val="none"/>
        </w:rPr>
        <w:t>what doesn't happen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 xml:space="preserve"> — repo doesn't spike, basis doesn't blow out. Document this limitation; the structural-availability flag is the best partial substitute.</w:t>
      </w:r>
    </w:p>
    <w:p w14:paraId="49859254" w14:textId="77777777" w:rsidR="00EB15BB" w:rsidRPr="00EC13A0" w:rsidRDefault="00EB15BB" w:rsidP="00EB1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2023 Fed pattern is the framework's hardest single test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Rate tightening simultaneous with BTFP support could be (a) deliberate decoupling of monetary from financial-stability response under the post-2008 settlement, or (b) dissonance — the rule failing to anticipate the stress its own tightening caused. The framework must distinguish these. The cleanest discriminator: is the BTFP labelled and treated as orthogonal to monetary stance? If yes, deliberate; if not, dissonance. Fed communication in 2023 was explicit on this point, suggesting (a) — but this is a defensible empirical interpretation rather than an unambiguous result.</w:t>
      </w:r>
    </w:p>
    <w:p w14:paraId="244B8AEA" w14:textId="77777777" w:rsidR="00EB15BB" w:rsidRPr="00EC13A0" w:rsidRDefault="00EB15BB" w:rsidP="00EB1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GB"/>
          <w14:ligatures w14:val="none"/>
        </w:rPr>
        <w:t>SA is structurally two-tier on L3f</w:t>
      </w:r>
      <w:r w:rsidRPr="00EC13A0"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  <w:t>. Domestic standing facilities are estimable — SARB ran modest domestic liquidity support in 2020. Cross-border facility access is null — SA was not on the Fed swap-line list in either 2008 or 2020. The metric should report SA on the domestic dimension and flag the cross-border null as a structural feature, not a measurement gap. The geopolitical character of swap-line allocation is itself a finding for the EM panel.</w:t>
      </w:r>
    </w:p>
    <w:p w14:paraId="011D0A27" w14:textId="77777777" w:rsidR="00EB15BB" w:rsidRPr="00EC13A0" w:rsidRDefault="00000000" w:rsidP="00EB15BB">
      <w:pPr>
        <w:spacing w:after="0" w:line="240" w:lineRule="auto"/>
        <w:rPr>
          <w:rFonts w:asciiTheme="majorHAnsi" w:eastAsia="Times New Roman" w:hAnsiTheme="majorHAnsi" w:cs="Times New Roman"/>
          <w:kern w:val="0"/>
          <w:sz w:val="22"/>
          <w:szCs w:val="22"/>
          <w:lang w:eastAsia="en-GB"/>
          <w14:ligatures w14:val="none"/>
        </w:rPr>
      </w:pPr>
      <w:r w:rsidRPr="00EC13A0">
        <w:rPr>
          <w:rFonts w:asciiTheme="majorHAnsi" w:eastAsia="Times New Roman" w:hAnsiTheme="majorHAnsi" w:cs="Times New Roman"/>
          <w:noProof/>
          <w:kern w:val="0"/>
          <w:sz w:val="22"/>
          <w:szCs w:val="22"/>
          <w:lang w:eastAsia="en-GB"/>
        </w:rPr>
        <w:pict w14:anchorId="40825ED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3ED3F8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FD4F371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333708A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151556D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536F0DFF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43D3139D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p w14:paraId="1DBA0CD4" w14:textId="77777777" w:rsidR="00EB15BB" w:rsidRPr="00EC13A0" w:rsidRDefault="00EB15BB" w:rsidP="00EB15BB">
      <w:pPr>
        <w:rPr>
          <w:rFonts w:asciiTheme="majorHAnsi" w:hAnsiTheme="majorHAnsi"/>
          <w:sz w:val="22"/>
          <w:szCs w:val="22"/>
          <w:lang w:val="en-US"/>
        </w:rPr>
      </w:pPr>
    </w:p>
    <w:sectPr w:rsidR="00EB15BB" w:rsidRPr="00EC1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475"/>
    <w:multiLevelType w:val="multilevel"/>
    <w:tmpl w:val="797C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967CE"/>
    <w:multiLevelType w:val="multilevel"/>
    <w:tmpl w:val="3828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5157E"/>
    <w:multiLevelType w:val="multilevel"/>
    <w:tmpl w:val="4CE0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74A96"/>
    <w:multiLevelType w:val="multilevel"/>
    <w:tmpl w:val="3728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165D1"/>
    <w:multiLevelType w:val="multilevel"/>
    <w:tmpl w:val="AD3C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35024"/>
    <w:multiLevelType w:val="multilevel"/>
    <w:tmpl w:val="8DF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A688C"/>
    <w:multiLevelType w:val="multilevel"/>
    <w:tmpl w:val="0BF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A7F4F"/>
    <w:multiLevelType w:val="multilevel"/>
    <w:tmpl w:val="A9525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0E6671"/>
    <w:multiLevelType w:val="multilevel"/>
    <w:tmpl w:val="8E3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B48B2"/>
    <w:multiLevelType w:val="multilevel"/>
    <w:tmpl w:val="568C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138A1"/>
    <w:multiLevelType w:val="multilevel"/>
    <w:tmpl w:val="902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3080A"/>
    <w:multiLevelType w:val="multilevel"/>
    <w:tmpl w:val="19E0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F4F37"/>
    <w:multiLevelType w:val="multilevel"/>
    <w:tmpl w:val="652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34E2C"/>
    <w:multiLevelType w:val="multilevel"/>
    <w:tmpl w:val="6842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F233D"/>
    <w:multiLevelType w:val="multilevel"/>
    <w:tmpl w:val="2A70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147A6"/>
    <w:multiLevelType w:val="multilevel"/>
    <w:tmpl w:val="E8A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D56E5"/>
    <w:multiLevelType w:val="multilevel"/>
    <w:tmpl w:val="BC8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64528D"/>
    <w:multiLevelType w:val="multilevel"/>
    <w:tmpl w:val="88A4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295883"/>
    <w:multiLevelType w:val="multilevel"/>
    <w:tmpl w:val="CD6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01842"/>
    <w:multiLevelType w:val="multilevel"/>
    <w:tmpl w:val="83CE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319B8"/>
    <w:multiLevelType w:val="multilevel"/>
    <w:tmpl w:val="A7446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D328B9"/>
    <w:multiLevelType w:val="multilevel"/>
    <w:tmpl w:val="DFD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045D8F"/>
    <w:multiLevelType w:val="multilevel"/>
    <w:tmpl w:val="EC7C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841053"/>
    <w:multiLevelType w:val="multilevel"/>
    <w:tmpl w:val="D2A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479AF"/>
    <w:multiLevelType w:val="multilevel"/>
    <w:tmpl w:val="1422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D3785F"/>
    <w:multiLevelType w:val="multilevel"/>
    <w:tmpl w:val="4B6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57980"/>
    <w:multiLevelType w:val="multilevel"/>
    <w:tmpl w:val="FB0C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73464"/>
    <w:multiLevelType w:val="multilevel"/>
    <w:tmpl w:val="445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C63EA8"/>
    <w:multiLevelType w:val="multilevel"/>
    <w:tmpl w:val="0BF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0FC"/>
    <w:multiLevelType w:val="multilevel"/>
    <w:tmpl w:val="63F6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71416"/>
    <w:multiLevelType w:val="multilevel"/>
    <w:tmpl w:val="ACA2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35554"/>
    <w:multiLevelType w:val="hybridMultilevel"/>
    <w:tmpl w:val="ACD4F6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583005"/>
    <w:multiLevelType w:val="multilevel"/>
    <w:tmpl w:val="B704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424F91"/>
    <w:multiLevelType w:val="multilevel"/>
    <w:tmpl w:val="5C5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63ED6"/>
    <w:multiLevelType w:val="multilevel"/>
    <w:tmpl w:val="D3CA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1787C"/>
    <w:multiLevelType w:val="multilevel"/>
    <w:tmpl w:val="0334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019792">
    <w:abstractNumId w:val="13"/>
  </w:num>
  <w:num w:numId="2" w16cid:durableId="372538480">
    <w:abstractNumId w:val="4"/>
  </w:num>
  <w:num w:numId="3" w16cid:durableId="1663778819">
    <w:abstractNumId w:val="9"/>
  </w:num>
  <w:num w:numId="4" w16cid:durableId="1350597995">
    <w:abstractNumId w:val="23"/>
  </w:num>
  <w:num w:numId="5" w16cid:durableId="1248736038">
    <w:abstractNumId w:val="16"/>
  </w:num>
  <w:num w:numId="6" w16cid:durableId="467019263">
    <w:abstractNumId w:val="25"/>
  </w:num>
  <w:num w:numId="7" w16cid:durableId="1986619861">
    <w:abstractNumId w:val="24"/>
  </w:num>
  <w:num w:numId="8" w16cid:durableId="743602807">
    <w:abstractNumId w:val="18"/>
  </w:num>
  <w:num w:numId="9" w16cid:durableId="1334844562">
    <w:abstractNumId w:val="26"/>
  </w:num>
  <w:num w:numId="10" w16cid:durableId="1545412758">
    <w:abstractNumId w:val="17"/>
  </w:num>
  <w:num w:numId="11" w16cid:durableId="1623799743">
    <w:abstractNumId w:val="27"/>
  </w:num>
  <w:num w:numId="12" w16cid:durableId="857235241">
    <w:abstractNumId w:val="19"/>
  </w:num>
  <w:num w:numId="13" w16cid:durableId="1151098733">
    <w:abstractNumId w:val="33"/>
  </w:num>
  <w:num w:numId="14" w16cid:durableId="1253667344">
    <w:abstractNumId w:val="10"/>
  </w:num>
  <w:num w:numId="15" w16cid:durableId="2132701228">
    <w:abstractNumId w:val="5"/>
  </w:num>
  <w:num w:numId="16" w16cid:durableId="1454592591">
    <w:abstractNumId w:val="3"/>
  </w:num>
  <w:num w:numId="17" w16cid:durableId="214392209">
    <w:abstractNumId w:val="20"/>
  </w:num>
  <w:num w:numId="18" w16cid:durableId="914433747">
    <w:abstractNumId w:val="32"/>
  </w:num>
  <w:num w:numId="19" w16cid:durableId="1985812399">
    <w:abstractNumId w:val="8"/>
  </w:num>
  <w:num w:numId="20" w16cid:durableId="1555241067">
    <w:abstractNumId w:val="15"/>
  </w:num>
  <w:num w:numId="21" w16cid:durableId="1175728850">
    <w:abstractNumId w:val="30"/>
  </w:num>
  <w:num w:numId="22" w16cid:durableId="638194182">
    <w:abstractNumId w:val="28"/>
  </w:num>
  <w:num w:numId="23" w16cid:durableId="1513883199">
    <w:abstractNumId w:val="7"/>
  </w:num>
  <w:num w:numId="24" w16cid:durableId="1240410243">
    <w:abstractNumId w:val="34"/>
  </w:num>
  <w:num w:numId="25" w16cid:durableId="898977433">
    <w:abstractNumId w:val="29"/>
  </w:num>
  <w:num w:numId="26" w16cid:durableId="542905753">
    <w:abstractNumId w:val="6"/>
  </w:num>
  <w:num w:numId="27" w16cid:durableId="342437481">
    <w:abstractNumId w:val="14"/>
  </w:num>
  <w:num w:numId="28" w16cid:durableId="1988976973">
    <w:abstractNumId w:val="12"/>
  </w:num>
  <w:num w:numId="29" w16cid:durableId="156960820">
    <w:abstractNumId w:val="2"/>
  </w:num>
  <w:num w:numId="30" w16cid:durableId="355935358">
    <w:abstractNumId w:val="21"/>
  </w:num>
  <w:num w:numId="31" w16cid:durableId="693918438">
    <w:abstractNumId w:val="11"/>
  </w:num>
  <w:num w:numId="32" w16cid:durableId="847790423">
    <w:abstractNumId w:val="1"/>
  </w:num>
  <w:num w:numId="33" w16cid:durableId="1908416003">
    <w:abstractNumId w:val="22"/>
  </w:num>
  <w:num w:numId="34" w16cid:durableId="1935702407">
    <w:abstractNumId w:val="35"/>
  </w:num>
  <w:num w:numId="35" w16cid:durableId="782959516">
    <w:abstractNumId w:val="0"/>
  </w:num>
  <w:num w:numId="36" w16cid:durableId="90730740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BB"/>
    <w:rsid w:val="00236FC6"/>
    <w:rsid w:val="0035453E"/>
    <w:rsid w:val="004B6E07"/>
    <w:rsid w:val="00BE6B02"/>
    <w:rsid w:val="00C955C9"/>
    <w:rsid w:val="00CF02C4"/>
    <w:rsid w:val="00EB15BB"/>
    <w:rsid w:val="00EC13A0"/>
    <w:rsid w:val="00F4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8D735"/>
  <w15:chartTrackingRefBased/>
  <w15:docId w15:val="{85D903C6-72CE-274F-80C5-5505B183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1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1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1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B15BB"/>
    <w:rPr>
      <w:b/>
      <w:bCs/>
    </w:rPr>
  </w:style>
  <w:style w:type="character" w:styleId="Emphasis">
    <w:name w:val="Emphasis"/>
    <w:basedOn w:val="DefaultParagraphFont"/>
    <w:uiPriority w:val="20"/>
    <w:qFormat/>
    <w:rsid w:val="00EB15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16</Pages>
  <Words>5287</Words>
  <Characters>33841</Characters>
  <Application>Microsoft Office Word</Application>
  <DocSecurity>0</DocSecurity>
  <Lines>520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Stoddart</dc:creator>
  <cp:keywords/>
  <dc:description/>
  <cp:lastModifiedBy>Justin Stoddart</cp:lastModifiedBy>
  <cp:revision>2</cp:revision>
  <dcterms:created xsi:type="dcterms:W3CDTF">2026-05-14T12:45:00Z</dcterms:created>
  <dcterms:modified xsi:type="dcterms:W3CDTF">2026-05-16T09:49:00Z</dcterms:modified>
</cp:coreProperties>
</file>