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6F1E8"/>
  <w:body>
    <w:p>
      <w:pPr>
        <w:spacing w:after="160"/>
      </w:pPr>
      <w:r>
        <w:rPr>
          <w:b/>
          <w:caps/>
          <w:color w:val="10120F"/>
          <w:sz w:val="16"/>
          <w:spacing w:val="30"/>
          <w:shd w:val="clear" w:color="auto" w:fill="D7FF5F"/>
        </w:rPr>
        <w:t>Registry Methods  ·  Internal Evidence Review</w:t>
      </w:r>
    </w:p>
    <w:p>
      <w:pPr>
        <w:spacing w:after="140" w:line="320" w:lineRule="auto"/>
      </w:pPr>
      <w:r>
        <w:rPr>
          <w:b/>
          <w:color w:val="10120F"/>
          <w:sz w:val="44"/>
        </w:rPr>
        <w:t>IRIS Registry DME Methods Comparison</w:t>
      </w:r>
    </w:p>
    <w:p>
      <w:pPr>
        <w:spacing w:before="0" w:after="200" w:line="300" w:lineRule="auto"/>
      </w:pPr>
      <w:r>
        <w:rPr>
          <w:b w:val="0"/>
          <w:i/>
          <w:color w:val="5C6257"/>
          <w:sz w:val="20"/>
        </w:rPr>
        <w:t>A sourced Word report summarizing how prior IRIS Registry publications, posters, presentations, and abstracts have evaluated patients with diabetic macular edema, with emphasis on patient definitions, index rules, lookback windows, outcomes, and code/supplement provenance.</w:t>
      </w:r>
      <w:r>
        <w:t xml:space="preserve"> </w:t>
      </w:r>
      <w:hyperlink r:id="rId48">
        <w:r>
          <w:rPr>
            <w:color w:val="0563C1"/>
            <w:u w:val="single"/>
            <w:sz w:val="18"/>
          </w:rPr>
          <w:t>[AAO IRIS Research]</w:t>
        </w:r>
      </w:hyperlink>
      <w:r>
        <w:t xml:space="preserve"> </w:t>
      </w:r>
      <w:hyperlink r:id="rId49">
        <w:r>
          <w:rPr>
            <w:color w:val="0563C1"/>
            <w:u w:val="single"/>
            <w:sz w:val="18"/>
          </w:rPr>
          <w:t>[AAO Annual Meeting]</w:t>
        </w:r>
      </w:hyperlink>
    </w:p>
    <w:p>
      <w:pPr>
        <w:spacing w:before="0" w:after="280" w:line="300" w:lineRule="auto"/>
      </w:pPr>
      <w:r>
        <w:rPr>
          <w:b w:val="0"/>
          <w:i w:val="0"/>
          <w:color w:val="10120F"/>
          <w:sz w:val="19"/>
        </w:rPr>
        <w:t>Prepared from the locally saved IRIS Registry DME corpus and the expanded methods extraction dated June 3, 2026; full text was reviewed where accessible, and publisher-blocked or supplement-only details are labeled as such.</w:t>
      </w:r>
      <w:r>
        <w:t xml:space="preserve"> </w:t>
      </w:r>
      <w:hyperlink r:id="rId50">
        <w:r>
          <w:rPr>
            <w:color w:val="0563C1"/>
            <w:u w:val="single"/>
            <w:sz w:val="17"/>
          </w:rPr>
          <w:t>[Maturi 2024]</w:t>
        </w:r>
      </w:hyperlink>
      <w:r>
        <w:t xml:space="preserve"> </w:t>
      </w:r>
      <w:hyperlink r:id="rId51">
        <w:r>
          <w:rPr>
            <w:color w:val="0563C1"/>
            <w:u w:val="single"/>
            <w:sz w:val="17"/>
          </w:rPr>
          <w:t>[Singh 2024]</w:t>
        </w:r>
      </w:hyperlink>
      <w:r>
        <w:t xml:space="preserve"> </w:t>
      </w:r>
      <w:hyperlink r:id="rId52">
        <w:r>
          <w:rPr>
            <w:color w:val="0563C1"/>
            <w:u w:val="single"/>
            <w:sz w:val="17"/>
          </w:rPr>
          <w:t>[Kuo 2024]</w:t>
        </w:r>
      </w:hyperlink>
      <w:r>
        <w:t xml:space="preserve"> </w:t>
      </w:r>
      <w:hyperlink r:id="rId53">
        <w:r>
          <w:rPr>
            <w:color w:val="0563C1"/>
            <w:u w:val="single"/>
            <w:sz w:val="17"/>
          </w:rPr>
          <w:t>[Zhang 2026]</w:t>
        </w:r>
      </w:hyperlink>
    </w:p>
    <w:tbl>
      <w:tblPr>
        <w:tblW w:type="dxa" w:w="10080"/>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2" w:space="0" w:color="1B1F17"/>
          <w:insideV w:val="single" w:sz="2" w:space="0" w:color="1B1F17"/>
        </w:tblBorders>
        <w:tblCellMar>
          <w:left w:w="10" w:type="dxa"/>
          <w:right w:w="10" w:type="dxa"/>
        </w:tblCellMar>
      </w:tblPr>
      <w:tblGrid>
        <w:gridCol w:w="10080"/>
      </w:tblGrid>
      <w:tr>
        <w:tc>
          <w:tcPr>
            <w:tcW w:type="dxa" w:w="10080"/>
            <w:shd w:fill="10120F"/>
            <w:tcMar>
              <w:top w:w="240" w:type="dxa"/>
              <w:left w:w="280" w:type="dxa"/>
              <w:bottom w:w="240" w:type="dxa"/>
              <w:right w:w="280" w:type="dxa"/>
            </w:tcMar>
          </w:tcPr>
          <w:p>
            <w:pPr>
              <w:spacing w:after="0" w:line="320" w:lineRule="auto"/>
            </w:pPr>
            <w:r>
              <w:rPr>
                <w:b/>
                <w:caps/>
                <w:color w:val="10120F"/>
                <w:sz w:val="16"/>
                <w:spacing w:val="30"/>
                <w:shd w:val="clear" w:color="auto" w:fill="D7FF5F"/>
              </w:rPr>
              <w:t>Citation rule</w:t>
            </w:r>
            <w:r>
              <w:rPr>
                <w:color w:val="F6F1E8"/>
                <w:sz w:val="20"/>
              </w:rPr>
              <w:t>: every finding-oriented paragraph and table row includes inline hyperlinked source labels. Long code lists are pointed to their supplement or appendix location rather than reproduced in full.</w:t>
            </w:r>
            <w:r>
              <w:t xml:space="preserve"> </w:t>
            </w:r>
            <w:hyperlink r:id="rId54">
              <w:r>
                <w:rPr>
                  <w:color w:val="D7FF5F"/>
                  <w:u w:val="single"/>
                  <w:sz w:val="17"/>
                </w:rPr>
                <w:t>[Maturi supplement]</w:t>
              </w:r>
            </w:hyperlink>
            <w:r>
              <w:t xml:space="preserve"> </w:t>
            </w:r>
            <w:hyperlink r:id="rId55">
              <w:r>
                <w:rPr>
                  <w:color w:val="D7FF5F"/>
                  <w:u w:val="single"/>
                  <w:sz w:val="17"/>
                </w:rPr>
                <w:t>[Zhang supplement]</w:t>
              </w:r>
            </w:hyperlink>
          </w:p>
        </w:tc>
      </w:tr>
    </w:tbl>
    <w:p>
      <w:pPr>
        <w:spacing w:after="40"/>
      </w:pPr>
    </w:p>
    <w:p>
      <w:pPr>
        <w:spacing w:before="360" w:after="160" w:line="320" w:lineRule="auto"/>
        <w:pBdr>
          <w:bottom w:val="single" w:sz="6" w:space="6" w:color="10120F"/>
        </w:pBdr>
      </w:pPr>
      <w:r>
        <w:rPr>
          <w:b/>
          <w:color w:val="10120F"/>
          <w:sz w:val="30"/>
        </w:rPr>
        <w:t>1.  Executive Takeaways</w:t>
      </w:r>
    </w:p>
    <w:p>
      <w:pPr>
        <w:tabs>
          <w:tab w:pos="403" w:val="left"/>
        </w:tabs>
        <w:spacing w:after="100" w:line="300" w:lineRule="auto"/>
        <w:ind w:left="403" w:hanging="403"/>
      </w:pPr>
      <w:r>
        <w:rPr>
          <w:color w:val="10120F"/>
          <w:sz w:val="19"/>
        </w:rPr>
        <w:t>-</w:t>
        <w:tab/>
      </w:r>
      <w:r>
        <w:rPr>
          <w:color w:val="10120F"/>
          <w:sz w:val="19"/>
        </w:rPr>
        <w:t>The most common IRIS DME study design is retrospective registry analysis using diagnosis or treatment events to define an index date, usually followed by treatment-pattern, visual-acuity, anatomic, durability, or safety outcomes.</w:t>
      </w:r>
      <w:r>
        <w:t xml:space="preserve"> </w:t>
      </w:r>
      <w:hyperlink r:id="rId56">
        <w:r>
          <w:rPr>
            <w:color w:val="0563C1"/>
            <w:u w:val="single"/>
            <w:sz w:val="17"/>
          </w:rPr>
          <w:t>[Cantrell 2020]</w:t>
        </w:r>
      </w:hyperlink>
      <w:r>
        <w:t xml:space="preserve"> </w:t>
      </w:r>
      <w:hyperlink r:id="rId52">
        <w:r>
          <w:rPr>
            <w:color w:val="0563C1"/>
            <w:u w:val="single"/>
            <w:sz w:val="17"/>
          </w:rPr>
          <w:t>[Kuo 2024]</w:t>
        </w:r>
      </w:hyperlink>
      <w:r>
        <w:t xml:space="preserve"> </w:t>
      </w:r>
      <w:hyperlink r:id="rId51">
        <w:r>
          <w:rPr>
            <w:color w:val="0563C1"/>
            <w:u w:val="single"/>
            <w:sz w:val="17"/>
          </w:rPr>
          <w:t>[Singh 2024]</w:t>
        </w:r>
      </w:hyperlink>
      <w:r>
        <w:t xml:space="preserve"> </w:t>
      </w:r>
      <w:hyperlink r:id="rId57">
        <w:r>
          <w:rPr>
            <w:color w:val="0563C1"/>
            <w:u w:val="single"/>
            <w:sz w:val="17"/>
          </w:rPr>
          <w:t>[ARVO 2024 FARETINA]</w:t>
        </w:r>
      </w:hyperlink>
    </w:p>
    <w:p>
      <w:pPr>
        <w:tabs>
          <w:tab w:pos="403" w:val="left"/>
        </w:tabs>
        <w:spacing w:after="100" w:line="300" w:lineRule="auto"/>
        <w:ind w:left="403" w:hanging="403"/>
      </w:pPr>
      <w:r>
        <w:rPr>
          <w:color w:val="10120F"/>
          <w:sz w:val="19"/>
        </w:rPr>
        <w:t>-</w:t>
        <w:tab/>
      </w:r>
      <w:r>
        <w:rPr>
          <w:color w:val="10120F"/>
          <w:sz w:val="19"/>
        </w:rPr>
        <w:t>For treatment-naive anti-VEGF studies, the most explicit operational pattern is a 12-month clean lookback with no prior anti-VEGF, a DME diagnosis near the index injection, adult age criteria, and a baseline VA window before or at index.</w:t>
      </w:r>
      <w:r>
        <w:t xml:space="preserve"> </w:t>
      </w:r>
      <w:hyperlink r:id="rId51">
        <w:r>
          <w:rPr>
            <w:color w:val="0563C1"/>
            <w:u w:val="single"/>
            <w:sz w:val="17"/>
          </w:rPr>
          <w:t>[Singh 2024]</w:t>
        </w:r>
      </w:hyperlink>
      <w:r>
        <w:t xml:space="preserve"> </w:t>
      </w:r>
      <w:hyperlink r:id="rId52">
        <w:r>
          <w:rPr>
            <w:color w:val="0563C1"/>
            <w:u w:val="single"/>
            <w:sz w:val="17"/>
          </w:rPr>
          <w:t>[Kuo 2024]</w:t>
        </w:r>
      </w:hyperlink>
      <w:r>
        <w:t xml:space="preserve"> </w:t>
      </w:r>
      <w:hyperlink r:id="rId58">
        <w:r>
          <w:rPr>
            <w:color w:val="0563C1"/>
            <w:u w:val="single"/>
            <w:sz w:val="17"/>
          </w:rPr>
          <w:t>[ASRS 2022 Leng]</w:t>
        </w:r>
      </w:hyperlink>
    </w:p>
    <w:p>
      <w:pPr>
        <w:tabs>
          <w:tab w:pos="403" w:val="left"/>
        </w:tabs>
        <w:spacing w:after="100" w:line="300" w:lineRule="auto"/>
        <w:ind w:left="403" w:hanging="403"/>
      </w:pPr>
      <w:r>
        <w:rPr>
          <w:color w:val="10120F"/>
          <w:sz w:val="19"/>
        </w:rPr>
        <w:t>-</w:t>
        <w:tab/>
      </w:r>
      <w:r>
        <w:rPr>
          <w:color w:val="10120F"/>
          <w:sz w:val="19"/>
        </w:rPr>
        <w:t>Visual acuity is commonly normalized to approximate ETDRS letters; the full-text studies expose the formula `85 + 50 x log(Snellen fraction)` when Snellen conversion is required.</w:t>
      </w:r>
      <w:r>
        <w:t xml:space="preserve"> </w:t>
      </w:r>
      <w:hyperlink r:id="rId50">
        <w:r>
          <w:rPr>
            <w:color w:val="0563C1"/>
            <w:u w:val="single"/>
            <w:sz w:val="17"/>
          </w:rPr>
          <w:t>[Maturi 2024]</w:t>
        </w:r>
      </w:hyperlink>
      <w:r>
        <w:t xml:space="preserve"> </w:t>
      </w:r>
      <w:hyperlink r:id="rId51">
        <w:r>
          <w:rPr>
            <w:color w:val="0563C1"/>
            <w:u w:val="single"/>
            <w:sz w:val="17"/>
          </w:rPr>
          <w:t>[Singh 2024]</w:t>
        </w:r>
      </w:hyperlink>
    </w:p>
    <w:p>
      <w:pPr>
        <w:tabs>
          <w:tab w:pos="403" w:val="left"/>
        </w:tabs>
        <w:spacing w:after="100" w:line="300" w:lineRule="auto"/>
        <w:ind w:left="403" w:hanging="403"/>
      </w:pPr>
      <w:r>
        <w:rPr>
          <w:color w:val="10120F"/>
          <w:sz w:val="19"/>
        </w:rPr>
        <w:t>-</w:t>
        <w:tab/>
      </w:r>
      <w:r>
        <w:rPr>
          <w:color w:val="10120F"/>
          <w:sz w:val="19"/>
        </w:rPr>
        <w:t>The faricimab FARETINA-DME materials add the clearest anatomic and durability definitions: treatment-naive vs prior-treated lookback, VA windows around injection visits, CST baseline/follow-up windows, interval extension thresholds, and injection-frequency summaries.</w:t>
      </w:r>
      <w:r>
        <w:t xml:space="preserve"> </w:t>
      </w:r>
      <w:hyperlink r:id="rId57">
        <w:r>
          <w:rPr>
            <w:color w:val="0563C1"/>
            <w:u w:val="single"/>
            <w:sz w:val="17"/>
          </w:rPr>
          <w:t>[ARVO 2024 FARETINA]</w:t>
        </w:r>
      </w:hyperlink>
      <w:r>
        <w:t xml:space="preserve"> </w:t>
      </w:r>
      <w:hyperlink r:id="rId59">
        <w:r>
          <w:rPr>
            <w:color w:val="0563C1"/>
            <w:u w:val="single"/>
            <w:sz w:val="17"/>
          </w:rPr>
          <w:t>[ASRS 2024 FARETINA]</w:t>
        </w:r>
      </w:hyperlink>
      <w:r>
        <w:t xml:space="preserve"> </w:t>
      </w:r>
      <w:hyperlink r:id="rId60">
        <w:r>
          <w:rPr>
            <w:color w:val="0563C1"/>
            <w:u w:val="single"/>
            <w:sz w:val="17"/>
          </w:rPr>
          <w:t>[Hawaiian Eye 2025 FARETINA]</w:t>
        </w:r>
      </w:hyperlink>
      <w:r>
        <w:t xml:space="preserve"> </w:t>
      </w:r>
      <w:hyperlink r:id="rId61">
        <w:r>
          <w:rPr>
            <w:color w:val="0563C1"/>
            <w:u w:val="single"/>
            <w:sz w:val="17"/>
          </w:rPr>
          <w:t>[Macula Society 2026 FARETINA]</w:t>
        </w:r>
      </w:hyperlink>
    </w:p>
    <w:p>
      <w:pPr>
        <w:tabs>
          <w:tab w:pos="403" w:val="left"/>
        </w:tabs>
        <w:spacing w:after="100" w:line="300" w:lineRule="auto"/>
        <w:ind w:left="403" w:hanging="403"/>
      </w:pPr>
      <w:r>
        <w:rPr>
          <w:color w:val="10120F"/>
          <w:sz w:val="19"/>
        </w:rPr>
        <w:t>-</w:t>
        <w:tab/>
      </w:r>
      <w:r>
        <w:rPr>
          <w:color w:val="10120F"/>
          <w:sz w:val="19"/>
        </w:rPr>
        <w:t>Code-level reproducibility remains uneven: some full-text papers point to supplements for ICD-10-CM or disease-code definitions, while older publisher-gated papers expose only abstract-level methods in the available public record.</w:t>
      </w:r>
      <w:r>
        <w:t xml:space="preserve"> </w:t>
      </w:r>
      <w:hyperlink r:id="rId54">
        <w:r>
          <w:rPr>
            <w:color w:val="0563C1"/>
            <w:u w:val="single"/>
            <w:sz w:val="17"/>
          </w:rPr>
          <w:t>[Maturi supplement]</w:t>
        </w:r>
      </w:hyperlink>
      <w:r>
        <w:t xml:space="preserve"> </w:t>
      </w:r>
      <w:hyperlink r:id="rId62">
        <w:r>
          <w:rPr>
            <w:color w:val="0563C1"/>
            <w:u w:val="single"/>
            <w:sz w:val="17"/>
          </w:rPr>
          <w:t>[Malhotra 2021]</w:t>
        </w:r>
      </w:hyperlink>
      <w:r>
        <w:t xml:space="preserve"> </w:t>
      </w:r>
      <w:hyperlink r:id="rId63">
        <w:r>
          <w:rPr>
            <w:color w:val="0563C1"/>
            <w:u w:val="single"/>
            <w:sz w:val="17"/>
          </w:rPr>
          <w:t>[Greenlee 2022]</w:t>
        </w:r>
      </w:hyperlink>
      <w:r>
        <w:t xml:space="preserve"> </w:t>
      </w:r>
      <w:hyperlink r:id="rId55">
        <w:r>
          <w:rPr>
            <w:color w:val="0563C1"/>
            <w:u w:val="single"/>
            <w:sz w:val="17"/>
          </w:rPr>
          <w:t>[Zhang supplement]</w:t>
        </w:r>
      </w:hyperlink>
    </w:p>
    <w:p>
      <w:pPr>
        <w:spacing w:before="360" w:after="160" w:line="320" w:lineRule="auto"/>
        <w:pBdr>
          <w:bottom w:val="single" w:sz="6" w:space="6" w:color="10120F"/>
        </w:pBdr>
      </w:pPr>
      <w:r>
        <w:rPr>
          <w:b/>
          <w:color w:val="10120F"/>
          <w:sz w:val="30"/>
        </w:rPr>
        <w:t>2.  Recommended Methods Pattern</w:t>
      </w:r>
    </w:p>
    <w:p>
      <w:pPr>
        <w:spacing w:before="0" w:after="120" w:line="300" w:lineRule="auto"/>
      </w:pPr>
      <w:r>
        <w:rPr>
          <w:b w:val="0"/>
          <w:i w:val="0"/>
          <w:color w:val="10120F"/>
          <w:sz w:val="20"/>
        </w:rPr>
        <w:t>For a new IRIS Registry DME evaluation, the most reproducible approach is an eye-level retrospective cohort with laterality-specific DME identification, a clinically meaningful index date such as first anti-VEGF or first faricimab injection, a 12-month pre-index lookback to classify treatment history, and explicit follow-up windows for VA, CST, injections, discontinuation, reinitiation, switching, and safety outcomes.</w:t>
      </w:r>
      <w:r>
        <w:t xml:space="preserve"> </w:t>
      </w:r>
      <w:hyperlink r:id="rId51">
        <w:r>
          <w:rPr>
            <w:color w:val="0563C1"/>
            <w:u w:val="single"/>
            <w:sz w:val="18"/>
          </w:rPr>
          <w:t>[Singh 2024]</w:t>
        </w:r>
      </w:hyperlink>
      <w:r>
        <w:t xml:space="preserve"> </w:t>
      </w:r>
      <w:hyperlink r:id="rId52">
        <w:r>
          <w:rPr>
            <w:color w:val="0563C1"/>
            <w:u w:val="single"/>
            <w:sz w:val="18"/>
          </w:rPr>
          <w:t>[Kuo 2024]</w:t>
        </w:r>
      </w:hyperlink>
      <w:r>
        <w:t xml:space="preserve"> </w:t>
      </w:r>
      <w:hyperlink r:id="rId57">
        <w:r>
          <w:rPr>
            <w:color w:val="0563C1"/>
            <w:u w:val="single"/>
            <w:sz w:val="18"/>
          </w:rPr>
          <w:t>[ARVO 2024 FARETINA]</w:t>
        </w:r>
      </w:hyperlink>
      <w:r>
        <w:t xml:space="preserve"> </w:t>
      </w:r>
      <w:hyperlink r:id="rId59">
        <w:r>
          <w:rPr>
            <w:color w:val="0563C1"/>
            <w:u w:val="single"/>
            <w:sz w:val="18"/>
          </w:rPr>
          <w:t>[ASRS 2024 FARETINA]</w:t>
        </w:r>
      </w:hyperlink>
    </w:p>
    <w:p>
      <w:pPr>
        <w:spacing w:before="0" w:after="120" w:line="300" w:lineRule="auto"/>
      </w:pPr>
      <w:r>
        <w:rPr>
          <w:b w:val="0"/>
          <w:i w:val="0"/>
          <w:color w:val="10120F"/>
          <w:sz w:val="20"/>
        </w:rPr>
        <w:t>If both eyes are eligible, prior studies either analyze eyes while accounting for bilateral clustering or select one eye per patient; the Maturi full text explicitly selected one eye per patient and randomly selected laterality when both eyes met criteria.</w:t>
      </w:r>
      <w:r>
        <w:t xml:space="preserve"> </w:t>
      </w:r>
      <w:hyperlink r:id="rId50">
        <w:r>
          <w:rPr>
            <w:color w:val="0563C1"/>
            <w:u w:val="single"/>
            <w:sz w:val="18"/>
          </w:rPr>
          <w:t>[Maturi 2024]</w:t>
        </w:r>
      </w:hyperlink>
      <w:r>
        <w:t xml:space="preserve"> </w:t>
      </w:r>
      <w:hyperlink r:id="rId51">
        <w:r>
          <w:rPr>
            <w:color w:val="0563C1"/>
            <w:u w:val="single"/>
            <w:sz w:val="18"/>
          </w:rPr>
          <w:t>[Singh 2024]</w:t>
        </w:r>
      </w:hyperlink>
    </w:p>
    <w:p>
      <w:pPr>
        <w:spacing w:before="0" w:after="120" w:line="300" w:lineRule="auto"/>
      </w:pPr>
      <w:r>
        <w:rPr>
          <w:b w:val="0"/>
          <w:i w:val="0"/>
          <w:color w:val="10120F"/>
          <w:sz w:val="20"/>
        </w:rPr>
        <w:t>Outcomes that have already been studied include initial treatment choice, anti-VEGF injection use, VA change, DR severity at initiation, annualized injections, injection intervals, discontinuation, reinitiation, switching, CST change, CST threshold achievement, safety events, infectious endophthalmitis outcomes, health care resource use, and costs.</w:t>
      </w:r>
      <w:r>
        <w:t xml:space="preserve"> </w:t>
      </w:r>
      <w:hyperlink r:id="rId56">
        <w:r>
          <w:rPr>
            <w:color w:val="0563C1"/>
            <w:u w:val="single"/>
            <w:sz w:val="18"/>
          </w:rPr>
          <w:t>[Cantrell 2020]</w:t>
        </w:r>
      </w:hyperlink>
      <w:r>
        <w:t xml:space="preserve"> </w:t>
      </w:r>
      <w:hyperlink r:id="rId62">
        <w:r>
          <w:rPr>
            <w:color w:val="0563C1"/>
            <w:u w:val="single"/>
            <w:sz w:val="18"/>
          </w:rPr>
          <w:t>[Malhotra 2021]</w:t>
        </w:r>
      </w:hyperlink>
      <w:r>
        <w:t xml:space="preserve"> </w:t>
      </w:r>
      <w:hyperlink r:id="rId63">
        <w:r>
          <w:rPr>
            <w:color w:val="0563C1"/>
            <w:u w:val="single"/>
            <w:sz w:val="18"/>
          </w:rPr>
          <w:t>[Greenlee 2022]</w:t>
        </w:r>
      </w:hyperlink>
      <w:r>
        <w:t xml:space="preserve"> </w:t>
      </w:r>
      <w:hyperlink r:id="rId52">
        <w:r>
          <w:rPr>
            <w:color w:val="0563C1"/>
            <w:u w:val="single"/>
            <w:sz w:val="18"/>
          </w:rPr>
          <w:t>[Kuo 2024]</w:t>
        </w:r>
      </w:hyperlink>
      <w:r>
        <w:t xml:space="preserve"> </w:t>
      </w:r>
      <w:hyperlink r:id="rId51">
        <w:r>
          <w:rPr>
            <w:color w:val="0563C1"/>
            <w:u w:val="single"/>
            <w:sz w:val="18"/>
          </w:rPr>
          <w:t>[Singh 2024]</w:t>
        </w:r>
      </w:hyperlink>
      <w:r>
        <w:t xml:space="preserve"> </w:t>
      </w:r>
      <w:hyperlink r:id="rId53">
        <w:r>
          <w:rPr>
            <w:color w:val="0563C1"/>
            <w:u w:val="single"/>
            <w:sz w:val="18"/>
          </w:rPr>
          <w:t>[Zhang 2026]</w:t>
        </w:r>
      </w:hyperlink>
      <w:r>
        <w:t xml:space="preserve"> </w:t>
      </w:r>
      <w:hyperlink r:id="rId64">
        <w:r>
          <w:rPr>
            <w:color w:val="0563C1"/>
            <w:u w:val="single"/>
            <w:sz w:val="18"/>
          </w:rPr>
          <w:t>[ARVO 2026 linked claims]</w:t>
        </w:r>
      </w:hyperlink>
    </w:p>
    <w:p>
      <w:pPr>
        <w:sectPr>
          <w:headerReference w:type="even" r:id="rId40"/>
          <w:headerReference w:type="default" r:id="rId41"/>
          <w:footerReference w:type="even" r:id="rId42"/>
          <w:footerReference w:type="default" r:id="rId43"/>
          <w:headerReference w:type="first" r:id="rId44"/>
          <w:footerReference w:type="first" r:id="rId45"/>
          <w:pgSz w:w="12240" w:h="15840"/>
          <w:pgMar w:top="1080" w:right="1080" w:bottom="1080" w:left="1080" w:header="708" w:footer="708" w:gutter="0"/>
          <w:cols w:space="720"/>
          <w:docGrid w:linePitch="360"/>
        </w:sectPr>
      </w:pPr>
    </w:p>
    <w:p>
      <w:pPr>
        <w:spacing w:before="360" w:after="160" w:line="320" w:lineRule="auto"/>
        <w:pBdr>
          <w:bottom w:val="single" w:sz="6" w:space="6" w:color="10120F"/>
        </w:pBdr>
      </w:pPr>
      <w:r>
        <w:rPr>
          <w:b/>
          <w:color w:val="10120F"/>
          <w:sz w:val="30"/>
        </w:rPr>
        <w:t>3.  Primary DME Publication Methods Matrix</w:t>
      </w:r>
    </w:p>
    <w:tbl>
      <w:tblPr>
        <w:tblW w:type="dxa" w:w="14256"/>
        <w:tblLayout w:type="autofit"/>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2" w:space="0" w:color="1B1F17"/>
          <w:insideV w:val="single" w:sz="2" w:space="0" w:color="1B1F17"/>
        </w:tblBorders>
        <w:tblCellMar>
          <w:left w:w="10" w:type="dxa"/>
          <w:right w:w="10" w:type="dxa"/>
        </w:tblCellMar>
      </w:tblPr>
      <w:tblGrid>
        <w:gridCol w:w="2037"/>
        <w:gridCol w:w="2037"/>
        <w:gridCol w:w="2037"/>
        <w:gridCol w:w="2037"/>
        <w:gridCol w:w="2037"/>
        <w:gridCol w:w="2037"/>
        <w:gridCol w:w="2037"/>
      </w:tblGrid>
      <w:tr>
        <w:trPr>
          <w:cantSplit/>
        </w:trPr>
        <w:tc>
          <w:tcPr>
            <w:tcW w:type="dxa" w:w="1944"/>
            <w:shd w:fill="10120F"/>
            <w:tcMar>
              <w:top w:w="120" w:type="dxa"/>
              <w:left w:w="140" w:type="dxa"/>
              <w:bottom w:w="120" w:type="dxa"/>
              <w:right w:w="140" w:type="dxa"/>
            </w:tcMar>
            <w:vAlign w:val="top"/>
          </w:tcPr>
          <w:p>
            <w:pPr>
              <w:spacing w:after="0" w:line="240" w:lineRule="auto"/>
            </w:pPr>
            <w:r/>
            <w:r>
              <w:rPr>
                <w:b/>
                <w:caps/>
                <w:color w:val="D7FF5F"/>
                <w:sz w:val="13"/>
              </w:rPr>
              <w:t>Publication / item</w:t>
            </w:r>
          </w:p>
        </w:tc>
        <w:tc>
          <w:tcPr>
            <w:tcW w:type="dxa" w:w="2088"/>
            <w:shd w:fill="10120F"/>
            <w:tcMar>
              <w:top w:w="120" w:type="dxa"/>
              <w:left w:w="140" w:type="dxa"/>
              <w:bottom w:w="120" w:type="dxa"/>
              <w:right w:w="140" w:type="dxa"/>
            </w:tcMar>
            <w:vAlign w:val="top"/>
          </w:tcPr>
          <w:p>
            <w:pPr>
              <w:spacing w:after="0" w:line="240" w:lineRule="auto"/>
            </w:pPr>
            <w:r/>
            <w:r>
              <w:rPr>
                <w:b/>
                <w:caps/>
                <w:color w:val="D7FF5F"/>
                <w:sz w:val="13"/>
              </w:rPr>
              <w:t>Design and period</w:t>
            </w:r>
          </w:p>
        </w:tc>
        <w:tc>
          <w:tcPr>
            <w:tcW w:type="dxa" w:w="2448"/>
            <w:shd w:fill="10120F"/>
            <w:tcMar>
              <w:top w:w="120" w:type="dxa"/>
              <w:left w:w="140" w:type="dxa"/>
              <w:bottom w:w="120" w:type="dxa"/>
              <w:right w:w="140" w:type="dxa"/>
            </w:tcMar>
            <w:vAlign w:val="top"/>
          </w:tcPr>
          <w:p>
            <w:pPr>
              <w:spacing w:after="0" w:line="240" w:lineRule="auto"/>
            </w:pPr>
            <w:r/>
            <w:r>
              <w:rPr>
                <w:b/>
                <w:caps/>
                <w:color w:val="D7FF5F"/>
                <w:sz w:val="13"/>
              </w:rPr>
              <w:t>Cohort / patient definition</w:t>
            </w:r>
          </w:p>
        </w:tc>
        <w:tc>
          <w:tcPr>
            <w:tcW w:type="dxa" w:w="2232"/>
            <w:shd w:fill="10120F"/>
            <w:tcMar>
              <w:top w:w="120" w:type="dxa"/>
              <w:left w:w="140" w:type="dxa"/>
              <w:bottom w:w="120" w:type="dxa"/>
              <w:right w:w="140" w:type="dxa"/>
            </w:tcMar>
            <w:vAlign w:val="top"/>
          </w:tcPr>
          <w:p>
            <w:pPr>
              <w:spacing w:after="0" w:line="240" w:lineRule="auto"/>
            </w:pPr>
            <w:r/>
            <w:r>
              <w:rPr>
                <w:b/>
                <w:caps/>
                <w:color w:val="D7FF5F"/>
                <w:sz w:val="13"/>
              </w:rPr>
              <w:t>Index and lookback</w:t>
            </w:r>
          </w:p>
        </w:tc>
        <w:tc>
          <w:tcPr>
            <w:tcW w:type="dxa" w:w="2376"/>
            <w:shd w:fill="10120F"/>
            <w:tcMar>
              <w:top w:w="120" w:type="dxa"/>
              <w:left w:w="140" w:type="dxa"/>
              <w:bottom w:w="120" w:type="dxa"/>
              <w:right w:w="140" w:type="dxa"/>
            </w:tcMar>
            <w:vAlign w:val="top"/>
          </w:tcPr>
          <w:p>
            <w:pPr>
              <w:spacing w:after="0" w:line="240" w:lineRule="auto"/>
            </w:pPr>
            <w:r/>
            <w:r>
              <w:rPr>
                <w:b/>
                <w:caps/>
                <w:color w:val="D7FF5F"/>
                <w:sz w:val="13"/>
              </w:rPr>
              <w:t>Outcomes studied</w:t>
            </w:r>
          </w:p>
        </w:tc>
        <w:tc>
          <w:tcPr>
            <w:tcW w:type="dxa" w:w="3744"/>
            <w:shd w:fill="10120F"/>
            <w:tcMar>
              <w:top w:w="120" w:type="dxa"/>
              <w:left w:w="140" w:type="dxa"/>
              <w:bottom w:w="120" w:type="dxa"/>
              <w:right w:w="140" w:type="dxa"/>
            </w:tcMar>
            <w:vAlign w:val="top"/>
          </w:tcPr>
          <w:p>
            <w:pPr>
              <w:spacing w:after="0" w:line="240" w:lineRule="auto"/>
            </w:pPr>
            <w:r/>
            <w:r>
              <w:rPr>
                <w:b/>
                <w:caps/>
                <w:color w:val="D7FF5F"/>
                <w:sz w:val="13"/>
              </w:rPr>
              <w:t>Operational details and gaps</w:t>
            </w:r>
          </w:p>
        </w:tc>
        <w:tc>
          <w:tcPr>
            <w:tcW w:type="dxa" w:w="1728"/>
            <w:shd w:fill="10120F"/>
            <w:tcMar>
              <w:top w:w="120" w:type="dxa"/>
              <w:left w:w="140" w:type="dxa"/>
              <w:bottom w:w="120" w:type="dxa"/>
              <w:right w:w="140" w:type="dxa"/>
            </w:tcMar>
            <w:vAlign w:val="top"/>
          </w:tcPr>
          <w:p>
            <w:pPr>
              <w:spacing w:after="0" w:line="240" w:lineRule="auto"/>
            </w:pPr>
            <w:r/>
            <w:r>
              <w:rPr>
                <w:b/>
                <w:caps/>
                <w:color w:val="D7FF5F"/>
                <w:sz w:val="13"/>
              </w:rPr>
              <w:t>Source</w:t>
            </w:r>
          </w:p>
        </w:tc>
      </w:tr>
      <w:tr>
        <w:trPr>
          <w:cantSplit/>
        </w:trPr>
        <w:tc>
          <w:tcPr>
            <w:tcW w:type="dxa" w:w="1944"/>
            <w:shd w:fill="F6F1E8"/>
            <w:tcMar>
              <w:top w:w="120" w:type="dxa"/>
              <w:left w:w="140" w:type="dxa"/>
              <w:bottom w:w="120" w:type="dxa"/>
              <w:right w:w="140" w:type="dxa"/>
            </w:tcMar>
            <w:vAlign w:val="top"/>
          </w:tcPr>
          <w:p>
            <w:pPr>
              <w:spacing w:after="0" w:line="264" w:lineRule="auto"/>
            </w:pPr>
            <w:r/>
            <w:r>
              <w:rPr>
                <w:b/>
                <w:caps w:val="0"/>
                <w:color w:val="10120F"/>
                <w:sz w:val="13"/>
              </w:rPr>
              <w:t>Cantrell 2020 treatment patterns</w:t>
            </w:r>
          </w:p>
        </w:tc>
        <w:tc>
          <w:tcPr>
            <w:tcW w:type="dxa" w:w="2088"/>
            <w:shd w:fill="F6F1E8"/>
            <w:tcMar>
              <w:top w:w="120" w:type="dxa"/>
              <w:left w:w="140" w:type="dxa"/>
              <w:bottom w:w="120" w:type="dxa"/>
              <w:right w:w="140" w:type="dxa"/>
            </w:tcMar>
            <w:vAlign w:val="top"/>
          </w:tcPr>
          <w:p>
            <w:pPr>
              <w:spacing w:after="0" w:line="264" w:lineRule="auto"/>
            </w:pPr>
            <w:r/>
            <w:r>
              <w:rPr>
                <w:b w:val="0"/>
                <w:caps w:val="0"/>
                <w:color w:val="10120F"/>
                <w:sz w:val="13"/>
              </w:rPr>
              <w:t>Retrospective IRIS Registry analysis; newly diagnosed / incident DME.</w:t>
            </w:r>
          </w:p>
        </w:tc>
        <w:tc>
          <w:tcPr>
            <w:tcW w:type="dxa" w:w="2448"/>
            <w:shd w:fill="F6F1E8"/>
            <w:tcMar>
              <w:top w:w="120" w:type="dxa"/>
              <w:left w:w="140" w:type="dxa"/>
              <w:bottom w:w="120" w:type="dxa"/>
              <w:right w:w="140" w:type="dxa"/>
            </w:tcMar>
            <w:vAlign w:val="top"/>
          </w:tcPr>
          <w:p>
            <w:pPr>
              <w:spacing w:after="0" w:line="264" w:lineRule="auto"/>
            </w:pPr>
            <w:r/>
            <w:r>
              <w:rPr>
                <w:b w:val="0"/>
                <w:caps w:val="0"/>
                <w:color w:val="10120F"/>
                <w:sz w:val="13"/>
              </w:rPr>
              <w:t>13,410 treatment-naive patients with DME in accessible article summaries.</w:t>
            </w:r>
          </w:p>
        </w:tc>
        <w:tc>
          <w:tcPr>
            <w:tcW w:type="dxa" w:w="2232"/>
            <w:shd w:fill="F6F1E8"/>
            <w:tcMar>
              <w:top w:w="120" w:type="dxa"/>
              <w:left w:w="140" w:type="dxa"/>
              <w:bottom w:w="120" w:type="dxa"/>
              <w:right w:w="140" w:type="dxa"/>
            </w:tcMar>
            <w:vAlign w:val="top"/>
          </w:tcPr>
          <w:p>
            <w:pPr>
              <w:spacing w:after="0" w:line="264" w:lineRule="auto"/>
            </w:pPr>
            <w:r/>
            <w:r>
              <w:rPr>
                <w:b w:val="0"/>
                <w:caps w:val="0"/>
                <w:color w:val="10120F"/>
                <w:sz w:val="13"/>
              </w:rPr>
              <w:t>Initial DME diagnosis; treatment captured within 28 days.</w:t>
            </w:r>
          </w:p>
        </w:tc>
        <w:tc>
          <w:tcPr>
            <w:tcW w:type="dxa" w:w="2376"/>
            <w:shd w:fill="F6F1E8"/>
            <w:tcMar>
              <w:top w:w="120" w:type="dxa"/>
              <w:left w:w="140" w:type="dxa"/>
              <w:bottom w:w="120" w:type="dxa"/>
              <w:right w:w="140" w:type="dxa"/>
            </w:tcMar>
            <w:vAlign w:val="top"/>
          </w:tcPr>
          <w:p>
            <w:pPr>
              <w:spacing w:after="0" w:line="264" w:lineRule="auto"/>
            </w:pPr>
            <w:r/>
            <w:r>
              <w:rPr>
                <w:b w:val="0"/>
                <w:caps w:val="0"/>
                <w:color w:val="10120F"/>
                <w:sz w:val="13"/>
              </w:rPr>
              <w:t>Observation/no immediate treatment, anti-VEGF, laser, corticosteroid, and combination therapy.</w:t>
            </w:r>
          </w:p>
        </w:tc>
        <w:tc>
          <w:tcPr>
            <w:tcW w:type="dxa" w:w="3744"/>
            <w:shd w:fill="F6F1E8"/>
            <w:tcMar>
              <w:top w:w="120" w:type="dxa"/>
              <w:left w:w="140" w:type="dxa"/>
              <w:bottom w:w="120" w:type="dxa"/>
              <w:right w:w="140" w:type="dxa"/>
            </w:tcMar>
            <w:vAlign w:val="top"/>
          </w:tcPr>
          <w:p>
            <w:pPr>
              <w:spacing w:after="0" w:line="264" w:lineRule="auto"/>
            </w:pPr>
            <w:r/>
            <w:r>
              <w:rPr>
                <w:b w:val="0"/>
                <w:caps w:val="0"/>
                <w:color w:val="10120F"/>
                <w:sz w:val="13"/>
              </w:rPr>
              <w:t>Initial 28-day counts: 9,990 observation/no treatment; 2,086 anti-VEGF; 1,133 laser; 133 corticosteroid; 68 combination. Code list and full inclusion/exclusion not exposed in accessible source.</w:t>
            </w:r>
          </w:p>
        </w:tc>
        <w:tc>
          <w:tcPr>
            <w:tcW w:type="dxa" w:w="1728"/>
            <w:shd w:fill="F6F1E8"/>
            <w:tcMar>
              <w:top w:w="120" w:type="dxa"/>
              <w:left w:w="140" w:type="dxa"/>
              <w:bottom w:w="120" w:type="dxa"/>
              <w:right w:w="140" w:type="dxa"/>
            </w:tcMar>
            <w:vAlign w:val="top"/>
          </w:tcPr>
          <w:p>
            <w:pPr>
              <w:spacing w:after="0" w:line="264" w:lineRule="auto"/>
            </w:pPr>
            <w:r/>
            <w:r>
              <w:rPr>
                <w:b w:val="0"/>
                <w:caps w:val="0"/>
                <w:color w:val="10120F"/>
                <w:sz w:val="13"/>
              </w:rPr>
            </w:r>
            <w:r>
              <w:t xml:space="preserve"> </w:t>
            </w:r>
            <w:hyperlink r:id="rId56">
              <w:r>
                <w:rPr>
                  <w:color w:val="0563C1"/>
                  <w:u w:val="single"/>
                  <w:sz w:val="13"/>
                </w:rPr>
                <w:t>[Cantrell 2020]</w:t>
              </w:r>
            </w:hyperlink>
            <w:r>
              <w:t xml:space="preserve"> </w:t>
            </w:r>
            <w:hyperlink r:id="rId48">
              <w:r>
                <w:rPr>
                  <w:color w:val="0563C1"/>
                  <w:u w:val="single"/>
                  <w:sz w:val="13"/>
                </w:rPr>
                <w:t>[AAO IRIS Research]</w:t>
              </w:r>
            </w:hyperlink>
          </w:p>
        </w:tc>
      </w:tr>
      <w:tr>
        <w:trPr>
          <w:cantSplit/>
        </w:trPr>
        <w:tc>
          <w:tcPr>
            <w:tcW w:type="dxa" w:w="1944"/>
            <w:shd w:fill="EBE4D6"/>
            <w:tcMar>
              <w:top w:w="120" w:type="dxa"/>
              <w:left w:w="140" w:type="dxa"/>
              <w:bottom w:w="120" w:type="dxa"/>
              <w:right w:w="140" w:type="dxa"/>
            </w:tcMar>
            <w:vAlign w:val="top"/>
          </w:tcPr>
          <w:p>
            <w:pPr>
              <w:spacing w:after="0" w:line="264" w:lineRule="auto"/>
            </w:pPr>
            <w:r/>
            <w:r>
              <w:rPr>
                <w:b/>
                <w:caps w:val="0"/>
                <w:color w:val="10120F"/>
                <w:sz w:val="13"/>
              </w:rPr>
              <w:t>Malhotra 2021 disparities at anti-VEGF initiation</w:t>
            </w:r>
          </w:p>
        </w:tc>
        <w:tc>
          <w:tcPr>
            <w:tcW w:type="dxa" w:w="2088"/>
            <w:shd w:fill="EBE4D6"/>
            <w:tcMar>
              <w:top w:w="120" w:type="dxa"/>
              <w:left w:w="140" w:type="dxa"/>
              <w:bottom w:w="120" w:type="dxa"/>
              <w:right w:w="140" w:type="dxa"/>
            </w:tcMar>
            <w:vAlign w:val="top"/>
          </w:tcPr>
          <w:p>
            <w:pPr>
              <w:spacing w:after="0" w:line="264" w:lineRule="auto"/>
            </w:pPr>
            <w:r/>
            <w:r>
              <w:rPr>
                <w:b w:val="0"/>
                <w:caps w:val="0"/>
                <w:color w:val="10120F"/>
                <w:sz w:val="13"/>
              </w:rPr>
              <w:t>Retrospective cross-sectional IRIS Registry study, 2012-2020.</w:t>
            </w:r>
          </w:p>
        </w:tc>
        <w:tc>
          <w:tcPr>
            <w:tcW w:type="dxa" w:w="2448"/>
            <w:shd w:fill="EBE4D6"/>
            <w:tcMar>
              <w:top w:w="120" w:type="dxa"/>
              <w:left w:w="140" w:type="dxa"/>
              <w:bottom w:w="120" w:type="dxa"/>
              <w:right w:w="140" w:type="dxa"/>
            </w:tcMar>
            <w:vAlign w:val="top"/>
          </w:tcPr>
          <w:p>
            <w:pPr>
              <w:spacing w:after="0" w:line="264" w:lineRule="auto"/>
            </w:pPr>
            <w:r/>
            <w:r>
              <w:rPr>
                <w:b w:val="0"/>
                <w:caps w:val="0"/>
                <w:color w:val="10120F"/>
                <w:sz w:val="13"/>
              </w:rPr>
              <w:t>Patients initiating anti-VEGF injection treatment for DME; n about 203,707 in abstract/preview.</w:t>
            </w:r>
          </w:p>
        </w:tc>
        <w:tc>
          <w:tcPr>
            <w:tcW w:type="dxa" w:w="2232"/>
            <w:shd w:fill="EBE4D6"/>
            <w:tcMar>
              <w:top w:w="120" w:type="dxa"/>
              <w:left w:w="140" w:type="dxa"/>
              <w:bottom w:w="120" w:type="dxa"/>
              <w:right w:w="140" w:type="dxa"/>
            </w:tcMar>
            <w:vAlign w:val="top"/>
          </w:tcPr>
          <w:p>
            <w:pPr>
              <w:spacing w:after="0" w:line="264" w:lineRule="auto"/>
            </w:pPr>
            <w:r/>
            <w:r>
              <w:rPr>
                <w:b w:val="0"/>
                <w:caps w:val="0"/>
                <w:color w:val="10120F"/>
                <w:sz w:val="13"/>
              </w:rPr>
              <w:t>Anti-VEGF initiation for DME.</w:t>
            </w:r>
          </w:p>
        </w:tc>
        <w:tc>
          <w:tcPr>
            <w:tcW w:type="dxa" w:w="2376"/>
            <w:shd w:fill="EBE4D6"/>
            <w:tcMar>
              <w:top w:w="120" w:type="dxa"/>
              <w:left w:w="140" w:type="dxa"/>
              <w:bottom w:w="120" w:type="dxa"/>
              <w:right w:w="140" w:type="dxa"/>
            </w:tcMar>
            <w:vAlign w:val="top"/>
          </w:tcPr>
          <w:p>
            <w:pPr>
              <w:spacing w:after="0" w:line="264" w:lineRule="auto"/>
            </w:pPr>
            <w:r/>
            <w:r>
              <w:rPr>
                <w:b w:val="0"/>
                <w:caps w:val="0"/>
                <w:color w:val="10120F"/>
                <w:sz w:val="13"/>
              </w:rPr>
              <w:t>Baseline/presenting VA and DR severity at treatment initiation.</w:t>
            </w:r>
          </w:p>
        </w:tc>
        <w:tc>
          <w:tcPr>
            <w:tcW w:type="dxa" w:w="3744"/>
            <w:shd w:fill="EBE4D6"/>
            <w:tcMar>
              <w:top w:w="120" w:type="dxa"/>
              <w:left w:w="140" w:type="dxa"/>
              <w:bottom w:w="120" w:type="dxa"/>
              <w:right w:w="140" w:type="dxa"/>
            </w:tcMar>
            <w:vAlign w:val="top"/>
          </w:tcPr>
          <w:p>
            <w:pPr>
              <w:spacing w:after="0" w:line="264" w:lineRule="auto"/>
            </w:pPr>
            <w:r/>
            <w:r>
              <w:rPr>
                <w:b w:val="0"/>
                <w:caps w:val="0"/>
                <w:color w:val="10120F"/>
                <w:sz w:val="13"/>
              </w:rPr>
              <w:t>Compared race, ethnicity, insurance, and geography using multivariable regression. Diagnostic code set and VA cleaning/window rules require publisher supplement/full text.</w:t>
            </w:r>
          </w:p>
        </w:tc>
        <w:tc>
          <w:tcPr>
            <w:tcW w:type="dxa" w:w="1728"/>
            <w:shd w:fill="EBE4D6"/>
            <w:tcMar>
              <w:top w:w="120" w:type="dxa"/>
              <w:left w:w="140" w:type="dxa"/>
              <w:bottom w:w="120" w:type="dxa"/>
              <w:right w:w="140" w:type="dxa"/>
            </w:tcMar>
            <w:vAlign w:val="top"/>
          </w:tcPr>
          <w:p>
            <w:pPr>
              <w:spacing w:after="0" w:line="264" w:lineRule="auto"/>
            </w:pPr>
            <w:r/>
            <w:r>
              <w:rPr>
                <w:b w:val="0"/>
                <w:caps w:val="0"/>
                <w:color w:val="10120F"/>
                <w:sz w:val="13"/>
              </w:rPr>
            </w:r>
            <w:r>
              <w:t xml:space="preserve"> </w:t>
            </w:r>
            <w:hyperlink r:id="rId62">
              <w:r>
                <w:rPr>
                  <w:color w:val="0563C1"/>
                  <w:u w:val="single"/>
                  <w:sz w:val="13"/>
                </w:rPr>
                <w:t>[Malhotra 2021]</w:t>
              </w:r>
            </w:hyperlink>
          </w:p>
        </w:tc>
      </w:tr>
      <w:tr>
        <w:trPr>
          <w:cantSplit/>
        </w:trPr>
        <w:tc>
          <w:tcPr>
            <w:tcW w:type="dxa" w:w="1944"/>
            <w:shd w:fill="F6F1E8"/>
            <w:tcMar>
              <w:top w:w="120" w:type="dxa"/>
              <w:left w:w="140" w:type="dxa"/>
              <w:bottom w:w="120" w:type="dxa"/>
              <w:right w:w="140" w:type="dxa"/>
            </w:tcMar>
            <w:vAlign w:val="top"/>
          </w:tcPr>
          <w:p>
            <w:pPr>
              <w:spacing w:after="0" w:line="264" w:lineRule="auto"/>
            </w:pPr>
            <w:r/>
            <w:r>
              <w:rPr>
                <w:b/>
                <w:caps w:val="0"/>
                <w:color w:val="10120F"/>
                <w:sz w:val="13"/>
              </w:rPr>
              <w:t>Greenlee 2022 socioeconomic disparities</w:t>
            </w:r>
          </w:p>
        </w:tc>
        <w:tc>
          <w:tcPr>
            <w:tcW w:type="dxa" w:w="2088"/>
            <w:shd w:fill="F6F1E8"/>
            <w:tcMar>
              <w:top w:w="120" w:type="dxa"/>
              <w:left w:w="140" w:type="dxa"/>
              <w:bottom w:w="120" w:type="dxa"/>
              <w:right w:w="140" w:type="dxa"/>
            </w:tcMar>
            <w:vAlign w:val="top"/>
          </w:tcPr>
          <w:p>
            <w:pPr>
              <w:spacing w:after="0" w:line="264" w:lineRule="auto"/>
            </w:pPr>
            <w:r/>
            <w:r>
              <w:rPr>
                <w:b w:val="0"/>
                <w:caps w:val="0"/>
                <w:color w:val="10120F"/>
                <w:sz w:val="13"/>
              </w:rPr>
              <w:t>Retrospective IRIS Registry cohort, 2012-2020.</w:t>
            </w:r>
          </w:p>
        </w:tc>
        <w:tc>
          <w:tcPr>
            <w:tcW w:type="dxa" w:w="2448"/>
            <w:shd w:fill="F6F1E8"/>
            <w:tcMar>
              <w:top w:w="120" w:type="dxa"/>
              <w:left w:w="140" w:type="dxa"/>
              <w:bottom w:w="120" w:type="dxa"/>
              <w:right w:w="140" w:type="dxa"/>
            </w:tcMar>
            <w:vAlign w:val="top"/>
          </w:tcPr>
          <w:p>
            <w:pPr>
              <w:spacing w:after="0" w:line="264" w:lineRule="auto"/>
            </w:pPr>
            <w:r/>
            <w:r>
              <w:rPr>
                <w:b w:val="0"/>
                <w:caps w:val="0"/>
                <w:color w:val="10120F"/>
                <w:sz w:val="13"/>
              </w:rPr>
              <w:t>DME diagnosis plus at least one anti-VEGF injection; n 203,707 in PubMed abstract.</w:t>
            </w:r>
          </w:p>
        </w:tc>
        <w:tc>
          <w:tcPr>
            <w:tcW w:type="dxa" w:w="2232"/>
            <w:shd w:fill="F6F1E8"/>
            <w:tcMar>
              <w:top w:w="120" w:type="dxa"/>
              <w:left w:w="140" w:type="dxa"/>
              <w:bottom w:w="120" w:type="dxa"/>
              <w:right w:w="140" w:type="dxa"/>
            </w:tcMar>
            <w:vAlign w:val="top"/>
          </w:tcPr>
          <w:p>
            <w:pPr>
              <w:spacing w:after="0" w:line="264" w:lineRule="auto"/>
            </w:pPr>
            <w:r/>
            <w:r>
              <w:rPr>
                <w:b w:val="0"/>
                <w:caps w:val="0"/>
                <w:color w:val="10120F"/>
                <w:sz w:val="13"/>
              </w:rPr>
              <w:t>Anti-VEGF-treated DME cohort; exact index window not exposed in public abstract.</w:t>
            </w:r>
          </w:p>
        </w:tc>
        <w:tc>
          <w:tcPr>
            <w:tcW w:type="dxa" w:w="2376"/>
            <w:shd w:fill="F6F1E8"/>
            <w:tcMar>
              <w:top w:w="120" w:type="dxa"/>
              <w:left w:w="140" w:type="dxa"/>
              <w:bottom w:w="120" w:type="dxa"/>
              <w:right w:w="140" w:type="dxa"/>
            </w:tcMar>
            <w:vAlign w:val="top"/>
          </w:tcPr>
          <w:p>
            <w:pPr>
              <w:spacing w:after="0" w:line="264" w:lineRule="auto"/>
            </w:pPr>
            <w:r/>
            <w:r>
              <w:rPr>
                <w:b w:val="0"/>
                <w:caps w:val="0"/>
                <w:color w:val="10120F"/>
                <w:sz w:val="13"/>
              </w:rPr>
              <w:t>Anti-VEGF injection use over 60 months and longitudinal VA outcomes.</w:t>
            </w:r>
          </w:p>
        </w:tc>
        <w:tc>
          <w:tcPr>
            <w:tcW w:type="dxa" w:w="3744"/>
            <w:shd w:fill="F6F1E8"/>
            <w:tcMar>
              <w:top w:w="120" w:type="dxa"/>
              <w:left w:w="140" w:type="dxa"/>
              <w:bottom w:w="120" w:type="dxa"/>
              <w:right w:w="140" w:type="dxa"/>
            </w:tcMar>
            <w:vAlign w:val="top"/>
          </w:tcPr>
          <w:p>
            <w:pPr>
              <w:spacing w:after="0" w:line="264" w:lineRule="auto"/>
            </w:pPr>
            <w:r/>
            <w:r>
              <w:rPr>
                <w:b w:val="0"/>
                <w:caps w:val="0"/>
                <w:color w:val="10120F"/>
                <w:sz w:val="13"/>
              </w:rPr>
              <w:t>PubMed-level methods report multivariate regression, incidence rate ratios for injection use, and odds ratios for longitudinal VA; exact code lists and VA algorithms not exposed.</w:t>
            </w:r>
          </w:p>
        </w:tc>
        <w:tc>
          <w:tcPr>
            <w:tcW w:type="dxa" w:w="1728"/>
            <w:shd w:fill="F6F1E8"/>
            <w:tcMar>
              <w:top w:w="120" w:type="dxa"/>
              <w:left w:w="140" w:type="dxa"/>
              <w:bottom w:w="120" w:type="dxa"/>
              <w:right w:w="140" w:type="dxa"/>
            </w:tcMar>
            <w:vAlign w:val="top"/>
          </w:tcPr>
          <w:p>
            <w:pPr>
              <w:spacing w:after="0" w:line="264" w:lineRule="auto"/>
            </w:pPr>
            <w:r/>
            <w:r>
              <w:rPr>
                <w:b w:val="0"/>
                <w:caps w:val="0"/>
                <w:color w:val="10120F"/>
                <w:sz w:val="13"/>
              </w:rPr>
            </w:r>
            <w:r>
              <w:t xml:space="preserve"> </w:t>
            </w:r>
            <w:hyperlink r:id="rId63">
              <w:r>
                <w:rPr>
                  <w:color w:val="0563C1"/>
                  <w:u w:val="single"/>
                  <w:sz w:val="13"/>
                </w:rPr>
                <w:t>[Greenlee 2022]</w:t>
              </w:r>
            </w:hyperlink>
          </w:p>
        </w:tc>
      </w:tr>
      <w:tr>
        <w:trPr>
          <w:cantSplit/>
        </w:trPr>
        <w:tc>
          <w:tcPr>
            <w:tcW w:type="dxa" w:w="1944"/>
            <w:shd w:fill="EBE4D6"/>
            <w:tcMar>
              <w:top w:w="120" w:type="dxa"/>
              <w:left w:w="140" w:type="dxa"/>
              <w:bottom w:w="120" w:type="dxa"/>
              <w:right w:w="140" w:type="dxa"/>
            </w:tcMar>
            <w:vAlign w:val="top"/>
          </w:tcPr>
          <w:p>
            <w:pPr>
              <w:spacing w:after="0" w:line="264" w:lineRule="auto"/>
            </w:pPr>
            <w:r/>
            <w:r>
              <w:rPr>
                <w:b/>
                <w:caps w:val="0"/>
                <w:color w:val="10120F"/>
                <w:sz w:val="13"/>
              </w:rPr>
              <w:t>Maturi 2024 race/insurance in DR/DME</w:t>
            </w:r>
          </w:p>
        </w:tc>
        <w:tc>
          <w:tcPr>
            <w:tcW w:type="dxa" w:w="2088"/>
            <w:shd w:fill="EBE4D6"/>
            <w:tcMar>
              <w:top w:w="120" w:type="dxa"/>
              <w:left w:w="140" w:type="dxa"/>
              <w:bottom w:w="120" w:type="dxa"/>
              <w:right w:w="140" w:type="dxa"/>
            </w:tcMar>
            <w:vAlign w:val="top"/>
          </w:tcPr>
          <w:p>
            <w:pPr>
              <w:spacing w:after="0" w:line="264" w:lineRule="auto"/>
            </w:pPr>
            <w:r/>
            <w:r>
              <w:rPr>
                <w:b w:val="0"/>
                <w:caps w:val="0"/>
                <w:color w:val="10120F"/>
                <w:sz w:val="13"/>
              </w:rPr>
              <w:t>Retrospective IRIS Registry analysis; query January 1, 2014 to December 31, 2018.</w:t>
            </w:r>
          </w:p>
        </w:tc>
        <w:tc>
          <w:tcPr>
            <w:tcW w:type="dxa" w:w="2448"/>
            <w:shd w:fill="EBE4D6"/>
            <w:tcMar>
              <w:top w:w="120" w:type="dxa"/>
              <w:left w:w="140" w:type="dxa"/>
              <w:bottom w:w="120" w:type="dxa"/>
              <w:right w:w="140" w:type="dxa"/>
            </w:tcMar>
            <w:vAlign w:val="top"/>
          </w:tcPr>
          <w:p>
            <w:pPr>
              <w:spacing w:after="0" w:line="264" w:lineRule="auto"/>
            </w:pPr>
            <w:r/>
            <w:r>
              <w:rPr>
                <w:b w:val="0"/>
                <w:caps w:val="0"/>
                <w:color w:val="10120F"/>
                <w:sz w:val="13"/>
              </w:rPr>
              <w:t>Adults with DR, anti-VEGF treatment, and baseline/1-year/2-year VA; final cohort 43,274 eyes.</w:t>
            </w:r>
          </w:p>
        </w:tc>
        <w:tc>
          <w:tcPr>
            <w:tcW w:type="dxa" w:w="2232"/>
            <w:shd w:fill="EBE4D6"/>
            <w:tcMar>
              <w:top w:w="120" w:type="dxa"/>
              <w:left w:w="140" w:type="dxa"/>
              <w:bottom w:w="120" w:type="dxa"/>
              <w:right w:w="140" w:type="dxa"/>
            </w:tcMar>
            <w:vAlign w:val="top"/>
          </w:tcPr>
          <w:p>
            <w:pPr>
              <w:spacing w:after="0" w:line="264" w:lineRule="auto"/>
            </w:pPr>
            <w:r/>
            <w:r>
              <w:rPr>
                <w:b w:val="0"/>
                <w:caps w:val="0"/>
                <w:color w:val="10120F"/>
                <w:sz w:val="13"/>
              </w:rPr>
              <w:t>Anti-VEGF treatment after DR diagnosis; one eye per patient, randomly selected if both eligible.</w:t>
            </w:r>
          </w:p>
        </w:tc>
        <w:tc>
          <w:tcPr>
            <w:tcW w:type="dxa" w:w="2376"/>
            <w:shd w:fill="EBE4D6"/>
            <w:tcMar>
              <w:top w:w="120" w:type="dxa"/>
              <w:left w:w="140" w:type="dxa"/>
              <w:bottom w:w="120" w:type="dxa"/>
              <w:right w:w="140" w:type="dxa"/>
            </w:tcMar>
            <w:vAlign w:val="top"/>
          </w:tcPr>
          <w:p>
            <w:pPr>
              <w:spacing w:after="0" w:line="264" w:lineRule="auto"/>
            </w:pPr>
            <w:r/>
            <w:r>
              <w:rPr>
                <w:b w:val="0"/>
                <w:caps w:val="0"/>
                <w:color w:val="10120F"/>
                <w:sz w:val="13"/>
              </w:rPr>
              <w:t>Mean VA change at 1 and 2 years; bevacizumab use; DR severity; DME presence; &gt;=15-letter loss in supplemental figures.</w:t>
            </w:r>
          </w:p>
        </w:tc>
        <w:tc>
          <w:tcPr>
            <w:tcW w:type="dxa" w:w="3744"/>
            <w:shd w:fill="EBE4D6"/>
            <w:tcMar>
              <w:top w:w="120" w:type="dxa"/>
              <w:left w:w="140" w:type="dxa"/>
              <w:bottom w:w="120" w:type="dxa"/>
              <w:right w:w="140" w:type="dxa"/>
            </w:tcMar>
            <w:vAlign w:val="top"/>
          </w:tcPr>
          <w:p>
            <w:pPr>
              <w:spacing w:after="0" w:line="264" w:lineRule="auto"/>
            </w:pPr>
            <w:r/>
            <w:r>
              <w:rPr>
                <w:b w:val="0"/>
                <w:caps w:val="0"/>
                <w:color w:val="10120F"/>
                <w:sz w:val="13"/>
              </w:rPr>
              <w:t>ICD-10-CM used for DR severity and DME presence; code definitions in supplement. ETDRS conversion formula exposed. Combination therapy = &gt;1 anti-VEGF drug in first 365 days.</w:t>
            </w:r>
          </w:p>
        </w:tc>
        <w:tc>
          <w:tcPr>
            <w:tcW w:type="dxa" w:w="1728"/>
            <w:shd w:fill="EBE4D6"/>
            <w:tcMar>
              <w:top w:w="120" w:type="dxa"/>
              <w:left w:w="140" w:type="dxa"/>
              <w:bottom w:w="120" w:type="dxa"/>
              <w:right w:w="140" w:type="dxa"/>
            </w:tcMar>
            <w:vAlign w:val="top"/>
          </w:tcPr>
          <w:p>
            <w:pPr>
              <w:spacing w:after="0" w:line="264" w:lineRule="auto"/>
            </w:pPr>
            <w:r/>
            <w:r>
              <w:rPr>
                <w:b w:val="0"/>
                <w:caps w:val="0"/>
                <w:color w:val="10120F"/>
                <w:sz w:val="13"/>
              </w:rPr>
            </w:r>
            <w:r>
              <w:t xml:space="preserve"> </w:t>
            </w:r>
            <w:hyperlink r:id="rId50">
              <w:r>
                <w:rPr>
                  <w:color w:val="0563C1"/>
                  <w:u w:val="single"/>
                  <w:sz w:val="13"/>
                </w:rPr>
                <w:t>[Maturi 2024]</w:t>
              </w:r>
            </w:hyperlink>
            <w:r>
              <w:t xml:space="preserve"> </w:t>
            </w:r>
            <w:hyperlink r:id="rId54">
              <w:r>
                <w:rPr>
                  <w:color w:val="0563C1"/>
                  <w:u w:val="single"/>
                  <w:sz w:val="13"/>
                </w:rPr>
                <w:t>[Maturi supplement]</w:t>
              </w:r>
            </w:hyperlink>
          </w:p>
        </w:tc>
      </w:tr>
      <w:tr>
        <w:trPr>
          <w:cantSplit/>
        </w:trPr>
        <w:tc>
          <w:tcPr>
            <w:tcW w:type="dxa" w:w="1944"/>
            <w:shd w:fill="F6F1E8"/>
            <w:tcMar>
              <w:top w:w="120" w:type="dxa"/>
              <w:left w:w="140" w:type="dxa"/>
              <w:bottom w:w="120" w:type="dxa"/>
              <w:right w:w="140" w:type="dxa"/>
            </w:tcMar>
            <w:vAlign w:val="top"/>
          </w:tcPr>
          <w:p>
            <w:pPr>
              <w:spacing w:after="0" w:line="264" w:lineRule="auto"/>
            </w:pPr>
            <w:r/>
            <w:r>
              <w:rPr>
                <w:b/>
                <w:caps w:val="0"/>
                <w:color w:val="10120F"/>
                <w:sz w:val="13"/>
              </w:rPr>
              <w:t>Kuo 2024 long-term treatment patterns</w:t>
            </w:r>
          </w:p>
        </w:tc>
        <w:tc>
          <w:tcPr>
            <w:tcW w:type="dxa" w:w="2088"/>
            <w:shd w:fill="F6F1E8"/>
            <w:tcMar>
              <w:top w:w="120" w:type="dxa"/>
              <w:left w:w="140" w:type="dxa"/>
              <w:bottom w:w="120" w:type="dxa"/>
              <w:right w:w="140" w:type="dxa"/>
            </w:tcMar>
            <w:vAlign w:val="top"/>
          </w:tcPr>
          <w:p>
            <w:pPr>
              <w:spacing w:after="0" w:line="264" w:lineRule="auto"/>
            </w:pPr>
            <w:r/>
            <w:r>
              <w:rPr>
                <w:b w:val="0"/>
                <w:caps w:val="0"/>
                <w:color w:val="10120F"/>
                <w:sz w:val="13"/>
              </w:rPr>
              <w:t>Retrospective IRIS Registry analysis; treatment-naive DME eyes initiating anti-VEGF IVT from January 1, 2015 to March 31, 2021.</w:t>
            </w:r>
          </w:p>
        </w:tc>
        <w:tc>
          <w:tcPr>
            <w:tcW w:type="dxa" w:w="2448"/>
            <w:shd w:fill="F6F1E8"/>
            <w:tcMar>
              <w:top w:w="120" w:type="dxa"/>
              <w:left w:w="140" w:type="dxa"/>
              <w:bottom w:w="120" w:type="dxa"/>
              <w:right w:w="140" w:type="dxa"/>
            </w:tcMar>
            <w:vAlign w:val="top"/>
          </w:tcPr>
          <w:p>
            <w:pPr>
              <w:spacing w:after="0" w:line="264" w:lineRule="auto"/>
            </w:pPr>
            <w:r/>
            <w:r>
              <w:rPr>
                <w:b w:val="0"/>
                <w:caps w:val="0"/>
                <w:color w:val="10120F"/>
                <w:sz w:val="13"/>
              </w:rPr>
              <w:t>190,345 eyes in abstract/preview.</w:t>
            </w:r>
          </w:p>
        </w:tc>
        <w:tc>
          <w:tcPr>
            <w:tcW w:type="dxa" w:w="2232"/>
            <w:shd w:fill="F6F1E8"/>
            <w:tcMar>
              <w:top w:w="120" w:type="dxa"/>
              <w:left w:w="140" w:type="dxa"/>
              <w:bottom w:w="120" w:type="dxa"/>
              <w:right w:w="140" w:type="dxa"/>
            </w:tcMar>
            <w:vAlign w:val="top"/>
          </w:tcPr>
          <w:p>
            <w:pPr>
              <w:spacing w:after="0" w:line="264" w:lineRule="auto"/>
            </w:pPr>
            <w:r/>
            <w:r>
              <w:rPr>
                <w:b w:val="0"/>
                <w:caps w:val="0"/>
                <w:color w:val="10120F"/>
                <w:sz w:val="13"/>
              </w:rPr>
              <w:t>First anti-VEGF IVT after no prior IVT in previous 12 months; follow-up up to 6 years.</w:t>
            </w:r>
          </w:p>
        </w:tc>
        <w:tc>
          <w:tcPr>
            <w:tcW w:type="dxa" w:w="2376"/>
            <w:shd w:fill="F6F1E8"/>
            <w:tcMar>
              <w:top w:w="120" w:type="dxa"/>
              <w:left w:w="140" w:type="dxa"/>
              <w:bottom w:w="120" w:type="dxa"/>
              <w:right w:w="140" w:type="dxa"/>
            </w:tcMar>
            <w:vAlign w:val="top"/>
          </w:tcPr>
          <w:p>
            <w:pPr>
              <w:spacing w:after="0" w:line="264" w:lineRule="auto"/>
            </w:pPr>
            <w:r/>
            <w:r>
              <w:rPr>
                <w:b w:val="0"/>
                <w:caps w:val="0"/>
                <w:color w:val="10120F"/>
                <w:sz w:val="13"/>
              </w:rPr>
              <w:t>Annualized injections, injection intervals, anti-VEGF agent use, VA change, discontinuation, switching, and reinitiation.</w:t>
            </w:r>
          </w:p>
        </w:tc>
        <w:tc>
          <w:tcPr>
            <w:tcW w:type="dxa" w:w="3744"/>
            <w:shd w:fill="F6F1E8"/>
            <w:tcMar>
              <w:top w:w="120" w:type="dxa"/>
              <w:left w:w="140" w:type="dxa"/>
              <w:bottom w:w="120" w:type="dxa"/>
              <w:right w:w="140" w:type="dxa"/>
            </w:tcMar>
            <w:vAlign w:val="top"/>
          </w:tcPr>
          <w:p>
            <w:pPr>
              <w:spacing w:after="0" w:line="264" w:lineRule="auto"/>
            </w:pPr>
            <w:r/>
            <w:r>
              <w:rPr>
                <w:b w:val="0"/>
                <w:caps w:val="0"/>
                <w:color w:val="10120F"/>
                <w:sz w:val="13"/>
              </w:rPr>
              <w:t>Discontinuation defined in preview as &gt;1 year / 365 days contributing to IRIS without anti-VEGF IVT. Full code definitions and supplemental tables require Ophthalmology Retina supplement.</w:t>
            </w:r>
          </w:p>
        </w:tc>
        <w:tc>
          <w:tcPr>
            <w:tcW w:type="dxa" w:w="1728"/>
            <w:shd w:fill="F6F1E8"/>
            <w:tcMar>
              <w:top w:w="120" w:type="dxa"/>
              <w:left w:w="140" w:type="dxa"/>
              <w:bottom w:w="120" w:type="dxa"/>
              <w:right w:w="140" w:type="dxa"/>
            </w:tcMar>
            <w:vAlign w:val="top"/>
          </w:tcPr>
          <w:p>
            <w:pPr>
              <w:spacing w:after="0" w:line="264" w:lineRule="auto"/>
            </w:pPr>
            <w:r/>
            <w:r>
              <w:rPr>
                <w:b w:val="0"/>
                <w:caps w:val="0"/>
                <w:color w:val="10120F"/>
                <w:sz w:val="13"/>
              </w:rPr>
            </w:r>
            <w:r>
              <w:t xml:space="preserve"> </w:t>
            </w:r>
            <w:hyperlink r:id="rId52">
              <w:r>
                <w:rPr>
                  <w:color w:val="0563C1"/>
                  <w:u w:val="single"/>
                  <w:sz w:val="13"/>
                </w:rPr>
                <w:t>[Kuo 2024]</w:t>
              </w:r>
            </w:hyperlink>
            <w:r>
              <w:t xml:space="preserve"> </w:t>
            </w:r>
            <w:hyperlink r:id="rId58">
              <w:r>
                <w:rPr>
                  <w:color w:val="0563C1"/>
                  <w:u w:val="single"/>
                  <w:sz w:val="13"/>
                </w:rPr>
                <w:t>[ASRS 2022 Leng]</w:t>
              </w:r>
            </w:hyperlink>
            <w:r>
              <w:t xml:space="preserve"> </w:t>
            </w:r>
            <w:hyperlink r:id="rId65">
              <w:r>
                <w:rPr>
                  <w:color w:val="0563C1"/>
                  <w:u w:val="single"/>
                  <w:sz w:val="13"/>
                </w:rPr>
                <w:t>[ARVO 2022 Kim]</w:t>
              </w:r>
            </w:hyperlink>
          </w:p>
        </w:tc>
      </w:tr>
      <w:tr>
        <w:trPr>
          <w:cantSplit/>
        </w:trPr>
        <w:tc>
          <w:tcPr>
            <w:tcW w:type="dxa" w:w="1944"/>
            <w:shd w:fill="EBE4D6"/>
            <w:tcMar>
              <w:top w:w="120" w:type="dxa"/>
              <w:left w:w="140" w:type="dxa"/>
              <w:bottom w:w="120" w:type="dxa"/>
              <w:right w:w="140" w:type="dxa"/>
            </w:tcMar>
            <w:vAlign w:val="top"/>
          </w:tcPr>
          <w:p>
            <w:pPr>
              <w:spacing w:after="0" w:line="264" w:lineRule="auto"/>
            </w:pPr>
            <w:r/>
            <w:r>
              <w:rPr>
                <w:b/>
                <w:caps w:val="0"/>
                <w:color w:val="10120F"/>
                <w:sz w:val="13"/>
              </w:rPr>
              <w:t>Singh 2024 initial anti-VEGF dosing</w:t>
            </w:r>
          </w:p>
        </w:tc>
        <w:tc>
          <w:tcPr>
            <w:tcW w:type="dxa" w:w="2088"/>
            <w:shd w:fill="EBE4D6"/>
            <w:tcMar>
              <w:top w:w="120" w:type="dxa"/>
              <w:left w:w="140" w:type="dxa"/>
              <w:bottom w:w="120" w:type="dxa"/>
              <w:right w:w="140" w:type="dxa"/>
            </w:tcMar>
            <w:vAlign w:val="top"/>
          </w:tcPr>
          <w:p>
            <w:pPr>
              <w:spacing w:after="0" w:line="264" w:lineRule="auto"/>
            </w:pPr>
            <w:r/>
            <w:r>
              <w:rPr>
                <w:b w:val="0"/>
                <w:caps w:val="0"/>
                <w:color w:val="10120F"/>
                <w:sz w:val="13"/>
              </w:rPr>
              <w:t>Retrospective IRIS Registry database study; index January 1, 2015 to December 31, 2020; data cutoff December 31, 2021.</w:t>
            </w:r>
          </w:p>
        </w:tc>
        <w:tc>
          <w:tcPr>
            <w:tcW w:type="dxa" w:w="2448"/>
            <w:shd w:fill="EBE4D6"/>
            <w:tcMar>
              <w:top w:w="120" w:type="dxa"/>
              <w:left w:w="140" w:type="dxa"/>
              <w:bottom w:w="120" w:type="dxa"/>
              <w:right w:w="140" w:type="dxa"/>
            </w:tcMar>
            <w:vAlign w:val="top"/>
          </w:tcPr>
          <w:p>
            <w:pPr>
              <w:spacing w:after="0" w:line="264" w:lineRule="auto"/>
            </w:pPr>
            <w:r/>
            <w:r>
              <w:rPr>
                <w:b w:val="0"/>
                <w:caps w:val="0"/>
                <w:color w:val="10120F"/>
                <w:sz w:val="13"/>
              </w:rPr>
              <w:t>Adults with DME within 2 months of index, &gt;=12 months pre-index data, baseline VA at/within 60 days before index, anti-VEGF at index, and &gt;=100 days follow-up; final 217,696 eyes.</w:t>
            </w:r>
          </w:p>
        </w:tc>
        <w:tc>
          <w:tcPr>
            <w:tcW w:type="dxa" w:w="2232"/>
            <w:shd w:fill="EBE4D6"/>
            <w:tcMar>
              <w:top w:w="120" w:type="dxa"/>
              <w:left w:w="140" w:type="dxa"/>
              <w:bottom w:w="120" w:type="dxa"/>
              <w:right w:w="140" w:type="dxa"/>
            </w:tcMar>
            <w:vAlign w:val="top"/>
          </w:tcPr>
          <w:p>
            <w:pPr>
              <w:spacing w:after="0" w:line="264" w:lineRule="auto"/>
            </w:pPr>
            <w:r/>
            <w:r>
              <w:rPr>
                <w:b w:val="0"/>
                <w:caps w:val="0"/>
                <w:color w:val="10120F"/>
                <w:sz w:val="13"/>
              </w:rPr>
              <w:t>Index = earliest anti-VEGF injection with no anti-VEGF in prior 12 months; initial-dose = &gt;=3 same-agent injections within 100 days.</w:t>
            </w:r>
          </w:p>
        </w:tc>
        <w:tc>
          <w:tcPr>
            <w:tcW w:type="dxa" w:w="2376"/>
            <w:shd w:fill="EBE4D6"/>
            <w:tcMar>
              <w:top w:w="120" w:type="dxa"/>
              <w:left w:w="140" w:type="dxa"/>
              <w:bottom w:w="120" w:type="dxa"/>
              <w:right w:w="140" w:type="dxa"/>
            </w:tcMar>
            <w:vAlign w:val="top"/>
          </w:tcPr>
          <w:p>
            <w:pPr>
              <w:spacing w:after="0" w:line="264" w:lineRule="auto"/>
            </w:pPr>
            <w:r/>
            <w:r>
              <w:rPr>
                <w:b w:val="0"/>
                <w:caps w:val="0"/>
                <w:color w:val="10120F"/>
                <w:sz w:val="13"/>
              </w:rPr>
              <w:t>VA change, discontinuation, reinitiation, switching, injection patterns, and initial-dose likelihood.</w:t>
            </w:r>
          </w:p>
        </w:tc>
        <w:tc>
          <w:tcPr>
            <w:tcW w:type="dxa" w:w="3744"/>
            <w:shd w:fill="EBE4D6"/>
            <w:tcMar>
              <w:top w:w="120" w:type="dxa"/>
              <w:left w:w="140" w:type="dxa"/>
              <w:bottom w:w="120" w:type="dxa"/>
              <w:right w:w="140" w:type="dxa"/>
            </w:tcMar>
            <w:vAlign w:val="top"/>
          </w:tcPr>
          <w:p>
            <w:pPr>
              <w:spacing w:after="0" w:line="264" w:lineRule="auto"/>
            </w:pPr>
            <w:r/>
            <w:r>
              <w:rPr>
                <w:b w:val="0"/>
                <w:caps w:val="0"/>
                <w:color w:val="10120F"/>
                <w:sz w:val="13"/>
              </w:rPr>
              <w:t>Discontinuation = &gt;365 days contributing to IRIS without another anti-VEGF after last injection; reinitiation = anti-VEGF &gt;=1 year after last injection; ETDRS conversion formula exposed.</w:t>
            </w:r>
          </w:p>
        </w:tc>
        <w:tc>
          <w:tcPr>
            <w:tcW w:type="dxa" w:w="1728"/>
            <w:shd w:fill="EBE4D6"/>
            <w:tcMar>
              <w:top w:w="120" w:type="dxa"/>
              <w:left w:w="140" w:type="dxa"/>
              <w:bottom w:w="120" w:type="dxa"/>
              <w:right w:w="140" w:type="dxa"/>
            </w:tcMar>
            <w:vAlign w:val="top"/>
          </w:tcPr>
          <w:p>
            <w:pPr>
              <w:spacing w:after="0" w:line="264" w:lineRule="auto"/>
            </w:pPr>
            <w:r/>
            <w:r>
              <w:rPr>
                <w:b w:val="0"/>
                <w:caps w:val="0"/>
                <w:color w:val="10120F"/>
                <w:sz w:val="13"/>
              </w:rPr>
            </w:r>
            <w:r>
              <w:t xml:space="preserve"> </w:t>
            </w:r>
            <w:hyperlink r:id="rId51">
              <w:r>
                <w:rPr>
                  <w:color w:val="0563C1"/>
                  <w:u w:val="single"/>
                  <w:sz w:val="13"/>
                </w:rPr>
                <w:t>[Singh 2024]</w:t>
              </w:r>
            </w:hyperlink>
          </w:p>
        </w:tc>
      </w:tr>
      <w:tr>
        <w:trPr>
          <w:cantSplit/>
        </w:trPr>
        <w:tc>
          <w:tcPr>
            <w:tcW w:type="dxa" w:w="1944"/>
            <w:shd w:fill="F6F1E8"/>
            <w:tcMar>
              <w:top w:w="120" w:type="dxa"/>
              <w:left w:w="140" w:type="dxa"/>
              <w:bottom w:w="120" w:type="dxa"/>
              <w:right w:w="140" w:type="dxa"/>
            </w:tcMar>
            <w:vAlign w:val="top"/>
          </w:tcPr>
          <w:p>
            <w:pPr>
              <w:spacing w:after="0" w:line="264" w:lineRule="auto"/>
            </w:pPr>
            <w:r/>
            <w:r>
              <w:rPr>
                <w:b/>
                <w:caps w:val="0"/>
                <w:color w:val="10120F"/>
                <w:sz w:val="13"/>
              </w:rPr>
              <w:t>Borkar 2025 / Singh 2025 FARETINA-DME manuscripts</w:t>
            </w:r>
          </w:p>
        </w:tc>
        <w:tc>
          <w:tcPr>
            <w:tcW w:type="dxa" w:w="2088"/>
            <w:shd w:fill="F6F1E8"/>
            <w:tcMar>
              <w:top w:w="120" w:type="dxa"/>
              <w:left w:w="140" w:type="dxa"/>
              <w:bottom w:w="120" w:type="dxa"/>
              <w:right w:w="140" w:type="dxa"/>
            </w:tcMar>
            <w:vAlign w:val="top"/>
          </w:tcPr>
          <w:p>
            <w:pPr>
              <w:spacing w:after="0" w:line="264" w:lineRule="auto"/>
            </w:pPr>
            <w:r/>
            <w:r>
              <w:rPr>
                <w:b w:val="0"/>
                <w:caps w:val="0"/>
                <w:color w:val="10120F"/>
                <w:sz w:val="13"/>
              </w:rPr>
              <w:t>IRIS Registry FARETINA-DME faricimab manuscripts; PubMed/abstract-level methods available publicly.</w:t>
            </w:r>
          </w:p>
        </w:tc>
        <w:tc>
          <w:tcPr>
            <w:tcW w:type="dxa" w:w="2448"/>
            <w:shd w:fill="F6F1E8"/>
            <w:tcMar>
              <w:top w:w="120" w:type="dxa"/>
              <w:left w:w="140" w:type="dxa"/>
              <w:bottom w:w="120" w:type="dxa"/>
              <w:right w:w="140" w:type="dxa"/>
            </w:tcMar>
            <w:vAlign w:val="top"/>
          </w:tcPr>
          <w:p>
            <w:pPr>
              <w:spacing w:after="0" w:line="264" w:lineRule="auto"/>
            </w:pPr>
            <w:r/>
            <w:r>
              <w:rPr>
                <w:b w:val="0"/>
                <w:caps w:val="0"/>
                <w:color w:val="10120F"/>
                <w:sz w:val="13"/>
              </w:rPr>
              <w:t>DME patients initiating faricimab; manuscripts report treatment-naive and previously anti-VEGF-treated cohorts.</w:t>
            </w:r>
          </w:p>
        </w:tc>
        <w:tc>
          <w:tcPr>
            <w:tcW w:type="dxa" w:w="2232"/>
            <w:shd w:fill="F6F1E8"/>
            <w:tcMar>
              <w:top w:w="120" w:type="dxa"/>
              <w:left w:w="140" w:type="dxa"/>
              <w:bottom w:w="120" w:type="dxa"/>
              <w:right w:w="140" w:type="dxa"/>
            </w:tcMar>
            <w:vAlign w:val="top"/>
          </w:tcPr>
          <w:p>
            <w:pPr>
              <w:spacing w:after="0" w:line="264" w:lineRule="auto"/>
            </w:pPr>
            <w:r/>
            <w:r>
              <w:rPr>
                <w:b w:val="0"/>
                <w:caps w:val="0"/>
                <w:color w:val="10120F"/>
                <w:sz w:val="13"/>
              </w:rPr>
              <w:t>Index = faricimab initiation; detailed windows best exposed in conference materials.</w:t>
            </w:r>
          </w:p>
        </w:tc>
        <w:tc>
          <w:tcPr>
            <w:tcW w:type="dxa" w:w="2376"/>
            <w:shd w:fill="F6F1E8"/>
            <w:tcMar>
              <w:top w:w="120" w:type="dxa"/>
              <w:left w:w="140" w:type="dxa"/>
              <w:bottom w:w="120" w:type="dxa"/>
              <w:right w:w="140" w:type="dxa"/>
            </w:tcMar>
            <w:vAlign w:val="top"/>
          </w:tcPr>
          <w:p>
            <w:pPr>
              <w:spacing w:after="0" w:line="264" w:lineRule="auto"/>
            </w:pPr>
            <w:r/>
            <w:r>
              <w:rPr>
                <w:b w:val="0"/>
                <w:caps w:val="0"/>
                <w:color w:val="10120F"/>
                <w:sz w:val="13"/>
              </w:rPr>
              <w:t>VA at injection 4 or injection 7, CST change, CST threshold achievement, injection frequency, and durability.</w:t>
            </w:r>
          </w:p>
        </w:tc>
        <w:tc>
          <w:tcPr>
            <w:tcW w:type="dxa" w:w="3744"/>
            <w:shd w:fill="F6F1E8"/>
            <w:tcMar>
              <w:top w:w="120" w:type="dxa"/>
              <w:left w:w="140" w:type="dxa"/>
              <w:bottom w:w="120" w:type="dxa"/>
              <w:right w:w="140" w:type="dxa"/>
            </w:tcMar>
            <w:vAlign w:val="top"/>
          </w:tcPr>
          <w:p>
            <w:pPr>
              <w:spacing w:after="0" w:line="264" w:lineRule="auto"/>
            </w:pPr>
            <w:r/>
            <w:r>
              <w:rPr>
                <w:b w:val="0"/>
                <w:caps w:val="0"/>
                <w:color w:val="10120F"/>
                <w:sz w:val="13"/>
              </w:rPr>
              <w:t>Public manuscripts are abstract-level locally; FARETINA conference PDFs expose treatment-naive lookback, VA/CST windows, and interval-extension definitions.</w:t>
            </w:r>
          </w:p>
        </w:tc>
        <w:tc>
          <w:tcPr>
            <w:tcW w:type="dxa" w:w="1728"/>
            <w:shd w:fill="F6F1E8"/>
            <w:tcMar>
              <w:top w:w="120" w:type="dxa"/>
              <w:left w:w="140" w:type="dxa"/>
              <w:bottom w:w="120" w:type="dxa"/>
              <w:right w:w="140" w:type="dxa"/>
            </w:tcMar>
            <w:vAlign w:val="top"/>
          </w:tcPr>
          <w:p>
            <w:pPr>
              <w:spacing w:after="0" w:line="264" w:lineRule="auto"/>
            </w:pPr>
            <w:r/>
            <w:r>
              <w:rPr>
                <w:b w:val="0"/>
                <w:caps w:val="0"/>
                <w:color w:val="10120F"/>
                <w:sz w:val="13"/>
              </w:rPr>
            </w:r>
            <w:r>
              <w:t xml:space="preserve"> </w:t>
            </w:r>
            <w:hyperlink r:id="rId66">
              <w:r>
                <w:rPr>
                  <w:color w:val="0563C1"/>
                  <w:u w:val="single"/>
                  <w:sz w:val="13"/>
                </w:rPr>
                <w:t>[Borkar 2025]</w:t>
              </w:r>
            </w:hyperlink>
            <w:r>
              <w:t xml:space="preserve"> </w:t>
            </w:r>
            <w:hyperlink r:id="rId67">
              <w:r>
                <w:rPr>
                  <w:color w:val="0563C1"/>
                  <w:u w:val="single"/>
                  <w:sz w:val="13"/>
                </w:rPr>
                <w:t>[Singh 2025]</w:t>
              </w:r>
            </w:hyperlink>
            <w:r>
              <w:t xml:space="preserve"> </w:t>
            </w:r>
            <w:hyperlink r:id="rId57">
              <w:r>
                <w:rPr>
                  <w:color w:val="0563C1"/>
                  <w:u w:val="single"/>
                  <w:sz w:val="13"/>
                </w:rPr>
                <w:t>[ARVO 2024 FARETINA]</w:t>
              </w:r>
            </w:hyperlink>
            <w:r>
              <w:t xml:space="preserve"> </w:t>
            </w:r>
            <w:hyperlink r:id="rId59">
              <w:r>
                <w:rPr>
                  <w:color w:val="0563C1"/>
                  <w:u w:val="single"/>
                  <w:sz w:val="13"/>
                </w:rPr>
                <w:t>[ASRS 2024 FARETINA]</w:t>
              </w:r>
            </w:hyperlink>
          </w:p>
        </w:tc>
      </w:tr>
    </w:tbl>
    <w:p>
      <w:pPr>
        <w:spacing w:after="40"/>
      </w:pPr>
    </w:p>
    <w:p>
      <w:pPr>
        <w:spacing w:before="360" w:after="160" w:line="320" w:lineRule="auto"/>
        <w:pBdr>
          <w:bottom w:val="single" w:sz="6" w:space="6" w:color="10120F"/>
        </w:pBdr>
      </w:pPr>
      <w:r>
        <w:rPr>
          <w:b/>
          <w:color w:val="10120F"/>
          <w:sz w:val="30"/>
        </w:rPr>
        <w:t>4.  Operational Definitions and Outcome Algorithms</w:t>
      </w:r>
    </w:p>
    <w:tbl>
      <w:tblPr>
        <w:tblW w:type="dxa" w:w="14256"/>
        <w:tblLayout w:type="autofit"/>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2" w:space="0" w:color="1B1F17"/>
          <w:insideV w:val="single" w:sz="2" w:space="0" w:color="1B1F17"/>
        </w:tblBorders>
        <w:tblCellMar>
          <w:left w:w="10" w:type="dxa"/>
          <w:right w:w="10" w:type="dxa"/>
        </w:tblCellMar>
      </w:tblPr>
      <w:tblGrid>
        <w:gridCol w:w="4752"/>
        <w:gridCol w:w="4752"/>
        <w:gridCol w:w="4752"/>
      </w:tblGrid>
      <w:tr>
        <w:trPr>
          <w:cantSplit/>
        </w:trPr>
        <w:tc>
          <w:tcPr>
            <w:tcW w:type="dxa" w:w="2304"/>
            <w:shd w:fill="10120F"/>
            <w:tcMar>
              <w:top w:w="120" w:type="dxa"/>
              <w:left w:w="140" w:type="dxa"/>
              <w:bottom w:w="120" w:type="dxa"/>
              <w:right w:w="140" w:type="dxa"/>
            </w:tcMar>
            <w:vAlign w:val="top"/>
          </w:tcPr>
          <w:p>
            <w:pPr>
              <w:spacing w:after="0" w:line="240" w:lineRule="auto"/>
            </w:pPr>
            <w:r/>
            <w:r>
              <w:rPr>
                <w:b/>
                <w:caps/>
                <w:color w:val="D7FF5F"/>
                <w:sz w:val="14"/>
              </w:rPr>
              <w:t>Domain</w:t>
            </w:r>
          </w:p>
        </w:tc>
        <w:tc>
          <w:tcPr>
            <w:tcW w:type="dxa" w:w="7344"/>
            <w:shd w:fill="10120F"/>
            <w:tcMar>
              <w:top w:w="120" w:type="dxa"/>
              <w:left w:w="140" w:type="dxa"/>
              <w:bottom w:w="120" w:type="dxa"/>
              <w:right w:w="140" w:type="dxa"/>
            </w:tcMar>
            <w:vAlign w:val="top"/>
          </w:tcPr>
          <w:p>
            <w:pPr>
              <w:spacing w:after="0" w:line="240" w:lineRule="auto"/>
            </w:pPr>
            <w:r/>
            <w:r>
              <w:rPr>
                <w:b/>
                <w:caps/>
                <w:color w:val="D7FF5F"/>
                <w:sz w:val="14"/>
              </w:rPr>
              <w:t>Definitions observed in the IRIS DME corpus</w:t>
            </w:r>
          </w:p>
        </w:tc>
        <w:tc>
          <w:tcPr>
            <w:tcW w:type="dxa" w:w="4608"/>
            <w:shd w:fill="10120F"/>
            <w:tcMar>
              <w:top w:w="120" w:type="dxa"/>
              <w:left w:w="140" w:type="dxa"/>
              <w:bottom w:w="120" w:type="dxa"/>
              <w:right w:w="140" w:type="dxa"/>
            </w:tcMar>
            <w:vAlign w:val="top"/>
          </w:tcPr>
          <w:p>
            <w:pPr>
              <w:spacing w:after="0" w:line="240" w:lineRule="auto"/>
            </w:pPr>
            <w:r/>
            <w:r>
              <w:rPr>
                <w:b/>
                <w:caps/>
                <w:color w:val="D7FF5F"/>
                <w:sz w:val="14"/>
              </w:rPr>
              <w:t>Best source / provenance</w:t>
            </w:r>
          </w:p>
        </w:tc>
      </w:tr>
      <w:tr>
        <w:trPr>
          <w:cantSplit/>
        </w:trPr>
        <w:tc>
          <w:tcPr>
            <w:tcW w:type="dxa" w:w="2304"/>
            <w:shd w:fill="F6F1E8"/>
            <w:tcMar>
              <w:top w:w="120" w:type="dxa"/>
              <w:left w:w="140" w:type="dxa"/>
              <w:bottom w:w="120" w:type="dxa"/>
              <w:right w:w="140" w:type="dxa"/>
            </w:tcMar>
            <w:vAlign w:val="top"/>
          </w:tcPr>
          <w:p>
            <w:pPr>
              <w:spacing w:after="0" w:line="264" w:lineRule="auto"/>
            </w:pPr>
            <w:r/>
            <w:r>
              <w:rPr>
                <w:b/>
                <w:caps w:val="0"/>
                <w:color w:val="10120F"/>
                <w:sz w:val="14"/>
              </w:rPr>
              <w:t>DME / DR identification</w:t>
            </w:r>
          </w:p>
        </w:tc>
        <w:tc>
          <w:tcPr>
            <w:tcW w:type="dxa" w:w="7344"/>
            <w:shd w:fill="F6F1E8"/>
            <w:tcMar>
              <w:top w:w="120" w:type="dxa"/>
              <w:left w:w="140" w:type="dxa"/>
              <w:bottom w:w="120" w:type="dxa"/>
              <w:right w:w="140" w:type="dxa"/>
            </w:tcMar>
            <w:vAlign w:val="top"/>
          </w:tcPr>
          <w:p>
            <w:pPr>
              <w:spacing w:after="0" w:line="264" w:lineRule="auto"/>
            </w:pPr>
            <w:r/>
            <w:r>
              <w:rPr>
                <w:b w:val="0"/>
                <w:caps w:val="0"/>
                <w:color w:val="10120F"/>
                <w:sz w:val="14"/>
              </w:rPr>
              <w:t>DME is generally captured from IRIS diagnosis fields; Maturi explicitly used ICD-10-CM codes for DR severity and DME presence, and Zhang places DME/DR disease codes in a long supplementary table.</w:t>
            </w:r>
          </w:p>
        </w:tc>
        <w:tc>
          <w:tcPr>
            <w:tcW w:type="dxa" w:w="4608"/>
            <w:shd w:fill="F6F1E8"/>
            <w:tcMar>
              <w:top w:w="120" w:type="dxa"/>
              <w:left w:w="140" w:type="dxa"/>
              <w:bottom w:w="120" w:type="dxa"/>
              <w:right w:w="140" w:type="dxa"/>
            </w:tcMar>
            <w:vAlign w:val="top"/>
          </w:tcPr>
          <w:p>
            <w:pPr>
              <w:spacing w:after="0" w:line="264" w:lineRule="auto"/>
            </w:pPr>
            <w:r/>
            <w:r>
              <w:rPr>
                <w:b w:val="0"/>
                <w:caps w:val="0"/>
                <w:color w:val="10120F"/>
                <w:sz w:val="14"/>
              </w:rPr>
              <w:t>Maturi code definitions are in the SAGE/PMC supplement; Zhang disease-code lists are in Supplementary file 1, Table S1.</w:t>
            </w:r>
            <w:r>
              <w:t xml:space="preserve"> </w:t>
            </w:r>
            <w:hyperlink r:id="rId50">
              <w:r>
                <w:rPr>
                  <w:color w:val="0563C1"/>
                  <w:u w:val="single"/>
                  <w:sz w:val="14"/>
                </w:rPr>
                <w:t>[Maturi 2024]</w:t>
              </w:r>
            </w:hyperlink>
            <w:r>
              <w:t xml:space="preserve"> </w:t>
            </w:r>
            <w:hyperlink r:id="rId54">
              <w:r>
                <w:rPr>
                  <w:color w:val="0563C1"/>
                  <w:u w:val="single"/>
                  <w:sz w:val="14"/>
                </w:rPr>
                <w:t>[Maturi supplement]</w:t>
              </w:r>
            </w:hyperlink>
            <w:r>
              <w:t xml:space="preserve"> </w:t>
            </w:r>
            <w:hyperlink r:id="rId55">
              <w:r>
                <w:rPr>
                  <w:color w:val="0563C1"/>
                  <w:u w:val="single"/>
                  <w:sz w:val="14"/>
                </w:rPr>
                <w:t>[Zhang supplement]</w:t>
              </w:r>
            </w:hyperlink>
          </w:p>
        </w:tc>
      </w:tr>
      <w:tr>
        <w:trPr>
          <w:cantSplit/>
        </w:trPr>
        <w:tc>
          <w:tcPr>
            <w:tcW w:type="dxa" w:w="2304"/>
            <w:shd w:fill="EBE4D6"/>
            <w:tcMar>
              <w:top w:w="120" w:type="dxa"/>
              <w:left w:w="140" w:type="dxa"/>
              <w:bottom w:w="120" w:type="dxa"/>
              <w:right w:w="140" w:type="dxa"/>
            </w:tcMar>
            <w:vAlign w:val="top"/>
          </w:tcPr>
          <w:p>
            <w:pPr>
              <w:spacing w:after="0" w:line="264" w:lineRule="auto"/>
            </w:pPr>
            <w:r/>
            <w:r>
              <w:rPr>
                <w:b/>
                <w:caps w:val="0"/>
                <w:color w:val="10120F"/>
                <w:sz w:val="14"/>
              </w:rPr>
              <w:t>Treatment-naive anti-VEGF</w:t>
            </w:r>
          </w:p>
        </w:tc>
        <w:tc>
          <w:tcPr>
            <w:tcW w:type="dxa" w:w="7344"/>
            <w:shd w:fill="EBE4D6"/>
            <w:tcMar>
              <w:top w:w="120" w:type="dxa"/>
              <w:left w:w="140" w:type="dxa"/>
              <w:bottom w:w="120" w:type="dxa"/>
              <w:right w:w="140" w:type="dxa"/>
            </w:tcMar>
            <w:vAlign w:val="top"/>
          </w:tcPr>
          <w:p>
            <w:pPr>
              <w:spacing w:after="0" w:line="264" w:lineRule="auto"/>
            </w:pPr>
            <w:r/>
            <w:r>
              <w:rPr>
                <w:b w:val="0"/>
                <w:caps w:val="0"/>
                <w:color w:val="10120F"/>
                <w:sz w:val="14"/>
              </w:rPr>
              <w:t>The clearest pattern is no anti-VEGF or IVT anti-VEGF during a &gt;=12-month pre-index lookback before the first qualifying injection.</w:t>
            </w:r>
          </w:p>
        </w:tc>
        <w:tc>
          <w:tcPr>
            <w:tcW w:type="dxa" w:w="4608"/>
            <w:shd w:fill="EBE4D6"/>
            <w:tcMar>
              <w:top w:w="120" w:type="dxa"/>
              <w:left w:w="140" w:type="dxa"/>
              <w:bottom w:w="120" w:type="dxa"/>
              <w:right w:w="140" w:type="dxa"/>
            </w:tcMar>
            <w:vAlign w:val="top"/>
          </w:tcPr>
          <w:p>
            <w:pPr>
              <w:spacing w:after="0" w:line="264" w:lineRule="auto"/>
            </w:pPr>
            <w:r/>
            <w:r>
              <w:rPr>
                <w:b w:val="0"/>
                <w:caps w:val="0"/>
                <w:color w:val="10120F"/>
                <w:sz w:val="14"/>
              </w:rPr>
              <w:t>Used by Singh 2024 and reflected in Kuo/ASRS long-term treatment pattern materials.</w:t>
            </w:r>
            <w:r>
              <w:t xml:space="preserve"> </w:t>
            </w:r>
            <w:hyperlink r:id="rId51">
              <w:r>
                <w:rPr>
                  <w:color w:val="0563C1"/>
                  <w:u w:val="single"/>
                  <w:sz w:val="14"/>
                </w:rPr>
                <w:t>[Singh 2024]</w:t>
              </w:r>
            </w:hyperlink>
            <w:r>
              <w:t xml:space="preserve"> </w:t>
            </w:r>
            <w:hyperlink r:id="rId52">
              <w:r>
                <w:rPr>
                  <w:color w:val="0563C1"/>
                  <w:u w:val="single"/>
                  <w:sz w:val="14"/>
                </w:rPr>
                <w:t>[Kuo 2024]</w:t>
              </w:r>
            </w:hyperlink>
            <w:r>
              <w:t xml:space="preserve"> </w:t>
            </w:r>
            <w:hyperlink r:id="rId58">
              <w:r>
                <w:rPr>
                  <w:color w:val="0563C1"/>
                  <w:u w:val="single"/>
                  <w:sz w:val="14"/>
                </w:rPr>
                <w:t>[ASRS 2022 Leng]</w:t>
              </w:r>
            </w:hyperlink>
          </w:p>
        </w:tc>
      </w:tr>
      <w:tr>
        <w:trPr>
          <w:cantSplit/>
        </w:trPr>
        <w:tc>
          <w:tcPr>
            <w:tcW w:type="dxa" w:w="2304"/>
            <w:shd w:fill="F6F1E8"/>
            <w:tcMar>
              <w:top w:w="120" w:type="dxa"/>
              <w:left w:w="140" w:type="dxa"/>
              <w:bottom w:w="120" w:type="dxa"/>
              <w:right w:w="140" w:type="dxa"/>
            </w:tcMar>
            <w:vAlign w:val="top"/>
          </w:tcPr>
          <w:p>
            <w:pPr>
              <w:spacing w:after="0" w:line="264" w:lineRule="auto"/>
            </w:pPr>
            <w:r/>
            <w:r>
              <w:rPr>
                <w:b/>
                <w:caps w:val="0"/>
                <w:color w:val="10120F"/>
                <w:sz w:val="14"/>
              </w:rPr>
              <w:t>Initial-dose anti-VEGF</w:t>
            </w:r>
          </w:p>
        </w:tc>
        <w:tc>
          <w:tcPr>
            <w:tcW w:type="dxa" w:w="7344"/>
            <w:shd w:fill="F6F1E8"/>
            <w:tcMar>
              <w:top w:w="120" w:type="dxa"/>
              <w:left w:w="140" w:type="dxa"/>
              <w:bottom w:w="120" w:type="dxa"/>
              <w:right w:w="140" w:type="dxa"/>
            </w:tcMar>
            <w:vAlign w:val="top"/>
          </w:tcPr>
          <w:p>
            <w:pPr>
              <w:spacing w:after="0" w:line="264" w:lineRule="auto"/>
            </w:pPr>
            <w:r/>
            <w:r>
              <w:rPr>
                <w:b w:val="0"/>
                <w:caps w:val="0"/>
                <w:color w:val="10120F"/>
                <w:sz w:val="14"/>
              </w:rPr>
              <w:t>Initial-dose cohort = &gt;=3 injections of the same anti-VEGF agent within the first 100 days after the index injection; non-initial cohort = otherwise eligible eyes not meeting that rule.</w:t>
            </w:r>
          </w:p>
        </w:tc>
        <w:tc>
          <w:tcPr>
            <w:tcW w:type="dxa" w:w="4608"/>
            <w:shd w:fill="F6F1E8"/>
            <w:tcMar>
              <w:top w:w="120" w:type="dxa"/>
              <w:left w:w="140" w:type="dxa"/>
              <w:bottom w:w="120" w:type="dxa"/>
              <w:right w:w="140" w:type="dxa"/>
            </w:tcMar>
            <w:vAlign w:val="top"/>
          </w:tcPr>
          <w:p>
            <w:pPr>
              <w:spacing w:after="0" w:line="264" w:lineRule="auto"/>
            </w:pPr>
            <w:r/>
            <w:r>
              <w:rPr>
                <w:b w:val="0"/>
                <w:caps w:val="0"/>
                <w:color w:val="10120F"/>
                <w:sz w:val="14"/>
              </w:rPr>
              <w:t>Definition from the Singh 2024 full text.</w:t>
            </w:r>
            <w:r>
              <w:t xml:space="preserve"> </w:t>
            </w:r>
            <w:hyperlink r:id="rId51">
              <w:r>
                <w:rPr>
                  <w:color w:val="0563C1"/>
                  <w:u w:val="single"/>
                  <w:sz w:val="14"/>
                </w:rPr>
                <w:t>[Singh 2024]</w:t>
              </w:r>
            </w:hyperlink>
          </w:p>
        </w:tc>
      </w:tr>
      <w:tr>
        <w:trPr>
          <w:cantSplit/>
        </w:trPr>
        <w:tc>
          <w:tcPr>
            <w:tcW w:type="dxa" w:w="2304"/>
            <w:shd w:fill="EBE4D6"/>
            <w:tcMar>
              <w:top w:w="120" w:type="dxa"/>
              <w:left w:w="140" w:type="dxa"/>
              <w:bottom w:w="120" w:type="dxa"/>
              <w:right w:w="140" w:type="dxa"/>
            </w:tcMar>
            <w:vAlign w:val="top"/>
          </w:tcPr>
          <w:p>
            <w:pPr>
              <w:spacing w:after="0" w:line="264" w:lineRule="auto"/>
            </w:pPr>
            <w:r/>
            <w:r>
              <w:rPr>
                <w:b/>
                <w:caps w:val="0"/>
                <w:color w:val="10120F"/>
                <w:sz w:val="14"/>
              </w:rPr>
              <w:t>Discontinuation, reinitiation, switching</w:t>
            </w:r>
          </w:p>
        </w:tc>
        <w:tc>
          <w:tcPr>
            <w:tcW w:type="dxa" w:w="7344"/>
            <w:shd w:fill="EBE4D6"/>
            <w:tcMar>
              <w:top w:w="120" w:type="dxa"/>
              <w:left w:w="140" w:type="dxa"/>
              <w:bottom w:w="120" w:type="dxa"/>
              <w:right w:w="140" w:type="dxa"/>
            </w:tcMar>
            <w:vAlign w:val="top"/>
          </w:tcPr>
          <w:p>
            <w:pPr>
              <w:spacing w:after="0" w:line="264" w:lineRule="auto"/>
            </w:pPr>
            <w:r/>
            <w:r>
              <w:rPr>
                <w:b w:val="0"/>
                <w:caps w:val="0"/>
                <w:color w:val="10120F"/>
                <w:sz w:val="14"/>
              </w:rPr>
              <w:t>Discontinuation commonly uses a &gt;365-day / &gt;1-year period contributing to IRIS with no subsequent anti-VEGF injection. Reinitiation is anti-VEGF after &gt;=1 year, and switching is a different anti-VEGF agent after the defined gap; conference precursor materials also used &gt;=3 consecutive injections of a different anti-VEGF agent for switching.</w:t>
            </w:r>
          </w:p>
        </w:tc>
        <w:tc>
          <w:tcPr>
            <w:tcW w:type="dxa" w:w="4608"/>
            <w:shd w:fill="EBE4D6"/>
            <w:tcMar>
              <w:top w:w="120" w:type="dxa"/>
              <w:left w:w="140" w:type="dxa"/>
              <w:bottom w:w="120" w:type="dxa"/>
              <w:right w:w="140" w:type="dxa"/>
            </w:tcMar>
            <w:vAlign w:val="top"/>
          </w:tcPr>
          <w:p>
            <w:pPr>
              <w:spacing w:after="0" w:line="264" w:lineRule="auto"/>
            </w:pPr>
            <w:r/>
            <w:r>
              <w:rPr>
                <w:b w:val="0"/>
                <w:caps w:val="0"/>
                <w:color w:val="10120F"/>
                <w:sz w:val="14"/>
              </w:rPr>
              <w:t>Definitions are exposed most clearly in Singh 2024 and long-term treatment pattern conference materials.</w:t>
            </w:r>
            <w:r>
              <w:t xml:space="preserve"> </w:t>
            </w:r>
            <w:hyperlink r:id="rId51">
              <w:r>
                <w:rPr>
                  <w:color w:val="0563C1"/>
                  <w:u w:val="single"/>
                  <w:sz w:val="14"/>
                </w:rPr>
                <w:t>[Singh 2024]</w:t>
              </w:r>
            </w:hyperlink>
            <w:r>
              <w:t xml:space="preserve"> </w:t>
            </w:r>
            <w:hyperlink r:id="rId52">
              <w:r>
                <w:rPr>
                  <w:color w:val="0563C1"/>
                  <w:u w:val="single"/>
                  <w:sz w:val="14"/>
                </w:rPr>
                <w:t>[Kuo 2024]</w:t>
              </w:r>
            </w:hyperlink>
            <w:r>
              <w:t xml:space="preserve"> </w:t>
            </w:r>
            <w:hyperlink r:id="rId65">
              <w:r>
                <w:rPr>
                  <w:color w:val="0563C1"/>
                  <w:u w:val="single"/>
                  <w:sz w:val="14"/>
                </w:rPr>
                <w:t>[ARVO 2022 Kim]</w:t>
              </w:r>
            </w:hyperlink>
            <w:r>
              <w:t xml:space="preserve"> </w:t>
            </w:r>
            <w:hyperlink r:id="rId58">
              <w:r>
                <w:rPr>
                  <w:color w:val="0563C1"/>
                  <w:u w:val="single"/>
                  <w:sz w:val="14"/>
                </w:rPr>
                <w:t>[ASRS 2022 Leng]</w:t>
              </w:r>
            </w:hyperlink>
          </w:p>
        </w:tc>
      </w:tr>
      <w:tr>
        <w:trPr>
          <w:cantSplit/>
        </w:trPr>
        <w:tc>
          <w:tcPr>
            <w:tcW w:type="dxa" w:w="2304"/>
            <w:shd w:fill="F6F1E8"/>
            <w:tcMar>
              <w:top w:w="120" w:type="dxa"/>
              <w:left w:w="140" w:type="dxa"/>
              <w:bottom w:w="120" w:type="dxa"/>
              <w:right w:w="140" w:type="dxa"/>
            </w:tcMar>
            <w:vAlign w:val="top"/>
          </w:tcPr>
          <w:p>
            <w:pPr>
              <w:spacing w:after="0" w:line="264" w:lineRule="auto"/>
            </w:pPr>
            <w:r/>
            <w:r>
              <w:rPr>
                <w:b/>
                <w:caps w:val="0"/>
                <w:color w:val="10120F"/>
                <w:sz w:val="14"/>
              </w:rPr>
              <w:t>Visual acuity</w:t>
            </w:r>
          </w:p>
        </w:tc>
        <w:tc>
          <w:tcPr>
            <w:tcW w:type="dxa" w:w="7344"/>
            <w:shd w:fill="F6F1E8"/>
            <w:tcMar>
              <w:top w:w="120" w:type="dxa"/>
              <w:left w:w="140" w:type="dxa"/>
              <w:bottom w:w="120" w:type="dxa"/>
              <w:right w:w="140" w:type="dxa"/>
            </w:tcMar>
            <w:vAlign w:val="top"/>
          </w:tcPr>
          <w:p>
            <w:pPr>
              <w:spacing w:after="0" w:line="264" w:lineRule="auto"/>
            </w:pPr>
            <w:r/>
            <w:r>
              <w:rPr>
                <w:b w:val="0"/>
                <w:caps w:val="0"/>
                <w:color w:val="10120F"/>
                <w:sz w:val="14"/>
              </w:rPr>
              <w:t>VA is typically converted to approximate ETDRS letters. The exposed formula is `85 + 50 x log(Snellen fraction)`. Singh used annual best VA; FARETINA materials include corrected, uncorrected, and pinhole VA around injection visits.</w:t>
            </w:r>
          </w:p>
        </w:tc>
        <w:tc>
          <w:tcPr>
            <w:tcW w:type="dxa" w:w="4608"/>
            <w:shd w:fill="F6F1E8"/>
            <w:tcMar>
              <w:top w:w="120" w:type="dxa"/>
              <w:left w:w="140" w:type="dxa"/>
              <w:bottom w:w="120" w:type="dxa"/>
              <w:right w:w="140" w:type="dxa"/>
            </w:tcMar>
            <w:vAlign w:val="top"/>
          </w:tcPr>
          <w:p>
            <w:pPr>
              <w:spacing w:after="0" w:line="264" w:lineRule="auto"/>
            </w:pPr>
            <w:r/>
            <w:r>
              <w:rPr>
                <w:b w:val="0"/>
                <w:caps w:val="0"/>
                <w:color w:val="10120F"/>
                <w:sz w:val="14"/>
              </w:rPr>
              <w:t>Formula and VA handling from Maturi and Singh; FARETINA windows from posters/presentations.</w:t>
            </w:r>
            <w:r>
              <w:t xml:space="preserve"> </w:t>
            </w:r>
            <w:hyperlink r:id="rId50">
              <w:r>
                <w:rPr>
                  <w:color w:val="0563C1"/>
                  <w:u w:val="single"/>
                  <w:sz w:val="14"/>
                </w:rPr>
                <w:t>[Maturi 2024]</w:t>
              </w:r>
            </w:hyperlink>
            <w:r>
              <w:t xml:space="preserve"> </w:t>
            </w:r>
            <w:hyperlink r:id="rId51">
              <w:r>
                <w:rPr>
                  <w:color w:val="0563C1"/>
                  <w:u w:val="single"/>
                  <w:sz w:val="14"/>
                </w:rPr>
                <w:t>[Singh 2024]</w:t>
              </w:r>
            </w:hyperlink>
            <w:r>
              <w:t xml:space="preserve"> </w:t>
            </w:r>
            <w:hyperlink r:id="rId57">
              <w:r>
                <w:rPr>
                  <w:color w:val="0563C1"/>
                  <w:u w:val="single"/>
                  <w:sz w:val="14"/>
                </w:rPr>
                <w:t>[ARVO 2024 FARETINA]</w:t>
              </w:r>
            </w:hyperlink>
          </w:p>
        </w:tc>
      </w:tr>
      <w:tr>
        <w:trPr>
          <w:cantSplit/>
        </w:trPr>
        <w:tc>
          <w:tcPr>
            <w:tcW w:type="dxa" w:w="2304"/>
            <w:shd w:fill="EBE4D6"/>
            <w:tcMar>
              <w:top w:w="120" w:type="dxa"/>
              <w:left w:w="140" w:type="dxa"/>
              <w:bottom w:w="120" w:type="dxa"/>
              <w:right w:w="140" w:type="dxa"/>
            </w:tcMar>
            <w:vAlign w:val="top"/>
          </w:tcPr>
          <w:p>
            <w:pPr>
              <w:spacing w:after="0" w:line="264" w:lineRule="auto"/>
            </w:pPr>
            <w:r/>
            <w:r>
              <w:rPr>
                <w:b/>
                <w:caps w:val="0"/>
                <w:color w:val="10120F"/>
                <w:sz w:val="14"/>
              </w:rPr>
              <w:t>CST / anatomy</w:t>
            </w:r>
          </w:p>
        </w:tc>
        <w:tc>
          <w:tcPr>
            <w:tcW w:type="dxa" w:w="7344"/>
            <w:shd w:fill="EBE4D6"/>
            <w:tcMar>
              <w:top w:w="120" w:type="dxa"/>
              <w:left w:w="140" w:type="dxa"/>
              <w:bottom w:w="120" w:type="dxa"/>
              <w:right w:w="140" w:type="dxa"/>
            </w:tcMar>
            <w:vAlign w:val="top"/>
          </w:tcPr>
          <w:p>
            <w:pPr>
              <w:spacing w:after="0" w:line="264" w:lineRule="auto"/>
            </w:pPr>
            <w:r/>
            <w:r>
              <w:rPr>
                <w:b w:val="0"/>
                <w:caps w:val="0"/>
                <w:color w:val="10120F"/>
                <w:sz w:val="14"/>
              </w:rPr>
              <w:t>FARETINA-DME uses baseline CST 0-30 days before index in extracted materials, requires repeated CST measures before and after index in some analyses, excludes CST values shortly after injections in longitudinal windows, and reports mean CST change plus CST &lt;=280 micrometers or &gt;=10% reduction.</w:t>
            </w:r>
          </w:p>
        </w:tc>
        <w:tc>
          <w:tcPr>
            <w:tcW w:type="dxa" w:w="4608"/>
            <w:shd w:fill="EBE4D6"/>
            <w:tcMar>
              <w:top w:w="120" w:type="dxa"/>
              <w:left w:w="140" w:type="dxa"/>
              <w:bottom w:w="120" w:type="dxa"/>
              <w:right w:w="140" w:type="dxa"/>
            </w:tcMar>
            <w:vAlign w:val="top"/>
          </w:tcPr>
          <w:p>
            <w:pPr>
              <w:spacing w:after="0" w:line="264" w:lineRule="auto"/>
            </w:pPr>
            <w:r/>
            <w:r>
              <w:rPr>
                <w:b w:val="0"/>
                <w:caps w:val="0"/>
                <w:color w:val="10120F"/>
                <w:sz w:val="14"/>
              </w:rPr>
              <w:t>CST availability is limited and window definitions are from FARETINA conference PDFs.</w:t>
            </w:r>
            <w:r>
              <w:t xml:space="preserve"> </w:t>
            </w:r>
            <w:hyperlink r:id="rId57">
              <w:r>
                <w:rPr>
                  <w:color w:val="0563C1"/>
                  <w:u w:val="single"/>
                  <w:sz w:val="14"/>
                </w:rPr>
                <w:t>[ARVO 2024 FARETINA]</w:t>
              </w:r>
            </w:hyperlink>
            <w:r>
              <w:t xml:space="preserve"> </w:t>
            </w:r>
            <w:hyperlink r:id="rId59">
              <w:r>
                <w:rPr>
                  <w:color w:val="0563C1"/>
                  <w:u w:val="single"/>
                  <w:sz w:val="14"/>
                </w:rPr>
                <w:t>[ASRS 2024 FARETINA]</w:t>
              </w:r>
            </w:hyperlink>
            <w:r>
              <w:t xml:space="preserve"> </w:t>
            </w:r>
            <w:hyperlink r:id="rId61">
              <w:r>
                <w:rPr>
                  <w:color w:val="0563C1"/>
                  <w:u w:val="single"/>
                  <w:sz w:val="14"/>
                </w:rPr>
                <w:t>[Macula Society 2026 FARETINA]</w:t>
              </w:r>
            </w:hyperlink>
          </w:p>
        </w:tc>
      </w:tr>
      <w:tr>
        <w:trPr>
          <w:cantSplit/>
        </w:trPr>
        <w:tc>
          <w:tcPr>
            <w:tcW w:type="dxa" w:w="2304"/>
            <w:shd w:fill="F6F1E8"/>
            <w:tcMar>
              <w:top w:w="120" w:type="dxa"/>
              <w:left w:w="140" w:type="dxa"/>
              <w:bottom w:w="120" w:type="dxa"/>
              <w:right w:w="140" w:type="dxa"/>
            </w:tcMar>
            <w:vAlign w:val="top"/>
          </w:tcPr>
          <w:p>
            <w:pPr>
              <w:spacing w:after="0" w:line="264" w:lineRule="auto"/>
            </w:pPr>
            <w:r/>
            <w:r>
              <w:rPr>
                <w:b/>
                <w:caps w:val="0"/>
                <w:color w:val="10120F"/>
                <w:sz w:val="14"/>
              </w:rPr>
              <w:t>Injection interval / durability</w:t>
            </w:r>
          </w:p>
        </w:tc>
        <w:tc>
          <w:tcPr>
            <w:tcW w:type="dxa" w:w="7344"/>
            <w:shd w:fill="F6F1E8"/>
            <w:tcMar>
              <w:top w:w="120" w:type="dxa"/>
              <w:left w:w="140" w:type="dxa"/>
              <w:bottom w:w="120" w:type="dxa"/>
              <w:right w:w="140" w:type="dxa"/>
            </w:tcMar>
            <w:vAlign w:val="top"/>
          </w:tcPr>
          <w:p>
            <w:pPr>
              <w:spacing w:after="0" w:line="264" w:lineRule="auto"/>
            </w:pPr>
            <w:r/>
            <w:r>
              <w:rPr>
                <w:b w:val="0"/>
                <w:caps w:val="0"/>
                <w:color w:val="10120F"/>
                <w:sz w:val="14"/>
              </w:rPr>
              <w:t>FARETINA materials classify interval extension after repeated faricimab injections; an extended interval is &gt;6 weeks after the previous faricimab injection, with interval bands such as &lt;8, &gt;=8 to &lt;12, and &gt;=12 weeks.</w:t>
            </w:r>
          </w:p>
        </w:tc>
        <w:tc>
          <w:tcPr>
            <w:tcW w:type="dxa" w:w="4608"/>
            <w:shd w:fill="F6F1E8"/>
            <w:tcMar>
              <w:top w:w="120" w:type="dxa"/>
              <w:left w:w="140" w:type="dxa"/>
              <w:bottom w:w="120" w:type="dxa"/>
              <w:right w:w="140" w:type="dxa"/>
            </w:tcMar>
            <w:vAlign w:val="top"/>
          </w:tcPr>
          <w:p>
            <w:pPr>
              <w:spacing w:after="0" w:line="264" w:lineRule="auto"/>
            </w:pPr>
            <w:r/>
            <w:r>
              <w:rPr>
                <w:b w:val="0"/>
                <w:caps w:val="0"/>
                <w:color w:val="10120F"/>
                <w:sz w:val="14"/>
              </w:rPr>
              <w:t>Definition from FARETINA conference materials.</w:t>
            </w:r>
            <w:r>
              <w:t xml:space="preserve"> </w:t>
            </w:r>
            <w:hyperlink r:id="rId59">
              <w:r>
                <w:rPr>
                  <w:color w:val="0563C1"/>
                  <w:u w:val="single"/>
                  <w:sz w:val="14"/>
                </w:rPr>
                <w:t>[ASRS 2024 FARETINA]</w:t>
              </w:r>
            </w:hyperlink>
            <w:r>
              <w:t xml:space="preserve"> </w:t>
            </w:r>
            <w:hyperlink r:id="rId60">
              <w:r>
                <w:rPr>
                  <w:color w:val="0563C1"/>
                  <w:u w:val="single"/>
                  <w:sz w:val="14"/>
                </w:rPr>
                <w:t>[Hawaiian Eye 2025 FARETINA]</w:t>
              </w:r>
            </w:hyperlink>
            <w:r>
              <w:t xml:space="preserve"> </w:t>
            </w:r>
            <w:hyperlink r:id="rId61">
              <w:r>
                <w:rPr>
                  <w:color w:val="0563C1"/>
                  <w:u w:val="single"/>
                  <w:sz w:val="14"/>
                </w:rPr>
                <w:t>[Macula Society 2026 FARETINA]</w:t>
              </w:r>
            </w:hyperlink>
          </w:p>
        </w:tc>
      </w:tr>
      <w:tr>
        <w:trPr>
          <w:cantSplit/>
        </w:trPr>
        <w:tc>
          <w:tcPr>
            <w:tcW w:type="dxa" w:w="2304"/>
            <w:shd w:fill="EBE4D6"/>
            <w:tcMar>
              <w:top w:w="120" w:type="dxa"/>
              <w:left w:w="140" w:type="dxa"/>
              <w:bottom w:w="120" w:type="dxa"/>
              <w:right w:w="140" w:type="dxa"/>
            </w:tcMar>
            <w:vAlign w:val="top"/>
          </w:tcPr>
          <w:p>
            <w:pPr>
              <w:spacing w:after="0" w:line="264" w:lineRule="auto"/>
            </w:pPr>
            <w:r/>
            <w:r>
              <w:rPr>
                <w:b/>
                <w:caps w:val="0"/>
                <w:color w:val="10120F"/>
                <w:sz w:val="14"/>
              </w:rPr>
              <w:t>Ocular safety events</w:t>
            </w:r>
          </w:p>
        </w:tc>
        <w:tc>
          <w:tcPr>
            <w:tcW w:type="dxa" w:w="7344"/>
            <w:shd w:fill="EBE4D6"/>
            <w:tcMar>
              <w:top w:w="120" w:type="dxa"/>
              <w:left w:w="140" w:type="dxa"/>
              <w:bottom w:w="120" w:type="dxa"/>
              <w:right w:w="140" w:type="dxa"/>
            </w:tcMar>
            <w:vAlign w:val="top"/>
          </w:tcPr>
          <w:p>
            <w:pPr>
              <w:spacing w:after="0" w:line="264" w:lineRule="auto"/>
            </w:pPr>
            <w:r/>
            <w:r>
              <w:rPr>
                <w:b w:val="0"/>
                <w:caps w:val="0"/>
                <w:color w:val="10120F"/>
                <w:sz w:val="14"/>
              </w:rPr>
              <w:t>FARETINA safety definitions use incident ICD-10 diagnoses after faricimab initiation with no corresponding diagnosis in the prior 12 months; extracted code groups include endophthalmitis, iridocyclitis/iritis, retinal vasculitis, uveitis, and vitritis.</w:t>
            </w:r>
          </w:p>
        </w:tc>
        <w:tc>
          <w:tcPr>
            <w:tcW w:type="dxa" w:w="4608"/>
            <w:shd w:fill="EBE4D6"/>
            <w:tcMar>
              <w:top w:w="120" w:type="dxa"/>
              <w:left w:w="140" w:type="dxa"/>
              <w:bottom w:w="120" w:type="dxa"/>
              <w:right w:w="140" w:type="dxa"/>
            </w:tcMar>
            <w:vAlign w:val="top"/>
          </w:tcPr>
          <w:p>
            <w:pPr>
              <w:spacing w:after="0" w:line="264" w:lineRule="auto"/>
            </w:pPr>
            <w:r/>
            <w:r>
              <w:rPr>
                <w:b w:val="0"/>
                <w:caps w:val="0"/>
                <w:color w:val="10120F"/>
                <w:sz w:val="14"/>
              </w:rPr>
              <w:t>Specific ICD-10 codes are in the detailed methods extraction and conference PDFs; code-based incidence should be interpreted cautiously.</w:t>
            </w:r>
            <w:r>
              <w:t xml:space="preserve"> </w:t>
            </w:r>
            <w:hyperlink r:id="rId57">
              <w:r>
                <w:rPr>
                  <w:color w:val="0563C1"/>
                  <w:u w:val="single"/>
                  <w:sz w:val="14"/>
                </w:rPr>
                <w:t>[ARVO 2024 FARETINA]</w:t>
              </w:r>
            </w:hyperlink>
            <w:r>
              <w:t xml:space="preserve"> </w:t>
            </w:r>
            <w:hyperlink r:id="rId59">
              <w:r>
                <w:rPr>
                  <w:color w:val="0563C1"/>
                  <w:u w:val="single"/>
                  <w:sz w:val="14"/>
                </w:rPr>
                <w:t>[ASRS 2024 FARETINA]</w:t>
              </w:r>
            </w:hyperlink>
          </w:p>
        </w:tc>
      </w:tr>
      <w:tr>
        <w:trPr>
          <w:cantSplit/>
        </w:trPr>
        <w:tc>
          <w:tcPr>
            <w:tcW w:type="dxa" w:w="2304"/>
            <w:shd w:fill="F6F1E8"/>
            <w:tcMar>
              <w:top w:w="120" w:type="dxa"/>
              <w:left w:w="140" w:type="dxa"/>
              <w:bottom w:w="120" w:type="dxa"/>
              <w:right w:w="140" w:type="dxa"/>
            </w:tcMar>
            <w:vAlign w:val="top"/>
          </w:tcPr>
          <w:p>
            <w:pPr>
              <w:spacing w:after="0" w:line="264" w:lineRule="auto"/>
            </w:pPr>
            <w:r/>
            <w:r>
              <w:rPr>
                <w:b/>
                <w:caps w:val="0"/>
                <w:color w:val="10120F"/>
                <w:sz w:val="14"/>
              </w:rPr>
              <w:t>Infectious endophthalmitis outcomes</w:t>
            </w:r>
          </w:p>
        </w:tc>
        <w:tc>
          <w:tcPr>
            <w:tcW w:type="dxa" w:w="7344"/>
            <w:shd w:fill="F6F1E8"/>
            <w:tcMar>
              <w:top w:w="120" w:type="dxa"/>
              <w:left w:w="140" w:type="dxa"/>
              <w:bottom w:w="120" w:type="dxa"/>
              <w:right w:w="140" w:type="dxa"/>
            </w:tcMar>
            <w:vAlign w:val="top"/>
          </w:tcPr>
          <w:p>
            <w:pPr>
              <w:spacing w:after="0" w:line="264" w:lineRule="auto"/>
            </w:pPr>
            <w:r/>
            <w:r>
              <w:rPr>
                <w:b w:val="0"/>
                <w:caps w:val="0"/>
                <w:color w:val="10120F"/>
                <w:sz w:val="14"/>
              </w:rPr>
              <w:t>Zhang identified IVT biologic exposure using HCPCS J-codes; infectious endophthalmitis codes include ICD-9 360.00, 360.01, 360.03, 360.19 and ICD-10 H44.0, H44.001, H44.002, H44.003, H44.19. Legal blindness is &lt;=35 letters or &lt;=20/200.</w:t>
            </w:r>
          </w:p>
        </w:tc>
        <w:tc>
          <w:tcPr>
            <w:tcW w:type="dxa" w:w="4608"/>
            <w:shd w:fill="F6F1E8"/>
            <w:tcMar>
              <w:top w:w="120" w:type="dxa"/>
              <w:left w:w="140" w:type="dxa"/>
              <w:bottom w:w="120" w:type="dxa"/>
              <w:right w:w="140" w:type="dxa"/>
            </w:tcMar>
            <w:vAlign w:val="top"/>
          </w:tcPr>
          <w:p>
            <w:pPr>
              <w:spacing w:after="0" w:line="264" w:lineRule="auto"/>
            </w:pPr>
            <w:r/>
            <w:r>
              <w:rPr>
                <w:b w:val="0"/>
                <w:caps w:val="0"/>
                <w:color w:val="10120F"/>
                <w:sz w:val="14"/>
              </w:rPr>
              <w:t>Disease subgroup code lists are too long to reproduce; use Supplementary file 1, Table S1.</w:t>
            </w:r>
            <w:r>
              <w:t xml:space="preserve"> </w:t>
            </w:r>
            <w:hyperlink r:id="rId53">
              <w:r>
                <w:rPr>
                  <w:color w:val="0563C1"/>
                  <w:u w:val="single"/>
                  <w:sz w:val="14"/>
                </w:rPr>
                <w:t>[Zhang 2026]</w:t>
              </w:r>
            </w:hyperlink>
            <w:r>
              <w:t xml:space="preserve"> </w:t>
            </w:r>
            <w:hyperlink r:id="rId55">
              <w:r>
                <w:rPr>
                  <w:color w:val="0563C1"/>
                  <w:u w:val="single"/>
                  <w:sz w:val="14"/>
                </w:rPr>
                <w:t>[Zhang supplement]</w:t>
              </w:r>
            </w:hyperlink>
          </w:p>
        </w:tc>
      </w:tr>
      <w:tr>
        <w:trPr>
          <w:cantSplit/>
        </w:trPr>
        <w:tc>
          <w:tcPr>
            <w:tcW w:type="dxa" w:w="2304"/>
            <w:shd w:fill="EBE4D6"/>
            <w:tcMar>
              <w:top w:w="120" w:type="dxa"/>
              <w:left w:w="140" w:type="dxa"/>
              <w:bottom w:w="120" w:type="dxa"/>
              <w:right w:w="140" w:type="dxa"/>
            </w:tcMar>
            <w:vAlign w:val="top"/>
          </w:tcPr>
          <w:p>
            <w:pPr>
              <w:spacing w:after="0" w:line="264" w:lineRule="auto"/>
            </w:pPr>
            <w:r/>
            <w:r>
              <w:rPr>
                <w:b/>
                <w:caps w:val="0"/>
                <w:color w:val="10120F"/>
                <w:sz w:val="14"/>
              </w:rPr>
              <w:t>Linked claims / economic outcomes</w:t>
            </w:r>
          </w:p>
        </w:tc>
        <w:tc>
          <w:tcPr>
            <w:tcW w:type="dxa" w:w="7344"/>
            <w:shd w:fill="EBE4D6"/>
            <w:tcMar>
              <w:top w:w="120" w:type="dxa"/>
              <w:left w:w="140" w:type="dxa"/>
              <w:bottom w:w="120" w:type="dxa"/>
              <w:right w:w="140" w:type="dxa"/>
            </w:tcMar>
            <w:vAlign w:val="top"/>
          </w:tcPr>
          <w:p>
            <w:pPr>
              <w:spacing w:after="0" w:line="264" w:lineRule="auto"/>
            </w:pPr>
            <w:r/>
            <w:r>
              <w:rPr>
                <w:b w:val="0"/>
                <w:caps w:val="0"/>
                <w:color w:val="10120F"/>
                <w:sz w:val="14"/>
              </w:rPr>
              <w:t>The ARVO 2026 linked analysis combines CVS administrative claims with IRIS EHR data, requires DME claims and continuous medical/pharmacy coverage around faricimab initiation, and compares VA/CST, injections, visits, costs, and health care resource utilization.</w:t>
            </w:r>
          </w:p>
        </w:tc>
        <w:tc>
          <w:tcPr>
            <w:tcW w:type="dxa" w:w="4608"/>
            <w:shd w:fill="EBE4D6"/>
            <w:tcMar>
              <w:top w:w="120" w:type="dxa"/>
              <w:left w:w="140" w:type="dxa"/>
              <w:bottom w:w="120" w:type="dxa"/>
              <w:right w:w="140" w:type="dxa"/>
            </w:tcMar>
            <w:vAlign w:val="top"/>
          </w:tcPr>
          <w:p>
            <w:pPr>
              <w:spacing w:after="0" w:line="264" w:lineRule="auto"/>
            </w:pPr>
            <w:r/>
            <w:r>
              <w:rPr>
                <w:b w:val="0"/>
                <w:caps w:val="0"/>
                <w:color w:val="10120F"/>
                <w:sz w:val="14"/>
              </w:rPr>
              <w:t>Operational detail from the ARVO 2026 poster; ISPOR abstract overlaps at a higher level.</w:t>
            </w:r>
            <w:r>
              <w:t xml:space="preserve"> </w:t>
            </w:r>
            <w:hyperlink r:id="rId64">
              <w:r>
                <w:rPr>
                  <w:color w:val="0563C1"/>
                  <w:u w:val="single"/>
                  <w:sz w:val="14"/>
                </w:rPr>
                <w:t>[ARVO 2026 linked claims]</w:t>
              </w:r>
            </w:hyperlink>
            <w:r>
              <w:t xml:space="preserve"> </w:t>
            </w:r>
            <w:hyperlink r:id="rId68">
              <w:r>
                <w:rPr>
                  <w:color w:val="0563C1"/>
                  <w:u w:val="single"/>
                  <w:sz w:val="14"/>
                </w:rPr>
                <w:t>[ISPOR 2026]</w:t>
              </w:r>
            </w:hyperlink>
          </w:p>
        </w:tc>
      </w:tr>
    </w:tbl>
    <w:p>
      <w:pPr>
        <w:spacing w:after="40"/>
      </w:pPr>
    </w:p>
    <w:p>
      <w:pPr>
        <w:spacing w:before="360" w:after="160" w:line="320" w:lineRule="auto"/>
        <w:pBdr>
          <w:bottom w:val="single" w:sz="6" w:space="6" w:color="10120F"/>
        </w:pBdr>
      </w:pPr>
      <w:r>
        <w:rPr>
          <w:b/>
          <w:color w:val="10120F"/>
          <w:sz w:val="30"/>
        </w:rPr>
        <w:t>5.  Secondary and Access-Limited Items</w:t>
      </w:r>
    </w:p>
    <w:tbl>
      <w:tblPr>
        <w:tblW w:type="dxa" w:w="14256"/>
        <w:tblLayout w:type="autofit"/>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2" w:space="0" w:color="1B1F17"/>
          <w:insideV w:val="single" w:sz="2" w:space="0" w:color="1B1F17"/>
        </w:tblBorders>
        <w:tblCellMar>
          <w:left w:w="10" w:type="dxa"/>
          <w:right w:w="10" w:type="dxa"/>
        </w:tblCellMar>
      </w:tblPr>
      <w:tblGrid>
        <w:gridCol w:w="3564"/>
        <w:gridCol w:w="3564"/>
        <w:gridCol w:w="3564"/>
        <w:gridCol w:w="3564"/>
      </w:tblGrid>
      <w:tr>
        <w:trPr>
          <w:cantSplit/>
        </w:trPr>
        <w:tc>
          <w:tcPr>
            <w:tcW w:type="dxa" w:w="2880"/>
            <w:shd w:fill="10120F"/>
            <w:tcMar>
              <w:top w:w="120" w:type="dxa"/>
              <w:left w:w="140" w:type="dxa"/>
              <w:bottom w:w="120" w:type="dxa"/>
              <w:right w:w="140" w:type="dxa"/>
            </w:tcMar>
            <w:vAlign w:val="top"/>
          </w:tcPr>
          <w:p>
            <w:pPr>
              <w:spacing w:after="0" w:line="240" w:lineRule="auto"/>
            </w:pPr>
            <w:r/>
            <w:r>
              <w:rPr>
                <w:b/>
                <w:caps/>
                <w:color w:val="D7FF5F"/>
                <w:sz w:val="14"/>
              </w:rPr>
              <w:t>Item</w:t>
            </w:r>
          </w:p>
        </w:tc>
        <w:tc>
          <w:tcPr>
            <w:tcW w:type="dxa" w:w="3312"/>
            <w:shd w:fill="10120F"/>
            <w:tcMar>
              <w:top w:w="120" w:type="dxa"/>
              <w:left w:w="140" w:type="dxa"/>
              <w:bottom w:w="120" w:type="dxa"/>
              <w:right w:w="140" w:type="dxa"/>
            </w:tcMar>
            <w:vAlign w:val="top"/>
          </w:tcPr>
          <w:p>
            <w:pPr>
              <w:spacing w:after="0" w:line="240" w:lineRule="auto"/>
            </w:pPr>
            <w:r/>
            <w:r>
              <w:rPr>
                <w:b/>
                <w:caps/>
                <w:color w:val="D7FF5F"/>
                <w:sz w:val="14"/>
              </w:rPr>
              <w:t>Why it matters</w:t>
            </w:r>
          </w:p>
        </w:tc>
        <w:tc>
          <w:tcPr>
            <w:tcW w:type="dxa" w:w="4464"/>
            <w:shd w:fill="10120F"/>
            <w:tcMar>
              <w:top w:w="120" w:type="dxa"/>
              <w:left w:w="140" w:type="dxa"/>
              <w:bottom w:w="120" w:type="dxa"/>
              <w:right w:w="140" w:type="dxa"/>
            </w:tcMar>
            <w:vAlign w:val="top"/>
          </w:tcPr>
          <w:p>
            <w:pPr>
              <w:spacing w:after="0" w:line="240" w:lineRule="auto"/>
            </w:pPr>
            <w:r/>
            <w:r>
              <w:rPr>
                <w:b/>
                <w:caps/>
                <w:color w:val="D7FF5F"/>
                <w:sz w:val="14"/>
              </w:rPr>
              <w:t>Specific methods detail retained</w:t>
            </w:r>
          </w:p>
        </w:tc>
        <w:tc>
          <w:tcPr>
            <w:tcW w:type="dxa" w:w="3168"/>
            <w:shd w:fill="10120F"/>
            <w:tcMar>
              <w:top w:w="120" w:type="dxa"/>
              <w:left w:w="140" w:type="dxa"/>
              <w:bottom w:w="120" w:type="dxa"/>
              <w:right w:w="140" w:type="dxa"/>
            </w:tcMar>
            <w:vAlign w:val="top"/>
          </w:tcPr>
          <w:p>
            <w:pPr>
              <w:spacing w:after="0" w:line="240" w:lineRule="auto"/>
            </w:pPr>
            <w:r/>
            <w:r>
              <w:rPr>
                <w:b/>
                <w:caps/>
                <w:color w:val="D7FF5F"/>
                <w:sz w:val="14"/>
              </w:rPr>
              <w:t>Access / citation note</w:t>
            </w:r>
          </w:p>
        </w:tc>
      </w:tr>
      <w:tr>
        <w:trPr>
          <w:cantSplit/>
        </w:trPr>
        <w:tc>
          <w:tcPr>
            <w:tcW w:type="dxa" w:w="2880"/>
            <w:shd w:fill="F6F1E8"/>
            <w:tcMar>
              <w:top w:w="120" w:type="dxa"/>
              <w:left w:w="140" w:type="dxa"/>
              <w:bottom w:w="120" w:type="dxa"/>
              <w:right w:w="140" w:type="dxa"/>
            </w:tcMar>
            <w:vAlign w:val="top"/>
          </w:tcPr>
          <w:p>
            <w:pPr>
              <w:spacing w:after="0" w:line="264" w:lineRule="auto"/>
            </w:pPr>
            <w:r/>
            <w:r>
              <w:rPr>
                <w:b/>
                <w:caps w:val="0"/>
                <w:color w:val="10120F"/>
                <w:sz w:val="14"/>
              </w:rPr>
              <w:t>AAO 2017 PA017 presentation listing</w:t>
            </w:r>
          </w:p>
        </w:tc>
        <w:tc>
          <w:tcPr>
            <w:tcW w:type="dxa" w:w="3312"/>
            <w:shd w:fill="F6F1E8"/>
            <w:tcMar>
              <w:top w:w="120" w:type="dxa"/>
              <w:left w:w="140" w:type="dxa"/>
              <w:bottom w:w="120" w:type="dxa"/>
              <w:right w:w="140" w:type="dxa"/>
            </w:tcMar>
            <w:vAlign w:val="top"/>
          </w:tcPr>
          <w:p>
            <w:pPr>
              <w:spacing w:after="0" w:line="264" w:lineRule="auto"/>
            </w:pPr>
            <w:r/>
            <w:r>
              <w:rPr>
                <w:b w:val="0"/>
                <w:caps w:val="0"/>
                <w:color w:val="10120F"/>
                <w:sz w:val="14"/>
              </w:rPr>
              <w:t>AAO-listed precursor to the treatment-pattern topic.</w:t>
            </w:r>
          </w:p>
        </w:tc>
        <w:tc>
          <w:tcPr>
            <w:tcW w:type="dxa" w:w="4464"/>
            <w:shd w:fill="F6F1E8"/>
            <w:tcMar>
              <w:top w:w="120" w:type="dxa"/>
              <w:left w:w="140" w:type="dxa"/>
              <w:bottom w:w="120" w:type="dxa"/>
              <w:right w:w="140" w:type="dxa"/>
            </w:tcMar>
            <w:vAlign w:val="top"/>
          </w:tcPr>
          <w:p>
            <w:pPr>
              <w:spacing w:after="0" w:line="264" w:lineRule="auto"/>
            </w:pPr>
            <w:r/>
            <w:r>
              <w:rPr>
                <w:b w:val="0"/>
                <w:caps w:val="0"/>
                <w:color w:val="10120F"/>
                <w:sz w:val="14"/>
              </w:rPr>
              <w:t>Purpose was characterization of treatment patterns surrounding incident DME in the United States; no public presentation file was exposed.</w:t>
            </w:r>
          </w:p>
        </w:tc>
        <w:tc>
          <w:tcPr>
            <w:tcW w:type="dxa" w:w="3168"/>
            <w:shd w:fill="F6F1E8"/>
            <w:tcMar>
              <w:top w:w="120" w:type="dxa"/>
              <w:left w:w="140" w:type="dxa"/>
              <w:bottom w:w="120" w:type="dxa"/>
              <w:right w:w="140" w:type="dxa"/>
            </w:tcMar>
            <w:vAlign w:val="top"/>
          </w:tcPr>
          <w:p>
            <w:pPr>
              <w:spacing w:after="0" w:line="264" w:lineRule="auto"/>
            </w:pPr>
            <w:r/>
            <w:r>
              <w:rPr>
                <w:b w:val="0"/>
                <w:caps w:val="0"/>
                <w:color w:val="10120F"/>
                <w:sz w:val="14"/>
              </w:rPr>
              <w:t>Use Cantrell 2020 for published detail unless the AAO archive file is obtained.</w:t>
            </w:r>
            <w:r>
              <w:t xml:space="preserve"> </w:t>
            </w:r>
            <w:hyperlink r:id="rId49">
              <w:r>
                <w:rPr>
                  <w:color w:val="0563C1"/>
                  <w:u w:val="single"/>
                  <w:sz w:val="14"/>
                </w:rPr>
                <w:t>[AAO Annual Meeting]</w:t>
              </w:r>
            </w:hyperlink>
            <w:r>
              <w:t xml:space="preserve"> </w:t>
            </w:r>
            <w:hyperlink r:id="rId56">
              <w:r>
                <w:rPr>
                  <w:color w:val="0563C1"/>
                  <w:u w:val="single"/>
                  <w:sz w:val="14"/>
                </w:rPr>
                <w:t>[Cantrell 2020]</w:t>
              </w:r>
            </w:hyperlink>
          </w:p>
        </w:tc>
      </w:tr>
      <w:tr>
        <w:trPr>
          <w:cantSplit/>
        </w:trPr>
        <w:tc>
          <w:tcPr>
            <w:tcW w:type="dxa" w:w="2880"/>
            <w:shd w:fill="EBE4D6"/>
            <w:tcMar>
              <w:top w:w="120" w:type="dxa"/>
              <w:left w:w="140" w:type="dxa"/>
              <w:bottom w:w="120" w:type="dxa"/>
              <w:right w:w="140" w:type="dxa"/>
            </w:tcMar>
            <w:vAlign w:val="top"/>
          </w:tcPr>
          <w:p>
            <w:pPr>
              <w:spacing w:after="0" w:line="264" w:lineRule="auto"/>
            </w:pPr>
            <w:r/>
            <w:r>
              <w:rPr>
                <w:b/>
                <w:caps w:val="0"/>
                <w:color w:val="10120F"/>
                <w:sz w:val="14"/>
              </w:rPr>
              <w:t>Gong 2021 PDR treatment trends</w:t>
            </w:r>
          </w:p>
        </w:tc>
        <w:tc>
          <w:tcPr>
            <w:tcW w:type="dxa" w:w="3312"/>
            <w:shd w:fill="EBE4D6"/>
            <w:tcMar>
              <w:top w:w="120" w:type="dxa"/>
              <w:left w:w="140" w:type="dxa"/>
              <w:bottom w:w="120" w:type="dxa"/>
              <w:right w:w="140" w:type="dxa"/>
            </w:tcMar>
            <w:vAlign w:val="top"/>
          </w:tcPr>
          <w:p>
            <w:pPr>
              <w:spacing w:after="0" w:line="264" w:lineRule="auto"/>
            </w:pPr>
            <w:r/>
            <w:r>
              <w:rPr>
                <w:b w:val="0"/>
                <w:caps w:val="0"/>
                <w:color w:val="10120F"/>
                <w:sz w:val="14"/>
              </w:rPr>
              <w:t>DME appears as a status variable in a PDR treatment-pattern analysis.</w:t>
            </w:r>
          </w:p>
        </w:tc>
        <w:tc>
          <w:tcPr>
            <w:tcW w:type="dxa" w:w="4464"/>
            <w:shd w:fill="EBE4D6"/>
            <w:tcMar>
              <w:top w:w="120" w:type="dxa"/>
              <w:left w:w="140" w:type="dxa"/>
              <w:bottom w:w="120" w:type="dxa"/>
              <w:right w:w="140" w:type="dxa"/>
            </w:tcMar>
            <w:vAlign w:val="top"/>
          </w:tcPr>
          <w:p>
            <w:pPr>
              <w:spacing w:after="0" w:line="264" w:lineRule="auto"/>
            </w:pPr>
            <w:r/>
            <w:r>
              <w:rPr>
                <w:b w:val="0"/>
                <w:caps w:val="0"/>
                <w:color w:val="10120F"/>
                <w:sz w:val="14"/>
              </w:rPr>
              <w:t>Newly diagnosed PDR cohort of 141,317 patients; PDR codes explicitly reported as ICD-10 E08.35, E09.35, E10.35, E11.35, E13.35 and ICD-9 362.02.</w:t>
            </w:r>
          </w:p>
        </w:tc>
        <w:tc>
          <w:tcPr>
            <w:tcW w:type="dxa" w:w="3168"/>
            <w:shd w:fill="EBE4D6"/>
            <w:tcMar>
              <w:top w:w="120" w:type="dxa"/>
              <w:left w:w="140" w:type="dxa"/>
              <w:bottom w:w="120" w:type="dxa"/>
              <w:right w:w="140" w:type="dxa"/>
            </w:tcMar>
            <w:vAlign w:val="top"/>
          </w:tcPr>
          <w:p>
            <w:pPr>
              <w:spacing w:after="0" w:line="264" w:lineRule="auto"/>
            </w:pPr>
            <w:r/>
            <w:r>
              <w:rPr>
                <w:b w:val="0"/>
                <w:caps w:val="0"/>
                <w:color w:val="10120F"/>
                <w:sz w:val="14"/>
              </w:rPr>
              <w:t>Exact DME status codes and IVI/PRP procedure code lists were not exposed in the accessible abstract/metadata text.</w:t>
            </w:r>
            <w:r>
              <w:t xml:space="preserve"> </w:t>
            </w:r>
            <w:hyperlink r:id="rId69">
              <w:r>
                <w:rPr>
                  <w:color w:val="0563C1"/>
                  <w:u w:val="single"/>
                  <w:sz w:val="14"/>
                </w:rPr>
                <w:t>[Gong 2021]</w:t>
              </w:r>
            </w:hyperlink>
          </w:p>
        </w:tc>
      </w:tr>
      <w:tr>
        <w:trPr>
          <w:cantSplit/>
        </w:trPr>
        <w:tc>
          <w:tcPr>
            <w:tcW w:type="dxa" w:w="2880"/>
            <w:shd w:fill="F6F1E8"/>
            <w:tcMar>
              <w:top w:w="120" w:type="dxa"/>
              <w:left w:w="140" w:type="dxa"/>
              <w:bottom w:w="120" w:type="dxa"/>
              <w:right w:w="140" w:type="dxa"/>
            </w:tcMar>
            <w:vAlign w:val="top"/>
          </w:tcPr>
          <w:p>
            <w:pPr>
              <w:spacing w:after="0" w:line="264" w:lineRule="auto"/>
            </w:pPr>
            <w:r/>
            <w:r>
              <w:rPr>
                <w:b/>
                <w:caps w:val="0"/>
                <w:color w:val="10120F"/>
                <w:sz w:val="14"/>
              </w:rPr>
              <w:t>Ambrosino 2025 sickle cell trait/disease</w:t>
            </w:r>
          </w:p>
        </w:tc>
        <w:tc>
          <w:tcPr>
            <w:tcW w:type="dxa" w:w="3312"/>
            <w:shd w:fill="F6F1E8"/>
            <w:tcMar>
              <w:top w:w="120" w:type="dxa"/>
              <w:left w:w="140" w:type="dxa"/>
              <w:bottom w:w="120" w:type="dxa"/>
              <w:right w:w="140" w:type="dxa"/>
            </w:tcMar>
            <w:vAlign w:val="top"/>
          </w:tcPr>
          <w:p>
            <w:pPr>
              <w:spacing w:after="0" w:line="264" w:lineRule="auto"/>
            </w:pPr>
            <w:r/>
            <w:r>
              <w:rPr>
                <w:b w:val="0"/>
                <w:caps w:val="0"/>
                <w:color w:val="10120F"/>
                <w:sz w:val="14"/>
              </w:rPr>
              <w:t>DME is an outcome/complication among patients with diabetes and sickle cell status.</w:t>
            </w:r>
          </w:p>
        </w:tc>
        <w:tc>
          <w:tcPr>
            <w:tcW w:type="dxa" w:w="4464"/>
            <w:shd w:fill="F6F1E8"/>
            <w:tcMar>
              <w:top w:w="120" w:type="dxa"/>
              <w:left w:w="140" w:type="dxa"/>
              <w:bottom w:w="120" w:type="dxa"/>
              <w:right w:w="140" w:type="dxa"/>
            </w:tcMar>
            <w:vAlign w:val="top"/>
          </w:tcPr>
          <w:p>
            <w:pPr>
              <w:spacing w:after="0" w:line="264" w:lineRule="auto"/>
            </w:pPr>
            <w:r/>
            <w:r>
              <w:rPr>
                <w:b w:val="0"/>
                <w:caps w:val="0"/>
                <w:color w:val="10120F"/>
                <w:sz w:val="14"/>
              </w:rPr>
              <w:t>Cross-sectional IRIS analysis of type 1/type 2 diabetes from 2013-2021; DME, PDR, procedures, VA categories, and multivariable models were extracted.</w:t>
            </w:r>
          </w:p>
        </w:tc>
        <w:tc>
          <w:tcPr>
            <w:tcW w:type="dxa" w:w="3168"/>
            <w:shd w:fill="F6F1E8"/>
            <w:tcMar>
              <w:top w:w="120" w:type="dxa"/>
              <w:left w:w="140" w:type="dxa"/>
              <w:bottom w:w="120" w:type="dxa"/>
              <w:right w:w="140" w:type="dxa"/>
            </w:tcMar>
            <w:vAlign w:val="top"/>
          </w:tcPr>
          <w:p>
            <w:pPr>
              <w:spacing w:after="0" w:line="264" w:lineRule="auto"/>
            </w:pPr>
            <w:r/>
            <w:r>
              <w:rPr>
                <w:b w:val="0"/>
                <w:caps w:val="0"/>
                <w:color w:val="10120F"/>
                <w:sz w:val="14"/>
              </w:rPr>
              <w:t>Not a primary DME treatment-pattern study; useful for DME-as-outcome methods.</w:t>
            </w:r>
            <w:r>
              <w:t xml:space="preserve"> </w:t>
            </w:r>
            <w:hyperlink r:id="rId70">
              <w:r>
                <w:rPr>
                  <w:color w:val="0563C1"/>
                  <w:u w:val="single"/>
                  <w:sz w:val="14"/>
                </w:rPr>
                <w:t>[Ambrosino 2025]</w:t>
              </w:r>
            </w:hyperlink>
          </w:p>
        </w:tc>
      </w:tr>
      <w:tr>
        <w:trPr>
          <w:cantSplit/>
        </w:trPr>
        <w:tc>
          <w:tcPr>
            <w:tcW w:type="dxa" w:w="2880"/>
            <w:shd w:fill="EBE4D6"/>
            <w:tcMar>
              <w:top w:w="120" w:type="dxa"/>
              <w:left w:w="140" w:type="dxa"/>
              <w:bottom w:w="120" w:type="dxa"/>
              <w:right w:w="140" w:type="dxa"/>
            </w:tcMar>
            <w:vAlign w:val="top"/>
          </w:tcPr>
          <w:p>
            <w:pPr>
              <w:spacing w:after="0" w:line="264" w:lineRule="auto"/>
            </w:pPr>
            <w:r/>
            <w:r>
              <w:rPr>
                <w:b/>
                <w:caps w:val="0"/>
                <w:color w:val="10120F"/>
                <w:sz w:val="14"/>
              </w:rPr>
              <w:t>Zhang 2026 IVT biologic endophthalmitis</w:t>
            </w:r>
          </w:p>
        </w:tc>
        <w:tc>
          <w:tcPr>
            <w:tcW w:type="dxa" w:w="3312"/>
            <w:shd w:fill="EBE4D6"/>
            <w:tcMar>
              <w:top w:w="120" w:type="dxa"/>
              <w:left w:w="140" w:type="dxa"/>
              <w:bottom w:w="120" w:type="dxa"/>
              <w:right w:w="140" w:type="dxa"/>
            </w:tcMar>
            <w:vAlign w:val="top"/>
          </w:tcPr>
          <w:p>
            <w:pPr>
              <w:spacing w:after="0" w:line="264" w:lineRule="auto"/>
            </w:pPr>
            <w:r/>
            <w:r>
              <w:rPr>
                <w:b w:val="0"/>
                <w:caps w:val="0"/>
                <w:color w:val="10120F"/>
                <w:sz w:val="14"/>
              </w:rPr>
              <w:t>DME/DR is a disease indication subgroup for safety outcomes after intravitreal biologics.</w:t>
            </w:r>
          </w:p>
        </w:tc>
        <w:tc>
          <w:tcPr>
            <w:tcW w:type="dxa" w:w="4464"/>
            <w:shd w:fill="EBE4D6"/>
            <w:tcMar>
              <w:top w:w="120" w:type="dxa"/>
              <w:left w:w="140" w:type="dxa"/>
              <w:bottom w:w="120" w:type="dxa"/>
              <w:right w:w="140" w:type="dxa"/>
            </w:tcMar>
            <w:vAlign w:val="top"/>
          </w:tcPr>
          <w:p>
            <w:pPr>
              <w:spacing w:after="0" w:line="264" w:lineRule="auto"/>
            </w:pPr>
            <w:r/>
            <w:r>
              <w:rPr>
                <w:b w:val="0"/>
                <w:caps w:val="0"/>
                <w:color w:val="10120F"/>
                <w:sz w:val="14"/>
              </w:rPr>
              <w:t>Defines infectious endophthalmitis and evisceration/enucleation codes, legal blindness threshold, disease-stratification exclusion for overlapping disease codes, and supplement location for long disease-code lists.</w:t>
            </w:r>
          </w:p>
        </w:tc>
        <w:tc>
          <w:tcPr>
            <w:tcW w:type="dxa" w:w="3168"/>
            <w:shd w:fill="EBE4D6"/>
            <w:tcMar>
              <w:top w:w="120" w:type="dxa"/>
              <w:left w:w="140" w:type="dxa"/>
              <w:bottom w:w="120" w:type="dxa"/>
              <w:right w:w="140" w:type="dxa"/>
            </w:tcMar>
            <w:vAlign w:val="top"/>
          </w:tcPr>
          <w:p>
            <w:pPr>
              <w:spacing w:after="0" w:line="264" w:lineRule="auto"/>
            </w:pPr>
            <w:r/>
            <w:r>
              <w:rPr>
                <w:b w:val="0"/>
                <w:caps w:val="0"/>
                <w:color w:val="10120F"/>
                <w:sz w:val="14"/>
              </w:rPr>
              <w:t>Use Springer full text and Supplementary file 1, Table S1 for disease codes.</w:t>
            </w:r>
            <w:r>
              <w:t xml:space="preserve"> </w:t>
            </w:r>
            <w:hyperlink r:id="rId53">
              <w:r>
                <w:rPr>
                  <w:color w:val="0563C1"/>
                  <w:u w:val="single"/>
                  <w:sz w:val="14"/>
                </w:rPr>
                <w:t>[Zhang 2026]</w:t>
              </w:r>
            </w:hyperlink>
            <w:r>
              <w:t xml:space="preserve"> </w:t>
            </w:r>
            <w:hyperlink r:id="rId55">
              <w:r>
                <w:rPr>
                  <w:color w:val="0563C1"/>
                  <w:u w:val="single"/>
                  <w:sz w:val="14"/>
                </w:rPr>
                <w:t>[Zhang supplement]</w:t>
              </w:r>
            </w:hyperlink>
          </w:p>
        </w:tc>
      </w:tr>
      <w:tr>
        <w:trPr>
          <w:cantSplit/>
        </w:trPr>
        <w:tc>
          <w:tcPr>
            <w:tcW w:type="dxa" w:w="2880"/>
            <w:shd w:fill="F6F1E8"/>
            <w:tcMar>
              <w:top w:w="120" w:type="dxa"/>
              <w:left w:w="140" w:type="dxa"/>
              <w:bottom w:w="120" w:type="dxa"/>
              <w:right w:w="140" w:type="dxa"/>
            </w:tcMar>
            <w:vAlign w:val="top"/>
          </w:tcPr>
          <w:p>
            <w:pPr>
              <w:spacing w:after="0" w:line="264" w:lineRule="auto"/>
            </w:pPr>
            <w:r/>
            <w:r>
              <w:rPr>
                <w:b/>
                <w:caps w:val="0"/>
                <w:color w:val="10120F"/>
                <w:sz w:val="14"/>
              </w:rPr>
              <w:t>Publisher-gated older DME disparity papers</w:t>
            </w:r>
          </w:p>
        </w:tc>
        <w:tc>
          <w:tcPr>
            <w:tcW w:type="dxa" w:w="3312"/>
            <w:shd w:fill="F6F1E8"/>
            <w:tcMar>
              <w:top w:w="120" w:type="dxa"/>
              <w:left w:w="140" w:type="dxa"/>
              <w:bottom w:w="120" w:type="dxa"/>
              <w:right w:w="140" w:type="dxa"/>
            </w:tcMar>
            <w:vAlign w:val="top"/>
          </w:tcPr>
          <w:p>
            <w:pPr>
              <w:spacing w:after="0" w:line="264" w:lineRule="auto"/>
            </w:pPr>
            <w:r/>
            <w:r>
              <w:rPr>
                <w:b w:val="0"/>
                <w:caps w:val="0"/>
                <w:color w:val="10120F"/>
                <w:sz w:val="14"/>
              </w:rPr>
              <w:t>They are central to DME disparities but exposed public methods are incomplete.</w:t>
            </w:r>
          </w:p>
        </w:tc>
        <w:tc>
          <w:tcPr>
            <w:tcW w:type="dxa" w:w="4464"/>
            <w:shd w:fill="F6F1E8"/>
            <w:tcMar>
              <w:top w:w="120" w:type="dxa"/>
              <w:left w:w="140" w:type="dxa"/>
              <w:bottom w:w="120" w:type="dxa"/>
              <w:right w:w="140" w:type="dxa"/>
            </w:tcMar>
            <w:vAlign w:val="top"/>
          </w:tcPr>
          <w:p>
            <w:pPr>
              <w:spacing w:after="0" w:line="264" w:lineRule="auto"/>
            </w:pPr>
            <w:r/>
            <w:r>
              <w:rPr>
                <w:b w:val="0"/>
                <w:caps w:val="0"/>
                <w:color w:val="10120F"/>
                <w:sz w:val="14"/>
              </w:rPr>
              <w:t>Public abstracts/previews capture broad cohort, exposures, outcomes, and statistical approach, but not code lists, VA cleaning, or detailed inclusion/exclusion.</w:t>
            </w:r>
          </w:p>
        </w:tc>
        <w:tc>
          <w:tcPr>
            <w:tcW w:type="dxa" w:w="3168"/>
            <w:shd w:fill="F6F1E8"/>
            <w:tcMar>
              <w:top w:w="120" w:type="dxa"/>
              <w:left w:w="140" w:type="dxa"/>
              <w:bottom w:w="120" w:type="dxa"/>
              <w:right w:w="140" w:type="dxa"/>
            </w:tcMar>
            <w:vAlign w:val="top"/>
          </w:tcPr>
          <w:p>
            <w:pPr>
              <w:spacing w:after="0" w:line="264" w:lineRule="auto"/>
            </w:pPr>
            <w:r/>
            <w:r>
              <w:rPr>
                <w:b w:val="0"/>
                <w:caps w:val="0"/>
                <w:color w:val="10120F"/>
                <w:sz w:val="14"/>
              </w:rPr>
              <w:t>Supplement/full text should be retrieved through institutional access for exact operational replication.</w:t>
            </w:r>
            <w:r>
              <w:t xml:space="preserve"> </w:t>
            </w:r>
            <w:hyperlink r:id="rId62">
              <w:r>
                <w:rPr>
                  <w:color w:val="0563C1"/>
                  <w:u w:val="single"/>
                  <w:sz w:val="14"/>
                </w:rPr>
                <w:t>[Malhotra 2021]</w:t>
              </w:r>
            </w:hyperlink>
            <w:r>
              <w:t xml:space="preserve"> </w:t>
            </w:r>
            <w:hyperlink r:id="rId63">
              <w:r>
                <w:rPr>
                  <w:color w:val="0563C1"/>
                  <w:u w:val="single"/>
                  <w:sz w:val="14"/>
                </w:rPr>
                <w:t>[Greenlee 2022]</w:t>
              </w:r>
            </w:hyperlink>
          </w:p>
        </w:tc>
      </w:tr>
    </w:tbl>
    <w:p>
      <w:pPr>
        <w:spacing w:after="40"/>
      </w:pPr>
    </w:p>
    <w:p>
      <w:pPr>
        <w:sectPr>
          <w:pgSz w:w="15840" w:h="12240" w:orient="landscape"/>
          <w:pgMar w:top="792" w:right="792" w:bottom="792" w:left="792" w:header="708" w:footer="708" w:gutter="0"/>
          <w:cols w:space="720"/>
          <w:docGrid w:linePitch="360"/>
        </w:sectPr>
      </w:pPr>
    </w:p>
    <w:p>
      <w:pPr>
        <w:spacing w:before="360" w:after="160" w:line="320" w:lineRule="auto"/>
        <w:pBdr>
          <w:bottom w:val="single" w:sz="6" w:space="6" w:color="10120F"/>
        </w:pBdr>
      </w:pPr>
      <w:r>
        <w:rPr>
          <w:b/>
          <w:color w:val="10120F"/>
          <w:sz w:val="30"/>
        </w:rPr>
        <w:t>6.  Interpretation for Future IRIS DME Work</w:t>
      </w:r>
    </w:p>
    <w:p>
      <w:pPr>
        <w:spacing w:before="0" w:after="120" w:line="300" w:lineRule="auto"/>
      </w:pPr>
      <w:r>
        <w:rPr>
          <w:b w:val="0"/>
          <w:i w:val="0"/>
          <w:color w:val="10120F"/>
          <w:sz w:val="20"/>
        </w:rPr>
        <w:t>The strongest template for a future DME outcomes study is to combine Singh-style cohort rigor with FARETINA-style outcome windows: define the index injection, require at least 12 months of pre-index record availability, classify treatment history from the lookback, require a baseline VA close to index, and pre-specify injection, VA, CST, and durability windows.</w:t>
      </w:r>
      <w:r>
        <w:t xml:space="preserve"> </w:t>
      </w:r>
      <w:hyperlink r:id="rId51">
        <w:r>
          <w:rPr>
            <w:color w:val="0563C1"/>
            <w:u w:val="single"/>
            <w:sz w:val="18"/>
          </w:rPr>
          <w:t>[Singh 2024]</w:t>
        </w:r>
      </w:hyperlink>
      <w:r>
        <w:t xml:space="preserve"> </w:t>
      </w:r>
      <w:hyperlink r:id="rId57">
        <w:r>
          <w:rPr>
            <w:color w:val="0563C1"/>
            <w:u w:val="single"/>
            <w:sz w:val="18"/>
          </w:rPr>
          <w:t>[ARVO 2024 FARETINA]</w:t>
        </w:r>
      </w:hyperlink>
      <w:r>
        <w:t xml:space="preserve"> </w:t>
      </w:r>
      <w:hyperlink r:id="rId59">
        <w:r>
          <w:rPr>
            <w:color w:val="0563C1"/>
            <w:u w:val="single"/>
            <w:sz w:val="18"/>
          </w:rPr>
          <w:t>[ASRS 2024 FARETINA]</w:t>
        </w:r>
      </w:hyperlink>
    </w:p>
    <w:p>
      <w:pPr>
        <w:spacing w:before="0" w:after="120" w:line="300" w:lineRule="auto"/>
      </w:pPr>
      <w:r>
        <w:rPr>
          <w:b w:val="0"/>
          <w:i w:val="0"/>
          <w:color w:val="10120F"/>
          <w:sz w:val="20"/>
        </w:rPr>
        <w:t>For safety or disease-subgroup work, code provenance should be elevated into the main methods section or a retained supplement, because Zhang demonstrates that disease-code tables may be too long for narrative text while still being essential for replication.</w:t>
      </w:r>
      <w:r>
        <w:t xml:space="preserve"> </w:t>
      </w:r>
      <w:hyperlink r:id="rId53">
        <w:r>
          <w:rPr>
            <w:color w:val="0563C1"/>
            <w:u w:val="single"/>
            <w:sz w:val="18"/>
          </w:rPr>
          <w:t>[Zhang 2026]</w:t>
        </w:r>
      </w:hyperlink>
      <w:r>
        <w:t xml:space="preserve"> </w:t>
      </w:r>
      <w:hyperlink r:id="rId55">
        <w:r>
          <w:rPr>
            <w:color w:val="0563C1"/>
            <w:u w:val="single"/>
            <w:sz w:val="18"/>
          </w:rPr>
          <w:t>[Zhang supplement]</w:t>
        </w:r>
      </w:hyperlink>
    </w:p>
    <w:p>
      <w:pPr>
        <w:spacing w:before="0" w:after="120" w:line="300" w:lineRule="auto"/>
      </w:pPr>
      <w:r>
        <w:rPr>
          <w:b w:val="0"/>
          <w:i w:val="0"/>
          <w:color w:val="10120F"/>
          <w:sz w:val="20"/>
        </w:rPr>
        <w:t>For disparity or treatment-access questions, prior IRIS DME studies have compared race, ethnicity, insurance, and geography against VA, DR severity, injection use, and longitudinal VA outcomes, but exact operational replication may require publisher supplements or full-text access for older Ophthalmology/Healio manuscripts.</w:t>
      </w:r>
      <w:r>
        <w:t xml:space="preserve"> </w:t>
      </w:r>
      <w:hyperlink r:id="rId62">
        <w:r>
          <w:rPr>
            <w:color w:val="0563C1"/>
            <w:u w:val="single"/>
            <w:sz w:val="18"/>
          </w:rPr>
          <w:t>[Malhotra 2021]</w:t>
        </w:r>
      </w:hyperlink>
      <w:r>
        <w:t xml:space="preserve"> </w:t>
      </w:r>
      <w:hyperlink r:id="rId63">
        <w:r>
          <w:rPr>
            <w:color w:val="0563C1"/>
            <w:u w:val="single"/>
            <w:sz w:val="18"/>
          </w:rPr>
          <w:t>[Greenlee 2022]</w:t>
        </w:r>
      </w:hyperlink>
      <w:r>
        <w:t xml:space="preserve"> </w:t>
      </w:r>
      <w:hyperlink r:id="rId50">
        <w:r>
          <w:rPr>
            <w:color w:val="0563C1"/>
            <w:u w:val="single"/>
            <w:sz w:val="18"/>
          </w:rPr>
          <w:t>[Maturi 2024]</w:t>
        </w:r>
      </w:hyperlink>
    </w:p>
    <w:p>
      <w:pPr>
        <w:spacing w:before="0" w:after="120" w:line="300" w:lineRule="auto"/>
      </w:pPr>
      <w:r>
        <w:rPr>
          <w:b w:val="0"/>
          <w:i w:val="0"/>
          <w:color w:val="10120F"/>
          <w:sz w:val="20"/>
        </w:rPr>
        <w:t>For linked clinical-economic analyses, the 2026 claims-plus-IRIS work shows a path to pairing IRIS VA/CST outcomes with claims-based resource use and cost outcomes, but it also adds enrollment-continuity and linkage requirements that are not present in IRIS-only studies.</w:t>
      </w:r>
      <w:r>
        <w:t xml:space="preserve"> </w:t>
      </w:r>
      <w:hyperlink r:id="rId64">
        <w:r>
          <w:rPr>
            <w:color w:val="0563C1"/>
            <w:u w:val="single"/>
            <w:sz w:val="18"/>
          </w:rPr>
          <w:t>[ARVO 2026 linked claims]</w:t>
        </w:r>
      </w:hyperlink>
      <w:r>
        <w:t xml:space="preserve"> </w:t>
      </w:r>
      <w:hyperlink r:id="rId68">
        <w:r>
          <w:rPr>
            <w:color w:val="0563C1"/>
            <w:u w:val="single"/>
            <w:sz w:val="18"/>
          </w:rPr>
          <w:t>[ISPOR 2026]</w:t>
        </w:r>
      </w:hyperlink>
    </w:p>
    <w:p>
      <w:pPr>
        <w:sectPr>
          <w:pgSz w:w="12240" w:h="15840"/>
          <w:pgMar w:top="1080" w:right="1080" w:bottom="1080" w:left="1080" w:header="708" w:footer="708" w:gutter="0"/>
          <w:cols w:space="720"/>
          <w:docGrid w:linePitch="360"/>
        </w:sectPr>
      </w:pPr>
    </w:p>
    <w:p>
      <w:pPr>
        <w:spacing w:before="360" w:after="160" w:line="320" w:lineRule="auto"/>
        <w:pBdr>
          <w:bottom w:val="single" w:sz="6" w:space="6" w:color="10120F"/>
        </w:pBdr>
      </w:pPr>
      <w:r>
        <w:rPr>
          <w:b/>
          <w:color w:val="10120F"/>
          <w:sz w:val="30"/>
        </w:rPr>
        <w:t>7.  Source Links</w:t>
      </w:r>
    </w:p>
    <w:p>
      <w:pPr>
        <w:spacing w:before="0" w:after="120" w:line="300" w:lineRule="auto"/>
      </w:pPr>
      <w:r>
        <w:rPr>
          <w:b w:val="0"/>
          <w:i w:val="0"/>
          <w:color w:val="10120F"/>
          <w:sz w:val="20"/>
        </w:rPr>
        <w:t>The links below are the primary web sources and supplement locations used for the inline citations above; saved local copies and extraction notes remain in the IRIS Registry research folder.</w:t>
      </w:r>
      <w:r>
        <w:t xml:space="preserve"> </w:t>
      </w:r>
      <w:hyperlink r:id="rId48">
        <w:r>
          <w:rPr>
            <w:color w:val="0563C1"/>
            <w:u w:val="single"/>
            <w:sz w:val="18"/>
          </w:rPr>
          <w:t>[AAO IRIS Research]</w:t>
        </w:r>
      </w:hyperlink>
      <w:r>
        <w:t xml:space="preserve"> </w:t>
      </w:r>
      <w:hyperlink r:id="rId49">
        <w:r>
          <w:rPr>
            <w:color w:val="0563C1"/>
            <w:u w:val="single"/>
            <w:sz w:val="18"/>
          </w:rPr>
          <w:t>[AAO Annual Meeting]</w:t>
        </w:r>
      </w:hyperlink>
    </w:p>
    <w:tbl>
      <w:tblPr>
        <w:tblW w:type="dxa" w:w="14256"/>
        <w:tblLayout w:type="autofit"/>
        <w:tblLook w:firstColumn="0" w:firstRow="0" w:lastColumn="0" w:lastRow="0" w:noHBand="0" w:noVBand="0" w:val="0000"/>
        <w:tblBorders>
          <w:top w:val="single" w:sz="4" w:space="0" w:color="1B1F17"/>
          <w:left w:val="single" w:sz="4" w:space="0" w:color="1B1F17"/>
          <w:bottom w:val="single" w:sz="4" w:space="0" w:color="1B1F17"/>
          <w:right w:val="single" w:sz="4" w:space="0" w:color="1B1F17"/>
          <w:insideH w:val="single" w:sz="2" w:space="0" w:color="1B1F17"/>
          <w:insideV w:val="single" w:sz="2" w:space="0" w:color="1B1F17"/>
        </w:tblBorders>
        <w:tblCellMar>
          <w:left w:w="10" w:type="dxa"/>
          <w:right w:w="10" w:type="dxa"/>
        </w:tblCellMar>
      </w:tblPr>
      <w:tblGrid>
        <w:gridCol w:w="7128"/>
        <w:gridCol w:w="7128"/>
      </w:tblGrid>
      <w:tr>
        <w:trPr>
          <w:cantSplit/>
        </w:trPr>
        <w:tc>
          <w:tcPr>
            <w:tcW w:type="dxa" w:w="3168"/>
            <w:shd w:fill="10120F"/>
            <w:tcMar>
              <w:top w:w="120" w:type="dxa"/>
              <w:left w:w="140" w:type="dxa"/>
              <w:bottom w:w="120" w:type="dxa"/>
              <w:right w:w="140" w:type="dxa"/>
            </w:tcMar>
            <w:vAlign w:val="top"/>
          </w:tcPr>
          <w:p>
            <w:pPr>
              <w:spacing w:after="0" w:line="240" w:lineRule="auto"/>
            </w:pPr>
            <w:r/>
            <w:r>
              <w:rPr>
                <w:b/>
                <w:caps/>
                <w:color w:val="D7FF5F"/>
                <w:sz w:val="16"/>
              </w:rPr>
              <w:t>Citation label</w:t>
            </w:r>
          </w:p>
        </w:tc>
        <w:tc>
          <w:tcPr>
            <w:tcW w:type="dxa" w:w="6912"/>
            <w:shd w:fill="10120F"/>
            <w:tcMar>
              <w:top w:w="120" w:type="dxa"/>
              <w:left w:w="140" w:type="dxa"/>
              <w:bottom w:w="120" w:type="dxa"/>
              <w:right w:w="140" w:type="dxa"/>
            </w:tcMar>
            <w:vAlign w:val="top"/>
          </w:tcPr>
          <w:p>
            <w:pPr>
              <w:spacing w:after="0" w:line="240" w:lineRule="auto"/>
            </w:pPr>
            <w:r/>
            <w:r>
              <w:rPr>
                <w:b/>
                <w:caps/>
                <w:color w:val="D7FF5F"/>
                <w:sz w:val="16"/>
              </w:rPr>
              <w:t>Hyperlink</w:t>
            </w:r>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AAO IRIS Research</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48">
              <w:r>
                <w:rPr>
                  <w:color w:val="0563C1"/>
                  <w:u w:val="single"/>
                  <w:sz w:val="16"/>
                </w:rPr>
                <w:t>[AAO IRIS Research]</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AAO Annual Meeting</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49">
              <w:r>
                <w:rPr>
                  <w:color w:val="0563C1"/>
                  <w:u w:val="single"/>
                  <w:sz w:val="16"/>
                </w:rPr>
                <w:t>[AAO Annual Meeting]</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Cantrell 2020</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6">
              <w:r>
                <w:rPr>
                  <w:color w:val="0563C1"/>
                  <w:u w:val="single"/>
                  <w:sz w:val="16"/>
                </w:rPr>
                <w:t>[Cantrell 2020]</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Malhotra 2021</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2">
              <w:r>
                <w:rPr>
                  <w:color w:val="0563C1"/>
                  <w:u w:val="single"/>
                  <w:sz w:val="16"/>
                </w:rPr>
                <w:t>[Malhotra 2021]</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Greenlee 2022</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3">
              <w:r>
                <w:rPr>
                  <w:color w:val="0563C1"/>
                  <w:u w:val="single"/>
                  <w:sz w:val="16"/>
                </w:rPr>
                <w:t>[Greenlee 2022]</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Maturi 2024</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0">
              <w:r>
                <w:rPr>
                  <w:color w:val="0563C1"/>
                  <w:u w:val="single"/>
                  <w:sz w:val="16"/>
                </w:rPr>
                <w:t>[Maturi 2024]</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Maturi supplement</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4">
              <w:r>
                <w:rPr>
                  <w:color w:val="0563C1"/>
                  <w:u w:val="single"/>
                  <w:sz w:val="16"/>
                </w:rPr>
                <w:t>[Maturi supplement]</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Kuo 2024</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2">
              <w:r>
                <w:rPr>
                  <w:color w:val="0563C1"/>
                  <w:u w:val="single"/>
                  <w:sz w:val="16"/>
                </w:rPr>
                <w:t>[Kuo 2024]</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Singh 2024</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1">
              <w:r>
                <w:rPr>
                  <w:color w:val="0563C1"/>
                  <w:u w:val="single"/>
                  <w:sz w:val="16"/>
                </w:rPr>
                <w:t>[Singh 2024]</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Borkar 2025</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6">
              <w:r>
                <w:rPr>
                  <w:color w:val="0563C1"/>
                  <w:u w:val="single"/>
                  <w:sz w:val="16"/>
                </w:rPr>
                <w:t>[Borkar 2025]</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Singh 2025</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7">
              <w:r>
                <w:rPr>
                  <w:color w:val="0563C1"/>
                  <w:u w:val="single"/>
                  <w:sz w:val="16"/>
                </w:rPr>
                <w:t>[Singh 2025]</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Gong 2021</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9">
              <w:r>
                <w:rPr>
                  <w:color w:val="0563C1"/>
                  <w:u w:val="single"/>
                  <w:sz w:val="16"/>
                </w:rPr>
                <w:t>[Gong 2021]</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Ambrosino 2025</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70">
              <w:r>
                <w:rPr>
                  <w:color w:val="0563C1"/>
                  <w:u w:val="single"/>
                  <w:sz w:val="16"/>
                </w:rPr>
                <w:t>[Ambrosino 2025]</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Zhang 2026</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3">
              <w:r>
                <w:rPr>
                  <w:color w:val="0563C1"/>
                  <w:u w:val="single"/>
                  <w:sz w:val="16"/>
                </w:rPr>
                <w:t>[Zhang 2026]</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Zhang supplement</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5">
              <w:r>
                <w:rPr>
                  <w:color w:val="0563C1"/>
                  <w:u w:val="single"/>
                  <w:sz w:val="16"/>
                </w:rPr>
                <w:t>[Zhang supplement]</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ARVO 2024 FARETINA</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7">
              <w:r>
                <w:rPr>
                  <w:color w:val="0563C1"/>
                  <w:u w:val="single"/>
                  <w:sz w:val="16"/>
                </w:rPr>
                <w:t>[ARVO 2024 FARETINA]</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ASRS 2024 FARETINA</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59">
              <w:r>
                <w:rPr>
                  <w:color w:val="0563C1"/>
                  <w:u w:val="single"/>
                  <w:sz w:val="16"/>
                </w:rPr>
                <w:t>[ASRS 2024 FARETINA]</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Hawaiian Eye 2025 FARETINA</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0">
              <w:r>
                <w:rPr>
                  <w:color w:val="0563C1"/>
                  <w:u w:val="single"/>
                  <w:sz w:val="16"/>
                </w:rPr>
                <w:t>[Hawaiian Eye 2025 FARETINA]</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Macula Society 2026 FARETINA</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1">
              <w:r>
                <w:rPr>
                  <w:color w:val="0563C1"/>
                  <w:u w:val="single"/>
                  <w:sz w:val="16"/>
                </w:rPr>
                <w:t>[Macula Society 2026 FARETINA]</w:t>
              </w:r>
            </w:hyperlink>
          </w:p>
        </w:tc>
      </w:tr>
      <w:tr>
        <w:trPr>
          <w:cantSplit/>
        </w:trPr>
        <w:tc>
          <w:tcPr>
            <w:tcW w:type="dxa" w:w="3168"/>
            <w:shd w:fill="EBE4D6"/>
            <w:tcMar>
              <w:top w:w="120" w:type="dxa"/>
              <w:left w:w="140" w:type="dxa"/>
              <w:bottom w:w="120" w:type="dxa"/>
              <w:right w:w="140" w:type="dxa"/>
            </w:tcMar>
            <w:vAlign w:val="top"/>
          </w:tcPr>
          <w:p>
            <w:pPr>
              <w:spacing w:after="0" w:line="264" w:lineRule="auto"/>
            </w:pPr>
            <w:r/>
            <w:r>
              <w:rPr>
                <w:b/>
                <w:caps w:val="0"/>
                <w:color w:val="10120F"/>
                <w:sz w:val="16"/>
              </w:rPr>
              <w:t>ARVO 2026 linked claims</w:t>
            </w:r>
          </w:p>
        </w:tc>
        <w:tc>
          <w:tcPr>
            <w:tcW w:type="dxa" w:w="6912"/>
            <w:shd w:fill="EBE4D6"/>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4">
              <w:r>
                <w:rPr>
                  <w:color w:val="0563C1"/>
                  <w:u w:val="single"/>
                  <w:sz w:val="16"/>
                </w:rPr>
                <w:t>[ARVO 2026 linked claims]</w:t>
              </w:r>
            </w:hyperlink>
          </w:p>
        </w:tc>
      </w:tr>
      <w:tr>
        <w:trPr>
          <w:cantSplit/>
        </w:trPr>
        <w:tc>
          <w:tcPr>
            <w:tcW w:type="dxa" w:w="3168"/>
            <w:shd w:fill="F6F1E8"/>
            <w:tcMar>
              <w:top w:w="120" w:type="dxa"/>
              <w:left w:w="140" w:type="dxa"/>
              <w:bottom w:w="120" w:type="dxa"/>
              <w:right w:w="140" w:type="dxa"/>
            </w:tcMar>
            <w:vAlign w:val="top"/>
          </w:tcPr>
          <w:p>
            <w:pPr>
              <w:spacing w:after="0" w:line="264" w:lineRule="auto"/>
            </w:pPr>
            <w:r/>
            <w:r>
              <w:rPr>
                <w:b/>
                <w:caps w:val="0"/>
                <w:color w:val="10120F"/>
                <w:sz w:val="16"/>
              </w:rPr>
              <w:t>ISPOR 2026</w:t>
            </w:r>
          </w:p>
        </w:tc>
        <w:tc>
          <w:tcPr>
            <w:tcW w:type="dxa" w:w="6912"/>
            <w:shd w:fill="F6F1E8"/>
            <w:tcMar>
              <w:top w:w="120" w:type="dxa"/>
              <w:left w:w="140" w:type="dxa"/>
              <w:bottom w:w="120" w:type="dxa"/>
              <w:right w:w="140" w:type="dxa"/>
            </w:tcMar>
            <w:vAlign w:val="top"/>
          </w:tcPr>
          <w:p>
            <w:pPr>
              <w:spacing w:after="0" w:line="264" w:lineRule="auto"/>
            </w:pPr>
            <w:r/>
            <w:r>
              <w:rPr>
                <w:b w:val="0"/>
                <w:caps w:val="0"/>
                <w:color w:val="10120F"/>
                <w:sz w:val="16"/>
              </w:rPr>
              <w:t>Open source</w:t>
            </w:r>
            <w:r>
              <w:t xml:space="preserve"> </w:t>
            </w:r>
            <w:hyperlink r:id="rId68">
              <w:r>
                <w:rPr>
                  <w:color w:val="0563C1"/>
                  <w:u w:val="single"/>
                  <w:sz w:val="16"/>
                </w:rPr>
                <w:t>[ISPOR 2026]</w:t>
              </w:r>
            </w:hyperlink>
          </w:p>
        </w:tc>
      </w:tr>
    </w:tbl>
    <w:p>
      <w:pPr>
        <w:spacing w:after="40"/>
      </w:pPr>
    </w:p>
    <w:sectPr w:rsidR="002537A4">
      <w:pgSz w:w="15840" w:h="12240" w:orient="landscape"/>
      <w:pgMar w:top="792" w:right="792" w:bottom="792" w:left="792"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25375" w14:textId="77777777" w:rsidR="0073024C" w:rsidRDefault="0073024C">
      <w:r>
        <w:separator/>
      </w:r>
    </w:p>
  </w:endnote>
  <w:endnote w:type="continuationSeparator" w:id="0">
    <w:p w14:paraId="1EB6AAB5" w14:textId="77777777" w:rsidR="0073024C" w:rsidRDefault="00730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libri"/>
    <w:panose1 w:val="02000503000000020004"/>
    <w:charset w:val="00"/>
    <w:family w:val="auto"/>
    <w:pitch w:val="variable"/>
    <w:sig w:usb0="E0000AFF" w:usb1="5200A1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35667" w14:textId="77777777" w:rsidR="00707F1A" w:rsidRDefault="00707F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5E7F7" w14:textId="77777777" w:rsidR="00592533" w:rsidRDefault="00000000">
    <w:pPr>
      <w:jc w:val="right"/>
    </w:pPr>
    <w:r>
      <w:rPr>
        <w:color w:val="5C6257"/>
        <w:sz w:val="16"/>
        <w:szCs w:val="16"/>
      </w:rPr>
      <w:t xml:space="preserve">Page </w:t>
    </w:r>
    <w:r>
      <w:rPr>
        <w:color w:val="5C6257"/>
        <w:sz w:val="16"/>
        <w:szCs w:val="16"/>
      </w:rPr>
      <w:fldChar w:fldCharType="begin"/>
    </w:r>
    <w:r>
      <w:rPr>
        <w:color w:val="5C6257"/>
        <w:sz w:val="16"/>
        <w:szCs w:val="16"/>
      </w:rPr>
      <w:instrText>PAGE</w:instrText>
    </w:r>
    <w:r>
      <w:rPr>
        <w:color w:val="5C6257"/>
        <w:sz w:val="16"/>
        <w:szCs w:val="16"/>
      </w:rPr>
      <w:fldChar w:fldCharType="separate"/>
    </w:r>
    <w:r w:rsidR="00707F1A">
      <w:rPr>
        <w:noProof/>
        <w:color w:val="5C6257"/>
        <w:sz w:val="16"/>
        <w:szCs w:val="16"/>
      </w:rPr>
      <w:t>1</w:t>
    </w:r>
    <w:r>
      <w:rPr>
        <w:color w:val="5C6257"/>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8318C" w14:textId="77777777" w:rsidR="00707F1A" w:rsidRDefault="00707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575A2" w14:textId="77777777" w:rsidR="0073024C" w:rsidRDefault="0073024C">
      <w:r>
        <w:separator/>
      </w:r>
    </w:p>
  </w:footnote>
  <w:footnote w:type="continuationSeparator" w:id="0">
    <w:p w14:paraId="2F9C3AC7" w14:textId="77777777" w:rsidR="0073024C" w:rsidRDefault="007302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C9A9F" w14:textId="77777777" w:rsidR="00707F1A" w:rsidRDefault="00707F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A5EFE" w14:textId="77777777" w:rsidR="00592533" w:rsidRDefault="00000000">
    <w:r>
      <w:rPr>
        <w:caps/>
        <w:color w:val="5C6257"/>
        <w:spacing w:val="30"/>
        <w:sz w:val="16"/>
        <w:szCs w:val="16"/>
      </w:rPr>
      <w:t>Target Product Profile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0323F" w14:textId="77777777" w:rsidR="00707F1A" w:rsidRDefault="00707F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37351"/>
    <w:multiLevelType w:val="hybridMultilevel"/>
    <w:tmpl w:val="944A5FC2"/>
    <w:lvl w:ilvl="0" w:tplc="273A52A4">
      <w:start w:val="1"/>
      <w:numFmt w:val="bullet"/>
      <w:lvlText w:val="—"/>
      <w:lvlJc w:val="left"/>
      <w:pPr>
        <w:ind w:left="460" w:hanging="280"/>
      </w:pPr>
    </w:lvl>
    <w:lvl w:ilvl="1" w:tplc="C482269E">
      <w:numFmt w:val="decimal"/>
      <w:lvlText w:val=""/>
      <w:lvlJc w:val="left"/>
    </w:lvl>
    <w:lvl w:ilvl="2" w:tplc="DB90CE4E">
      <w:numFmt w:val="decimal"/>
      <w:lvlText w:val=""/>
      <w:lvlJc w:val="left"/>
    </w:lvl>
    <w:lvl w:ilvl="3" w:tplc="FD9AAA5A">
      <w:numFmt w:val="decimal"/>
      <w:lvlText w:val=""/>
      <w:lvlJc w:val="left"/>
    </w:lvl>
    <w:lvl w:ilvl="4" w:tplc="F3882856">
      <w:numFmt w:val="decimal"/>
      <w:lvlText w:val=""/>
      <w:lvlJc w:val="left"/>
    </w:lvl>
    <w:lvl w:ilvl="5" w:tplc="E3024EA2">
      <w:numFmt w:val="decimal"/>
      <w:lvlText w:val=""/>
      <w:lvlJc w:val="left"/>
    </w:lvl>
    <w:lvl w:ilvl="6" w:tplc="301E6EEA">
      <w:numFmt w:val="decimal"/>
      <w:lvlText w:val=""/>
      <w:lvlJc w:val="left"/>
    </w:lvl>
    <w:lvl w:ilvl="7" w:tplc="6016A02E">
      <w:numFmt w:val="decimal"/>
      <w:lvlText w:val=""/>
      <w:lvlJc w:val="left"/>
    </w:lvl>
    <w:lvl w:ilvl="8" w:tplc="6F5E0494">
      <w:numFmt w:val="decimal"/>
      <w:lvlText w:val=""/>
      <w:lvlJc w:val="left"/>
    </w:lvl>
  </w:abstractNum>
  <w:abstractNum w:abstractNumId="1" w15:restartNumberingAfterBreak="0">
    <w:nsid w:val="17AB405F"/>
    <w:multiLevelType w:val="hybridMultilevel"/>
    <w:tmpl w:val="4E84AB3A"/>
    <w:lvl w:ilvl="0" w:tplc="4BDA47C6">
      <w:start w:val="1"/>
      <w:numFmt w:val="bullet"/>
      <w:lvlText w:val="●"/>
      <w:lvlJc w:val="left"/>
      <w:pPr>
        <w:ind w:left="720" w:hanging="360"/>
      </w:pPr>
    </w:lvl>
    <w:lvl w:ilvl="1" w:tplc="EC20398E">
      <w:start w:val="1"/>
      <w:numFmt w:val="bullet"/>
      <w:lvlText w:val="○"/>
      <w:lvlJc w:val="left"/>
      <w:pPr>
        <w:ind w:left="1440" w:hanging="360"/>
      </w:pPr>
    </w:lvl>
    <w:lvl w:ilvl="2" w:tplc="678CEA7A">
      <w:start w:val="1"/>
      <w:numFmt w:val="bullet"/>
      <w:lvlText w:val="■"/>
      <w:lvlJc w:val="left"/>
      <w:pPr>
        <w:ind w:left="2160" w:hanging="360"/>
      </w:pPr>
    </w:lvl>
    <w:lvl w:ilvl="3" w:tplc="E140EE96">
      <w:start w:val="1"/>
      <w:numFmt w:val="bullet"/>
      <w:lvlText w:val="●"/>
      <w:lvlJc w:val="left"/>
      <w:pPr>
        <w:ind w:left="2880" w:hanging="360"/>
      </w:pPr>
    </w:lvl>
    <w:lvl w:ilvl="4" w:tplc="A30C8984">
      <w:start w:val="1"/>
      <w:numFmt w:val="bullet"/>
      <w:lvlText w:val="○"/>
      <w:lvlJc w:val="left"/>
      <w:pPr>
        <w:ind w:left="3600" w:hanging="360"/>
      </w:pPr>
    </w:lvl>
    <w:lvl w:ilvl="5" w:tplc="0C766288">
      <w:start w:val="1"/>
      <w:numFmt w:val="bullet"/>
      <w:lvlText w:val="■"/>
      <w:lvlJc w:val="left"/>
      <w:pPr>
        <w:ind w:left="4320" w:hanging="360"/>
      </w:pPr>
    </w:lvl>
    <w:lvl w:ilvl="6" w:tplc="6D68A91E">
      <w:start w:val="1"/>
      <w:numFmt w:val="bullet"/>
      <w:lvlText w:val="●"/>
      <w:lvlJc w:val="left"/>
      <w:pPr>
        <w:ind w:left="5040" w:hanging="360"/>
      </w:pPr>
    </w:lvl>
    <w:lvl w:ilvl="7" w:tplc="667656AC">
      <w:start w:val="1"/>
      <w:numFmt w:val="bullet"/>
      <w:lvlText w:val="●"/>
      <w:lvlJc w:val="left"/>
      <w:pPr>
        <w:ind w:left="5760" w:hanging="360"/>
      </w:pPr>
    </w:lvl>
    <w:lvl w:ilvl="8" w:tplc="81D666A6">
      <w:start w:val="1"/>
      <w:numFmt w:val="bullet"/>
      <w:lvlText w:val="●"/>
      <w:lvlJc w:val="left"/>
      <w:pPr>
        <w:ind w:left="6480" w:hanging="360"/>
      </w:pPr>
    </w:lvl>
  </w:abstractNum>
  <w:num w:numId="1" w16cid:durableId="1527138191">
    <w:abstractNumId w:val="1"/>
    <w:lvlOverride w:ilvl="0">
      <w:startOverride w:val="1"/>
    </w:lvlOverride>
  </w:num>
  <w:num w:numId="2" w16cid:durableId="1052119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2533"/>
    <w:rsid w:val="0022477B"/>
    <w:rsid w:val="002537A4"/>
    <w:rsid w:val="003A3A9E"/>
    <w:rsid w:val="00437172"/>
    <w:rsid w:val="00472417"/>
    <w:rsid w:val="00592533"/>
    <w:rsid w:val="00707F1A"/>
    <w:rsid w:val="00715A81"/>
    <w:rsid w:val="0073024C"/>
    <w:rsid w:val="007454B4"/>
    <w:rsid w:val="00AB1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BF75"/>
  <w15:docId w15:val="{8F18C187-5D52-4D7F-9EAA-74916A276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B1F1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07F1A"/>
    <w:pPr>
      <w:tabs>
        <w:tab w:val="center" w:pos="4680"/>
        <w:tab w:val="right" w:pos="9360"/>
      </w:tabs>
    </w:pPr>
  </w:style>
  <w:style w:type="character" w:customStyle="1" w:styleId="HeaderChar">
    <w:name w:val="Header Char"/>
    <w:basedOn w:val="DefaultParagraphFont"/>
    <w:link w:val="Header"/>
    <w:uiPriority w:val="99"/>
    <w:rsid w:val="00707F1A"/>
  </w:style>
  <w:style w:type="paragraph" w:styleId="Footer">
    <w:name w:val="footer"/>
    <w:basedOn w:val="Normal"/>
    <w:link w:val="FooterChar"/>
    <w:uiPriority w:val="99"/>
    <w:unhideWhenUsed/>
    <w:rsid w:val="00707F1A"/>
    <w:pPr>
      <w:tabs>
        <w:tab w:val="center" w:pos="4680"/>
        <w:tab w:val="right" w:pos="9360"/>
      </w:tabs>
    </w:pPr>
  </w:style>
  <w:style w:type="character" w:customStyle="1" w:styleId="FooterChar">
    <w:name w:val="Footer Char"/>
    <w:basedOn w:val="DefaultParagraphFont"/>
    <w:link w:val="Footer"/>
    <w:uiPriority w:val="99"/>
    <w:rsid w:val="00707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nice.org.uk/process/pmg36/chapter/introduction-to-health-technology-evaluatio" TargetMode="External"/><Relationship Id="rId18" Type="http://schemas.openxmlformats.org/officeDocument/2006/relationships/hyperlink" Target="https://genesisrg.com/evidence-solutions/" TargetMode="External"/><Relationship Id="rId26" Type="http://schemas.openxmlformats.org/officeDocument/2006/relationships/hyperlink" Target="https://www.nice.org.uk/process/pmg36/chapter/introduction-to-health-technology-evaluatio" TargetMode="External"/><Relationship Id="rId39" Type="http://schemas.openxmlformats.org/officeDocument/2006/relationships/hyperlink" Target="https://advisory.avalerehealth.com/services/market-access-reimbursement" TargetMode="External"/><Relationship Id="rId21" Type="http://schemas.openxmlformats.org/officeDocument/2006/relationships/hyperlink" Target="https://www.fda.gov/drugs/guidances-drugs/withdrawn-and-expired-guidances-drugs" TargetMode="External"/><Relationship Id="rId34" Type="http://schemas.openxmlformats.org/officeDocument/2006/relationships/hyperlink" Target="https://genesisrg.com/evidence-solutions/" TargetMode="External"/><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hyperlink" Target="https://www.fda.gov/media/95015/download" TargetMode="External"/><Relationship Id="rId2" Type="http://schemas.openxmlformats.org/officeDocument/2006/relationships/styles" Target="styles.xml"/><Relationship Id="rId16" Type="http://schemas.openxmlformats.org/officeDocument/2006/relationships/hyperlink" Target="https://advisory.avalerehealth.com/services/market-access-reimbursement" TargetMode="External"/><Relationship Id="rId29" Type="http://schemas.openxmlformats.org/officeDocument/2006/relationships/hyperlink" Target="https://www.iqvia.com/solutions/commercialization/commercial-analytics/pricing-and-market-acces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da.gov/regulatory-information/search-fda-guidance-documents/considerations-use-real-world-data-and-real-world-evidence-support-regulatory-decision-making-drug?key=2022" TargetMode="External"/><Relationship Id="rId24" Type="http://schemas.openxmlformats.org/officeDocument/2006/relationships/hyperlink" Target="https://www.fda.gov/regulatory-information/search-fda-guidance-documents/considerations-use-real-world-data-and-real-world-evidence-support-regulatory-decision-making-drug?key=2022" TargetMode="External"/><Relationship Id="rId32" Type="http://schemas.openxmlformats.org/officeDocument/2006/relationships/hyperlink" Target="https://www.certara.com/evidence-access/" TargetMode="External"/><Relationship Id="rId37" Type="http://schemas.openxmlformats.org/officeDocument/2006/relationships/hyperlink" Target="https://www.drevidence.com/solutions/heor-market-access" TargetMode="External"/><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www.fda.gov/media/95015/download" TargetMode="External"/><Relationship Id="rId23" Type="http://schemas.openxmlformats.org/officeDocument/2006/relationships/hyperlink" Target="https://www.ninds.nih.gov/current-research/research-funded-ninds/translational-research/create-bio/create-bio-application-support-library/create-bio-example-target-product-profile-tpp" TargetMode="External"/><Relationship Id="rId28" Type="http://schemas.openxmlformats.org/officeDocument/2006/relationships/hyperlink" Target="https://www.ispor.org/heor-resources/good-practices" TargetMode="External"/><Relationship Id="rId36" Type="http://schemas.openxmlformats.org/officeDocument/2006/relationships/hyperlink" Target="https://www.rtihs.org/value-access-and-heor" TargetMode="External"/><Relationship Id="rId10" Type="http://schemas.openxmlformats.org/officeDocument/2006/relationships/hyperlink" Target="https://www.fda.gov/media/159500/download" TargetMode="External"/><Relationship Id="rId19" Type="http://schemas.openxmlformats.org/officeDocument/2006/relationships/hyperlink" Target="https://clarivate.com/products/real-world-data/" TargetMode="External"/><Relationship Id="rId31" Type="http://schemas.openxmlformats.org/officeDocument/2006/relationships/hyperlink" Target="https://www.ppd.com/our-solutions/clinical/health-economics-and-market-access/market-access/" TargetMode="External"/><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fda.gov/media/95015/download" TargetMode="External"/><Relationship Id="rId14" Type="http://schemas.openxmlformats.org/officeDocument/2006/relationships/hyperlink" Target="https://www.nice.org.uk/process/pmg36/chapter/economic-evaluation-2" TargetMode="External"/><Relationship Id="rId22" Type="http://schemas.openxmlformats.org/officeDocument/2006/relationships/hyperlink" Target="https://www.fda.gov/media/95015/download" TargetMode="External"/><Relationship Id="rId27" Type="http://schemas.openxmlformats.org/officeDocument/2006/relationships/hyperlink" Target="https://www.nice.org.uk/process/pmg36/chapter/economic-evaluation-2" TargetMode="External"/><Relationship Id="rId30" Type="http://schemas.openxmlformats.org/officeDocument/2006/relationships/hyperlink" Target="https://www.openhealthgroup.com/what-we-do/heor-market-access/" TargetMode="External"/><Relationship Id="rId35" Type="http://schemas.openxmlformats.org/officeDocument/2006/relationships/hyperlink" Target="https://www.eversana.com/our-services/market-access-and-value/heor-value-evidence/" TargetMode="External"/><Relationship Id="rId43" Type="http://schemas.openxmlformats.org/officeDocument/2006/relationships/footer" Target="footer2.xml"/><Relationship Id="rId8" Type="http://schemas.openxmlformats.org/officeDocument/2006/relationships/hyperlink" Target="https://www.fda.gov/drugs/guidances-drugs/withdrawn-and-expired-guidances-drugs" TargetMode="External"/><Relationship Id="rId3" Type="http://schemas.openxmlformats.org/officeDocument/2006/relationships/settings" Target="settings.xml"/><Relationship Id="rId12" Type="http://schemas.openxmlformats.org/officeDocument/2006/relationships/hyperlink" Target="https://www.ispor.org/heor-resources/good-practices" TargetMode="External"/><Relationship Id="rId17" Type="http://schemas.openxmlformats.org/officeDocument/2006/relationships/hyperlink" Target="https://www.drevidence.com/solutions/heor-market-access" TargetMode="External"/><Relationship Id="rId25" Type="http://schemas.openxmlformats.org/officeDocument/2006/relationships/hyperlink" Target="https://www.fda.gov/media/159500/download" TargetMode="External"/><Relationship Id="rId33" Type="http://schemas.openxmlformats.org/officeDocument/2006/relationships/hyperlink" Target="https://www.putassoc.com/our-expertise/value-pricing-access/" TargetMode="External"/><Relationship Id="rId38" Type="http://schemas.openxmlformats.org/officeDocument/2006/relationships/hyperlink" Target="https://clarivate.com/products/real-world-data/" TargetMode="External"/><Relationship Id="rId46" Type="http://schemas.openxmlformats.org/officeDocument/2006/relationships/fontTable" Target="fontTable.xml"/><Relationship Id="rId20" Type="http://schemas.openxmlformats.org/officeDocument/2006/relationships/hyperlink" Target="https://www.rtihs.org/value-access-and-heor" TargetMode="External"/><Relationship Id="rId41" Type="http://schemas.openxmlformats.org/officeDocument/2006/relationships/header" Target="header2.xml"/><Relationship Id="rId48" Type="http://schemas.openxmlformats.org/officeDocument/2006/relationships/hyperlink" Target="https://www.aao.org/iris-registry/research" TargetMode="External"/><Relationship Id="rId49" Type="http://schemas.openxmlformats.org/officeDocument/2006/relationships/hyperlink" Target="https://www.aao.org/iris-registry/annual-meeting" TargetMode="External"/><Relationship Id="rId50" Type="http://schemas.openxmlformats.org/officeDocument/2006/relationships/hyperlink" Target="https://pmc.ncbi.nlm.nih.gov/articles/PMC11102718/" TargetMode="External"/><Relationship Id="rId51" Type="http://schemas.openxmlformats.org/officeDocument/2006/relationships/hyperlink" Target="https://pmc.ncbi.nlm.nih.gov/articles/PMC11684133/" TargetMode="External"/><Relationship Id="rId52" Type="http://schemas.openxmlformats.org/officeDocument/2006/relationships/hyperlink" Target="https://www.sciencedirect.com/science/article/pii/S2468653024002665" TargetMode="External"/><Relationship Id="rId53" Type="http://schemas.openxmlformats.org/officeDocument/2006/relationships/hyperlink" Target="https://link.springer.com/article/10.1007/s40123-026-01371-8" TargetMode="External"/><Relationship Id="rId54" Type="http://schemas.openxmlformats.org/officeDocument/2006/relationships/hyperlink" Target="https://journals.sagepub.com/doi/suppl/10.1177/24741264231221607" TargetMode="External"/><Relationship Id="rId55" Type="http://schemas.openxmlformats.org/officeDocument/2006/relationships/hyperlink" Target="https://static-content.springer.com/esm/art%3A10.1007%2Fs40123-026-01371-8/MediaObjects/40123_2026_1371_MOESM1_ESM.pdf" TargetMode="External"/><Relationship Id="rId56" Type="http://schemas.openxmlformats.org/officeDocument/2006/relationships/hyperlink" Target="https://doi.org/10.1016/j.ophtha.2019.10.019" TargetMode="External"/><Relationship Id="rId57" Type="http://schemas.openxmlformats.org/officeDocument/2006/relationships/hyperlink" Target="https://veranahealth.com/wp-content/uploads/2024/05/ARVO-2024_FARETINA-DME-Borkar-poster_FINAL-2.pdf" TargetMode="External"/><Relationship Id="rId58" Type="http://schemas.openxmlformats.org/officeDocument/2006/relationships/hyperlink" Target="https://medically.gene.com/content/dam/pdmahub/restricted/ophthalmology/asrs-2022/ASRS-2022-presentation-leng-long-term-real-world-treatment-patterns.pdf" TargetMode="External"/><Relationship Id="rId59" Type="http://schemas.openxmlformats.org/officeDocument/2006/relationships/hyperlink" Target="https://medically.gene.com/content/dam/pdmahub/restricted/ophthalmology/asrs-2024/ASRS-2024-presentation-leng-12-month-real-world-clinical.pdf" TargetMode="External"/><Relationship Id="rId60" Type="http://schemas.openxmlformats.org/officeDocument/2006/relationships/hyperlink" Target="https://medically.gene.com/content/dam/pdmahub/restricted/ophthalmology/hawaiian-eye-2025/Hawaiian-Eye-2025-presentation-borkar-12-month-real-world-clinical-outcomes.pdf" TargetMode="External"/><Relationship Id="rId61" Type="http://schemas.openxmlformats.org/officeDocument/2006/relationships/hyperlink" Target="https://medically.gene.com/content/dam/pdmahub/restricted/ophthalmology/macula-society-2026/Macula-Society-2026-presentation-borkar-two-year-real-world-clinical-outcomes-in-patients.pdf" TargetMode="External"/><Relationship Id="rId62" Type="http://schemas.openxmlformats.org/officeDocument/2006/relationships/hyperlink" Target="https://doi.org/10.1016/j.ophtha.2021.03.010" TargetMode="External"/><Relationship Id="rId63" Type="http://schemas.openxmlformats.org/officeDocument/2006/relationships/hyperlink" Target="https://doi.org/10.3928/23258160-20220615-01" TargetMode="External"/><Relationship Id="rId64" Type="http://schemas.openxmlformats.org/officeDocument/2006/relationships/hyperlink" Target="https://medically.gene.com/content/dam/pdmahub/restricted/ophthalmology/arvo-2026/ARVO-2026-poster-cooper-real-world-outcomes-in-individuals-with-diabetic-macular-edema.pdf" TargetMode="External"/><Relationship Id="rId65" Type="http://schemas.openxmlformats.org/officeDocument/2006/relationships/hyperlink" Target="https://medically.gene.com/content/dam/pdmahub/restricted/ophthalmology/arvo-2022/ARVO-2022-poster-kim-discontinuation-switching-and-other-long-term-routine-clinical-practice.pdf" TargetMode="External"/><Relationship Id="rId66" Type="http://schemas.openxmlformats.org/officeDocument/2006/relationships/hyperlink" Target="https://pubmed.ncbi.nlm.nih.gov/40371971/" TargetMode="External"/><Relationship Id="rId67" Type="http://schemas.openxmlformats.org/officeDocument/2006/relationships/hyperlink" Target="https://pubmed.ncbi.nlm.nih.gov/41186474/" TargetMode="External"/><Relationship Id="rId68" Type="http://schemas.openxmlformats.org/officeDocument/2006/relationships/hyperlink" Target="https://www.ispor.org/heor-resources/presentations-database/presentation-cti/ispor-2026/poster-session-2-4/clinical-and-economic-impact-of-faricimab-treated-diabetic-macular-edema-a-linked-analysis-of-administrative-claims-and-iris-registry-data" TargetMode="External"/><Relationship Id="rId69" Type="http://schemas.openxmlformats.org/officeDocument/2006/relationships/hyperlink" Target="https://pmc.ncbi.nlm.nih.gov/articles/PMC9560578/" TargetMode="External"/><Relationship Id="rId70" Type="http://schemas.openxmlformats.org/officeDocument/2006/relationships/hyperlink" Target="https://pmc.ncbi.nlm.nih.gov/articles/PMC119996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B4087F6-09E8-4547-BF53-446491A34146}">
  <we:reference id="wa200010453" version="1.0.0.1" store="en-US" storeType="OMEX"/>
  <we:alternateReferences>
    <we:reference id="wa200010453" version="1.0.0.1" store="WA200010453" storeType="OMEX"/>
  </we:alternateReferences>
  <we:properties>
    <we:property name="claude.fileId" value="&quot;89923693-bc1a-4411-bccd-ea7159a9b0f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165</TotalTime>
  <Pages>7</Pages>
  <Words>2886</Words>
  <Characters>16455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OpenAI Codex</dc:creator>
  <cp:lastModifiedBy>Justin Yu</cp:lastModifiedBy>
  <cp:revision>4</cp:revision>
  <dcterms:created xsi:type="dcterms:W3CDTF">2026-05-23T18:04:00Z</dcterms:created>
  <dcterms:modified xsi:type="dcterms:W3CDTF">2026-06-02T15:30:00Z</dcterms:modified>
  <dc:title>IRIS Registry DME Methods Comparison</dc:title>
  <dc:subject>Methods comparison of IRIS Registry DME studies</dc:subject>
</cp:coreProperties>
</file>