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1E8"/>
  <w:body>
    <w:p w14:paraId="10A0F180" w14:textId="77777777" w:rsidR="00A16061" w:rsidRDefault="00000000">
      <w:pPr>
        <w:spacing w:after="160"/>
      </w:pPr>
      <w:r>
        <w:rPr>
          <w:b/>
          <w:caps/>
          <w:color w:val="10120F"/>
          <w:sz w:val="16"/>
        </w:rPr>
        <w:t xml:space="preserve">IRIS </w:t>
      </w:r>
      <w:proofErr w:type="gramStart"/>
      <w:r>
        <w:rPr>
          <w:b/>
          <w:caps/>
          <w:color w:val="10120F"/>
          <w:sz w:val="16"/>
        </w:rPr>
        <w:t>REGISTRY  ·</w:t>
      </w:r>
      <w:proofErr w:type="gramEnd"/>
      <w:r>
        <w:rPr>
          <w:b/>
          <w:caps/>
          <w:color w:val="10120F"/>
          <w:sz w:val="16"/>
        </w:rPr>
        <w:t xml:space="preserve">  WET AGE-RELATED MACULAR DEGENERATION METHODS REVIEW</w:t>
      </w:r>
    </w:p>
    <w:p w14:paraId="095D6C95" w14:textId="77777777" w:rsidR="00A16061" w:rsidRDefault="00000000">
      <w:pPr>
        <w:spacing w:after="140" w:line="320" w:lineRule="auto"/>
      </w:pPr>
      <w:r>
        <w:rPr>
          <w:rFonts w:ascii="Space Grotesk" w:eastAsia="Space Grotesk" w:hAnsi="Space Grotesk"/>
          <w:b/>
          <w:color w:val="10120F"/>
          <w:sz w:val="44"/>
        </w:rPr>
        <w:t>Evaluating Patients with Wet Age-related Macular Degeneration Using the IRIS Registry</w:t>
      </w:r>
    </w:p>
    <w:p w14:paraId="601B42A1" w14:textId="77777777" w:rsidR="00A16061" w:rsidRDefault="00000000">
      <w:pPr>
        <w:spacing w:after="200" w:line="320" w:lineRule="auto"/>
      </w:pPr>
      <w:r>
        <w:rPr>
          <w:i/>
          <w:color w:val="5C6257"/>
          <w:sz w:val="22"/>
        </w:rPr>
        <w:t>Evidence inventory, detailed methods extraction, and recommended operational design pattern</w:t>
      </w:r>
    </w:p>
    <w:tbl>
      <w:tblPr>
        <w:tblW w:w="0" w:type="auto"/>
        <w:tblBorders>
          <w:top w:val="single" w:sz="4" w:space="0" w:color="1B1F17"/>
          <w:left w:val="single" w:sz="4" w:space="0" w:color="1B1F17"/>
          <w:bottom w:val="single" w:sz="4" w:space="0" w:color="1B1F17"/>
          <w:right w:val="single" w:sz="4" w:space="0" w:color="1B1F17"/>
          <w:insideH w:val="single" w:sz="2" w:space="0" w:color="1B1F17"/>
          <w:insideV w:val="single" w:sz="2" w:space="0" w:color="1B1F17"/>
        </w:tblBorders>
        <w:tblLook w:val="04A0" w:firstRow="1" w:lastRow="0" w:firstColumn="1" w:lastColumn="0" w:noHBand="0" w:noVBand="1"/>
      </w:tblPr>
      <w:tblGrid>
        <w:gridCol w:w="10070"/>
      </w:tblGrid>
      <w:tr w:rsidR="00A16061" w14:paraId="4A37AFFE" w14:textId="77777777">
        <w:tc>
          <w:tcPr>
            <w:tcW w:w="10080" w:type="dxa"/>
            <w:tcBorders>
              <w:top w:val="single" w:sz="4" w:space="0" w:color="10120F"/>
              <w:left w:val="single" w:sz="4" w:space="0" w:color="10120F"/>
              <w:bottom w:val="single" w:sz="4" w:space="0" w:color="10120F"/>
              <w:right w:val="single" w:sz="4" w:space="0" w:color="10120F"/>
            </w:tcBorders>
            <w:shd w:val="clear" w:color="auto" w:fill="10120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0D804AA" w14:textId="3D0806A4" w:rsidR="00A16061" w:rsidRDefault="00000000">
            <w:pPr>
              <w:spacing w:after="140"/>
            </w:pPr>
            <w:r>
              <w:rPr>
                <w:b/>
                <w:caps/>
                <w:color w:val="10120F"/>
                <w:spacing w:val="30"/>
                <w:sz w:val="19"/>
                <w:shd w:val="clear" w:color="auto" w:fill="D7FF5F"/>
              </w:rPr>
              <w:t>Evidence base</w:t>
            </w:r>
            <w:r>
              <w:rPr>
                <w:b/>
                <w:caps/>
                <w:color w:val="10120F"/>
                <w:spacing w:val="30"/>
                <w:sz w:val="19"/>
                <w:shd w:val="clear" w:color="auto" w:fill="D7FF5F"/>
              </w:rPr>
              <w:br/>
            </w:r>
            <w:r>
              <w:rPr>
                <w:color w:val="F6F1E8"/>
                <w:sz w:val="19"/>
              </w:rPr>
              <w:t>This report synthesizes AAO IRIS Registry-listed wet AMD/</w:t>
            </w:r>
            <w:proofErr w:type="spellStart"/>
            <w:r>
              <w:rPr>
                <w:color w:val="F6F1E8"/>
                <w:sz w:val="19"/>
              </w:rPr>
              <w:t>nAMD</w:t>
            </w:r>
            <w:proofErr w:type="spellEnd"/>
            <w:r>
              <w:rPr>
                <w:color w:val="F6F1E8"/>
                <w:sz w:val="19"/>
              </w:rPr>
              <w:t xml:space="preserve"> publications, PubMed/PMC records, publisher full-text pages, and public conference materials saved in the local IRIS Registry research folder. </w:t>
            </w:r>
            <w:hyperlink r:id="rId7">
              <w:r>
                <w:rPr>
                  <w:rStyle w:val="Hyperlink"/>
                  <w:color w:val="D7FF5F"/>
                  <w:sz w:val="19"/>
                  <w:szCs w:val="19"/>
                </w:rPr>
                <w:t>[AAO IRIS]</w:t>
              </w:r>
            </w:hyperlink>
          </w:p>
        </w:tc>
      </w:tr>
    </w:tbl>
    <w:p w14:paraId="556792FE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t>Executive Readout</w:t>
      </w:r>
    </w:p>
    <w:p w14:paraId="017EED73" w14:textId="77777777" w:rsidR="00A16061" w:rsidRDefault="00000000">
      <w:pPr>
        <w:spacing w:after="160" w:line="300" w:lineRule="auto"/>
      </w:pPr>
      <w:r>
        <w:rPr>
          <w:sz w:val="21"/>
        </w:rPr>
        <w:t>Across the reviewed literature, the dominant IRIS Registry design for wet AMD/</w:t>
      </w:r>
      <w:proofErr w:type="spellStart"/>
      <w:r>
        <w:rPr>
          <w:sz w:val="21"/>
        </w:rPr>
        <w:t>nAMD</w:t>
      </w:r>
      <w:proofErr w:type="spellEnd"/>
      <w:r>
        <w:rPr>
          <w:sz w:val="21"/>
        </w:rPr>
        <w:t xml:space="preserve"> is a retrospective eye-level or patient-eye-level cohort anchored to a laterality-specific diagnosis and an anti-VEGF injection, with visual acuity and injection-pattern outcomes assessed longitudinally. </w:t>
      </w:r>
      <w:hyperlink r:id="rId8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9">
        <w:r>
          <w:rPr>
            <w:rStyle w:val="Hyperlink"/>
            <w:color w:val="025E8D"/>
            <w:sz w:val="21"/>
            <w:szCs w:val="21"/>
          </w:rPr>
          <w:t>[Gallivan 2023]</w:t>
        </w:r>
      </w:hyperlink>
      <w:r>
        <w:rPr>
          <w:sz w:val="21"/>
        </w:rPr>
        <w:t xml:space="preserve"> </w:t>
      </w:r>
      <w:hyperlink r:id="rId10">
        <w:r>
          <w:rPr>
            <w:rStyle w:val="Hyperlink"/>
            <w:color w:val="025E8D"/>
            <w:sz w:val="21"/>
            <w:szCs w:val="21"/>
          </w:rPr>
          <w:t>[Fevrier 2024]</w:t>
        </w:r>
      </w:hyperlink>
    </w:p>
    <w:p w14:paraId="7D67F9B7" w14:textId="77777777" w:rsidR="00A16061" w:rsidRDefault="00000000">
      <w:pPr>
        <w:spacing w:after="160" w:line="300" w:lineRule="auto"/>
      </w:pPr>
      <w:r>
        <w:rPr>
          <w:sz w:val="21"/>
        </w:rPr>
        <w:t xml:space="preserve">The most reusable operational framework </w:t>
      </w:r>
      <w:proofErr w:type="gramStart"/>
      <w:r>
        <w:rPr>
          <w:sz w:val="21"/>
        </w:rPr>
        <w:t>is:</w:t>
      </w:r>
      <w:proofErr w:type="gramEnd"/>
      <w:r>
        <w:rPr>
          <w:sz w:val="21"/>
        </w:rPr>
        <w:t xml:space="preserve"> define </w:t>
      </w:r>
      <w:proofErr w:type="spellStart"/>
      <w:r>
        <w:rPr>
          <w:sz w:val="21"/>
        </w:rPr>
        <w:t>nAMD</w:t>
      </w:r>
      <w:proofErr w:type="spellEnd"/>
      <w:r>
        <w:rPr>
          <w:sz w:val="21"/>
        </w:rPr>
        <w:t xml:space="preserve"> using ICD diagnosis codes, require same-eye anti-VEGF evidence, set index date as first qualifying injection or first drug-specific injection, require pre-index data contribution, specify VA windows, and predefine treatment gaps, discontinuation, switching, and loss-to-follow-up. </w:t>
      </w:r>
      <w:hyperlink r:id="rId11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12">
        <w:r>
          <w:rPr>
            <w:rStyle w:val="Hyperlink"/>
            <w:color w:val="025E8D"/>
            <w:sz w:val="21"/>
            <w:szCs w:val="21"/>
          </w:rPr>
          <w:t>[Gallivan 2023]</w:t>
        </w:r>
      </w:hyperlink>
      <w:r>
        <w:rPr>
          <w:sz w:val="21"/>
        </w:rPr>
        <w:t xml:space="preserve"> </w:t>
      </w:r>
      <w:hyperlink r:id="rId13">
        <w:r>
          <w:rPr>
            <w:rStyle w:val="Hyperlink"/>
            <w:color w:val="025E8D"/>
            <w:sz w:val="21"/>
            <w:szCs w:val="21"/>
          </w:rPr>
          <w:t>[Khanani 2022]</w:t>
        </w:r>
      </w:hyperlink>
      <w:r>
        <w:rPr>
          <w:sz w:val="21"/>
        </w:rPr>
        <w:t xml:space="preserve"> </w:t>
      </w:r>
      <w:hyperlink r:id="rId14">
        <w:r>
          <w:rPr>
            <w:rStyle w:val="Hyperlink"/>
            <w:color w:val="025E8D"/>
            <w:sz w:val="21"/>
            <w:szCs w:val="21"/>
          </w:rPr>
          <w:t>[</w:t>
        </w:r>
        <w:proofErr w:type="spellStart"/>
        <w:r>
          <w:rPr>
            <w:rStyle w:val="Hyperlink"/>
            <w:color w:val="025E8D"/>
            <w:sz w:val="21"/>
            <w:szCs w:val="21"/>
          </w:rPr>
          <w:t>MacCumber</w:t>
        </w:r>
        <w:proofErr w:type="spellEnd"/>
        <w:r>
          <w:rPr>
            <w:rStyle w:val="Hyperlink"/>
            <w:color w:val="025E8D"/>
            <w:sz w:val="21"/>
            <w:szCs w:val="21"/>
          </w:rPr>
          <w:t xml:space="preserve"> interval]</w:t>
        </w:r>
      </w:hyperlink>
      <w:r>
        <w:rPr>
          <w:sz w:val="21"/>
        </w:rPr>
        <w:t xml:space="preserve"> </w:t>
      </w:r>
      <w:hyperlink r:id="rId15">
        <w:r>
          <w:rPr>
            <w:rStyle w:val="Hyperlink"/>
            <w:color w:val="025E8D"/>
            <w:sz w:val="21"/>
            <w:szCs w:val="21"/>
          </w:rPr>
          <w:t>[FARETINA ARVO]</w:t>
        </w:r>
      </w:hyperlink>
      <w:r>
        <w:rPr>
          <w:sz w:val="21"/>
        </w:rPr>
        <w:t xml:space="preserve"> </w:t>
      </w:r>
      <w:hyperlink r:id="rId16">
        <w:r>
          <w:rPr>
            <w:rStyle w:val="Hyperlink"/>
            <w:color w:val="025E8D"/>
            <w:sz w:val="21"/>
            <w:szCs w:val="21"/>
          </w:rPr>
          <w:t>[Khurana 2023]</w:t>
        </w:r>
      </w:hyperlink>
    </w:p>
    <w:p w14:paraId="18E3D061" w14:textId="77777777" w:rsidR="00A16061" w:rsidRDefault="00000000">
      <w:pPr>
        <w:spacing w:after="160" w:line="300" w:lineRule="auto"/>
      </w:pPr>
      <w:r>
        <w:rPr>
          <w:sz w:val="21"/>
        </w:rPr>
        <w:t xml:space="preserve">Previously studied outcomes </w:t>
      </w:r>
      <w:proofErr w:type="gramStart"/>
      <w:r>
        <w:rPr>
          <w:sz w:val="21"/>
        </w:rPr>
        <w:t>include</w:t>
      </w:r>
      <w:proofErr w:type="gramEnd"/>
      <w:r>
        <w:rPr>
          <w:sz w:val="21"/>
        </w:rPr>
        <w:t xml:space="preserve"> VA at diagnosis and follow-up, VA change by treatment exposure, injection frequency and intervals, switching, treatment discontinuation, LTFU/</w:t>
      </w:r>
      <w:proofErr w:type="spellStart"/>
      <w:r>
        <w:rPr>
          <w:sz w:val="21"/>
        </w:rPr>
        <w:t>nonpersistence</w:t>
      </w:r>
      <w:proofErr w:type="spellEnd"/>
      <w:r>
        <w:rPr>
          <w:sz w:val="21"/>
        </w:rPr>
        <w:t xml:space="preserve">, brolucizumab safety, </w:t>
      </w:r>
      <w:proofErr w:type="spellStart"/>
      <w:r>
        <w:rPr>
          <w:sz w:val="21"/>
        </w:rPr>
        <w:t>faricimab</w:t>
      </w:r>
      <w:proofErr w:type="spellEnd"/>
      <w:r>
        <w:rPr>
          <w:sz w:val="21"/>
        </w:rPr>
        <w:t xml:space="preserve"> outcomes, fellow-eye conversion, and trial emulation against VIEW and CATT. </w:t>
      </w:r>
      <w:hyperlink r:id="rId17">
        <w:r>
          <w:rPr>
            <w:rStyle w:val="Hyperlink"/>
            <w:color w:val="025E8D"/>
            <w:sz w:val="21"/>
            <w:szCs w:val="21"/>
          </w:rPr>
          <w:t>[AAO IRIS]</w:t>
        </w:r>
      </w:hyperlink>
      <w:r>
        <w:rPr>
          <w:sz w:val="21"/>
        </w:rPr>
        <w:t xml:space="preserve"> </w:t>
      </w:r>
      <w:hyperlink r:id="rId18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19">
        <w:r>
          <w:rPr>
            <w:rStyle w:val="Hyperlink"/>
            <w:color w:val="025E8D"/>
            <w:sz w:val="21"/>
            <w:szCs w:val="21"/>
          </w:rPr>
          <w:t>[</w:t>
        </w:r>
        <w:proofErr w:type="spellStart"/>
        <w:r>
          <w:rPr>
            <w:rStyle w:val="Hyperlink"/>
            <w:color w:val="025E8D"/>
            <w:sz w:val="21"/>
            <w:szCs w:val="21"/>
          </w:rPr>
          <w:t>MacCumber</w:t>
        </w:r>
        <w:proofErr w:type="spellEnd"/>
        <w:r>
          <w:rPr>
            <w:rStyle w:val="Hyperlink"/>
            <w:color w:val="025E8D"/>
            <w:sz w:val="21"/>
            <w:szCs w:val="21"/>
          </w:rPr>
          <w:t xml:space="preserve"> CJO]</w:t>
        </w:r>
      </w:hyperlink>
      <w:r>
        <w:rPr>
          <w:sz w:val="21"/>
        </w:rPr>
        <w:t xml:space="preserve"> </w:t>
      </w:r>
      <w:hyperlink r:id="rId20">
        <w:r>
          <w:rPr>
            <w:rStyle w:val="Hyperlink"/>
            <w:color w:val="025E8D"/>
            <w:sz w:val="21"/>
            <w:szCs w:val="21"/>
          </w:rPr>
          <w:t>[Khurana 2023]</w:t>
        </w:r>
      </w:hyperlink>
      <w:r>
        <w:rPr>
          <w:sz w:val="21"/>
        </w:rPr>
        <w:t xml:space="preserve"> </w:t>
      </w:r>
      <w:hyperlink r:id="rId21">
        <w:r>
          <w:rPr>
            <w:rStyle w:val="Hyperlink"/>
            <w:color w:val="025E8D"/>
            <w:sz w:val="21"/>
            <w:szCs w:val="21"/>
          </w:rPr>
          <w:t>[Khanani 2022]</w:t>
        </w:r>
      </w:hyperlink>
      <w:r>
        <w:rPr>
          <w:sz w:val="21"/>
        </w:rPr>
        <w:t xml:space="preserve"> </w:t>
      </w:r>
      <w:hyperlink r:id="rId22">
        <w:r>
          <w:rPr>
            <w:rStyle w:val="Hyperlink"/>
            <w:color w:val="025E8D"/>
            <w:sz w:val="21"/>
            <w:szCs w:val="21"/>
          </w:rPr>
          <w:t>[FARETINA ARVO]</w:t>
        </w:r>
      </w:hyperlink>
      <w:r>
        <w:rPr>
          <w:sz w:val="21"/>
        </w:rPr>
        <w:t xml:space="preserve"> </w:t>
      </w:r>
      <w:hyperlink r:id="rId23">
        <w:r>
          <w:rPr>
            <w:rStyle w:val="Hyperlink"/>
            <w:color w:val="025E8D"/>
            <w:sz w:val="21"/>
            <w:szCs w:val="21"/>
          </w:rPr>
          <w:t>[Gong 2024]</w:t>
        </w:r>
      </w:hyperlink>
      <w:r>
        <w:rPr>
          <w:sz w:val="21"/>
        </w:rPr>
        <w:t xml:space="preserve"> </w:t>
      </w:r>
      <w:hyperlink r:id="rId24">
        <w:r>
          <w:rPr>
            <w:rStyle w:val="Hyperlink"/>
            <w:color w:val="025E8D"/>
            <w:sz w:val="21"/>
            <w:szCs w:val="21"/>
          </w:rPr>
          <w:t>[Gallivan 2023]</w:t>
        </w:r>
      </w:hyperlink>
      <w:r>
        <w:rPr>
          <w:sz w:val="21"/>
        </w:rPr>
        <w:t xml:space="preserve"> </w:t>
      </w:r>
      <w:hyperlink r:id="rId25">
        <w:r>
          <w:rPr>
            <w:rStyle w:val="Hyperlink"/>
            <w:color w:val="025E8D"/>
            <w:sz w:val="21"/>
            <w:szCs w:val="21"/>
          </w:rPr>
          <w:t>[Fevrier 2024]</w:t>
        </w:r>
      </w:hyperlink>
    </w:p>
    <w:p w14:paraId="76BDD1A8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t>Evidence Access and Caveats</w:t>
      </w:r>
    </w:p>
    <w:p w14:paraId="6B21119D" w14:textId="50339DAE" w:rsidR="00A16061" w:rsidRDefault="00000000">
      <w:pPr>
        <w:spacing w:after="160" w:line="300" w:lineRule="auto"/>
      </w:pPr>
      <w:r>
        <w:rPr>
          <w:sz w:val="21"/>
        </w:rPr>
        <w:t xml:space="preserve">Open full text or public PDFs were available for several high-value methods sources, including Wykoff 2024, Gallivan 2023, Fevrier 2024, Khanani 2022, the ASRS conversion abstract PDF, the Verana ARVO </w:t>
      </w:r>
      <w:proofErr w:type="spellStart"/>
      <w:r>
        <w:rPr>
          <w:sz w:val="21"/>
        </w:rPr>
        <w:t>nAMD+GA</w:t>
      </w:r>
      <w:proofErr w:type="spellEnd"/>
      <w:r>
        <w:rPr>
          <w:sz w:val="21"/>
        </w:rPr>
        <w:t xml:space="preserve"> presentation, and Retina Society posters. </w:t>
      </w:r>
      <w:hyperlink r:id="rId26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27">
        <w:r>
          <w:rPr>
            <w:rStyle w:val="Hyperlink"/>
            <w:color w:val="025E8D"/>
            <w:sz w:val="21"/>
            <w:szCs w:val="21"/>
          </w:rPr>
          <w:t>[Gallivan 2023]</w:t>
        </w:r>
      </w:hyperlink>
      <w:r>
        <w:rPr>
          <w:sz w:val="21"/>
        </w:rPr>
        <w:t xml:space="preserve"> </w:t>
      </w:r>
      <w:hyperlink r:id="rId28">
        <w:r>
          <w:rPr>
            <w:rStyle w:val="Hyperlink"/>
            <w:color w:val="025E8D"/>
            <w:sz w:val="21"/>
            <w:szCs w:val="21"/>
          </w:rPr>
          <w:t>[Fevrier 2024]</w:t>
        </w:r>
      </w:hyperlink>
      <w:r>
        <w:rPr>
          <w:sz w:val="21"/>
        </w:rPr>
        <w:t xml:space="preserve"> </w:t>
      </w:r>
      <w:hyperlink r:id="rId29">
        <w:r>
          <w:rPr>
            <w:rStyle w:val="Hyperlink"/>
            <w:color w:val="025E8D"/>
            <w:sz w:val="21"/>
            <w:szCs w:val="21"/>
          </w:rPr>
          <w:t>[Khanani 2022]</w:t>
        </w:r>
      </w:hyperlink>
      <w:r>
        <w:rPr>
          <w:sz w:val="21"/>
        </w:rPr>
        <w:t xml:space="preserve"> </w:t>
      </w:r>
      <w:hyperlink r:id="rId30">
        <w:r>
          <w:rPr>
            <w:rStyle w:val="Hyperlink"/>
            <w:color w:val="025E8D"/>
            <w:sz w:val="21"/>
            <w:szCs w:val="21"/>
          </w:rPr>
          <w:t>[ASRS 2022]</w:t>
        </w:r>
      </w:hyperlink>
      <w:r>
        <w:rPr>
          <w:sz w:val="21"/>
        </w:rPr>
        <w:t xml:space="preserve"> </w:t>
      </w:r>
      <w:hyperlink r:id="rId31">
        <w:r>
          <w:rPr>
            <w:rStyle w:val="Hyperlink"/>
            <w:color w:val="025E8D"/>
            <w:sz w:val="21"/>
            <w:szCs w:val="21"/>
          </w:rPr>
          <w:t>[Leng 2024]</w:t>
        </w:r>
      </w:hyperlink>
      <w:r>
        <w:rPr>
          <w:sz w:val="21"/>
        </w:rPr>
        <w:t xml:space="preserve"> </w:t>
      </w:r>
      <w:hyperlink r:id="rId32">
        <w:r>
          <w:rPr>
            <w:rStyle w:val="Hyperlink"/>
            <w:color w:val="025E8D"/>
            <w:sz w:val="21"/>
            <w:szCs w:val="21"/>
          </w:rPr>
          <w:t>[Khurana LTFU]</w:t>
        </w:r>
      </w:hyperlink>
      <w:r w:rsidR="0058356B">
        <w:t xml:space="preserve"> </w:t>
      </w:r>
    </w:p>
    <w:p w14:paraId="6EADB057" w14:textId="77777777" w:rsidR="00A16061" w:rsidRDefault="00000000">
      <w:pPr>
        <w:spacing w:after="160" w:line="300" w:lineRule="auto"/>
      </w:pPr>
      <w:r>
        <w:rPr>
          <w:sz w:val="21"/>
        </w:rPr>
        <w:t xml:space="preserve">For some manuscript records, only abstracts or publisher metadata were publicly available in this environment, so those rows are marked accordingly and should be treated as </w:t>
      </w:r>
      <w:proofErr w:type="gramStart"/>
      <w:r>
        <w:rPr>
          <w:sz w:val="21"/>
        </w:rPr>
        <w:t>lower-resolution</w:t>
      </w:r>
      <w:proofErr w:type="gramEnd"/>
      <w:r>
        <w:rPr>
          <w:sz w:val="21"/>
        </w:rPr>
        <w:t xml:space="preserve"> for diagnostic/procedure code detail. </w:t>
      </w:r>
      <w:hyperlink r:id="rId33">
        <w:r>
          <w:rPr>
            <w:rStyle w:val="Hyperlink"/>
            <w:color w:val="025E8D"/>
            <w:sz w:val="21"/>
            <w:szCs w:val="21"/>
          </w:rPr>
          <w:t>[</w:t>
        </w:r>
        <w:proofErr w:type="spellStart"/>
        <w:r>
          <w:rPr>
            <w:rStyle w:val="Hyperlink"/>
            <w:color w:val="025E8D"/>
            <w:sz w:val="21"/>
            <w:szCs w:val="21"/>
          </w:rPr>
          <w:t>MacCumber</w:t>
        </w:r>
        <w:proofErr w:type="spellEnd"/>
        <w:r>
          <w:rPr>
            <w:rStyle w:val="Hyperlink"/>
            <w:color w:val="025E8D"/>
            <w:sz w:val="21"/>
            <w:szCs w:val="21"/>
          </w:rPr>
          <w:t xml:space="preserve"> CJO]</w:t>
        </w:r>
      </w:hyperlink>
      <w:r>
        <w:rPr>
          <w:sz w:val="21"/>
        </w:rPr>
        <w:t xml:space="preserve"> </w:t>
      </w:r>
      <w:hyperlink r:id="rId34">
        <w:r>
          <w:rPr>
            <w:rStyle w:val="Hyperlink"/>
            <w:color w:val="025E8D"/>
            <w:sz w:val="21"/>
            <w:szCs w:val="21"/>
          </w:rPr>
          <w:t>[Acharya 2025]</w:t>
        </w:r>
      </w:hyperlink>
    </w:p>
    <w:p w14:paraId="1852E0A2" w14:textId="77777777" w:rsidR="00A16061" w:rsidRDefault="00000000">
      <w:pPr>
        <w:spacing w:after="160" w:line="300" w:lineRule="auto"/>
      </w:pPr>
      <w:r>
        <w:rPr>
          <w:sz w:val="21"/>
        </w:rPr>
        <w:t xml:space="preserve">Long code lists are not reproduced in full when they reside in article supplements or appendices; instead, this report cites the article table/supplement URL and identifies the local extraction where the pointer was found. </w:t>
      </w:r>
      <w:hyperlink r:id="rId35">
        <w:r>
          <w:rPr>
            <w:rStyle w:val="Hyperlink"/>
            <w:color w:val="025E8D"/>
            <w:sz w:val="21"/>
            <w:szCs w:val="21"/>
          </w:rPr>
          <w:t>[Gallivan Table A]</w:t>
        </w:r>
      </w:hyperlink>
      <w:r>
        <w:rPr>
          <w:sz w:val="21"/>
        </w:rPr>
        <w:t xml:space="preserve"> </w:t>
      </w:r>
      <w:hyperlink r:id="rId36">
        <w:r>
          <w:rPr>
            <w:rStyle w:val="Hyperlink"/>
            <w:color w:val="025E8D"/>
            <w:sz w:val="21"/>
            <w:szCs w:val="21"/>
          </w:rPr>
          <w:t>[Khanani supplement]</w:t>
        </w:r>
      </w:hyperlink>
      <w:r>
        <w:rPr>
          <w:sz w:val="21"/>
        </w:rPr>
        <w:t xml:space="preserve"> </w:t>
      </w:r>
      <w:hyperlink r:id="rId37">
        <w:r>
          <w:rPr>
            <w:rStyle w:val="Hyperlink"/>
            <w:color w:val="025E8D"/>
            <w:sz w:val="21"/>
            <w:szCs w:val="21"/>
          </w:rPr>
          <w:t>[Wykoff supplement]</w:t>
        </w:r>
      </w:hyperlink>
    </w:p>
    <w:p w14:paraId="3E807766" w14:textId="77777777" w:rsidR="00A16061" w:rsidRDefault="00A16061">
      <w:pPr>
        <w:sectPr w:rsidR="00A16061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1716802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lastRenderedPageBreak/>
        <w:t>Publication Inventory</w:t>
      </w:r>
    </w:p>
    <w:tbl>
      <w:tblPr>
        <w:tblW w:w="14256" w:type="dxa"/>
        <w:tblBorders>
          <w:top w:val="single" w:sz="4" w:space="0" w:color="1B1F17"/>
          <w:left w:val="single" w:sz="4" w:space="0" w:color="1B1F17"/>
          <w:bottom w:val="single" w:sz="4" w:space="0" w:color="1B1F17"/>
          <w:right w:val="single" w:sz="4" w:space="0" w:color="1B1F17"/>
          <w:insideH w:val="single" w:sz="2" w:space="0" w:color="1B1F17"/>
          <w:insideV w:val="single" w:sz="2" w:space="0" w:color="1B1F17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224"/>
        <w:gridCol w:w="4104"/>
        <w:gridCol w:w="1800"/>
        <w:gridCol w:w="4392"/>
        <w:gridCol w:w="1800"/>
      </w:tblGrid>
      <w:tr w:rsidR="00A16061" w14:paraId="08FD9CC2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FFA67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Year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62DEA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Scope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BC4473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Item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AAC77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Format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75660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Qualification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99888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Source</w:t>
            </w:r>
          </w:p>
        </w:tc>
      </w:tr>
      <w:tr w:rsidR="00A16061" w14:paraId="6ECC0A20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381F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2022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E93A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Adjacent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2AE0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Association of Environmental Factors with Age-Related Macular Degeneration using the Intelligent Research in Sight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C20C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18BD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Registry analysis modeling exudative and active exudative AMD versus nonexudative/no AMD.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F91E0" w14:textId="77777777" w:rsidR="00A16061" w:rsidRDefault="00000000">
            <w:pPr>
              <w:spacing w:line="264" w:lineRule="auto"/>
            </w:pPr>
            <w:hyperlink r:id="rId44">
              <w:r>
                <w:rPr>
                  <w:rStyle w:val="Hyperlink"/>
                  <w:color w:val="025E8D"/>
                  <w:sz w:val="19"/>
                  <w:szCs w:val="19"/>
                </w:rPr>
                <w:t>PMC</w:t>
              </w:r>
            </w:hyperlink>
          </w:p>
        </w:tc>
      </w:tr>
      <w:tr w:rsidR="00A16061" w14:paraId="47F0AB30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D5FF8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2022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4767C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Adjacent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4864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Conversion Rates from Nonexudative to Exudative Age-Related Macular Degeneration: An AAO IRIS Registry Analysis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0DF0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Poster PDF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841E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Conference/poster material evaluating conversion to exudative/wet AMD with AAO IRIS Registry data.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05A751" w14:textId="77777777" w:rsidR="00A16061" w:rsidRDefault="00000000">
            <w:pPr>
              <w:spacing w:line="264" w:lineRule="auto"/>
            </w:pPr>
            <w:hyperlink r:id="rId45">
              <w:r>
                <w:rPr>
                  <w:rStyle w:val="Hyperlink"/>
                  <w:color w:val="025E8D"/>
                  <w:sz w:val="19"/>
                  <w:szCs w:val="19"/>
                </w:rPr>
                <w:t>ASRS PDF</w:t>
              </w:r>
            </w:hyperlink>
          </w:p>
        </w:tc>
      </w:tr>
      <w:tr w:rsidR="00A16061" w14:paraId="79FE4EFB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42554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9000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Adjacent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1DCD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Progression of Geographic Atrophy: Retrospective Analysis of Patients from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1D99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5DD4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GA cohort explicitly stratified by fellow-eye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and evaluated new-onset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>/vision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87FCEA" w14:textId="77777777" w:rsidR="00A16061" w:rsidRDefault="00000000">
            <w:pPr>
              <w:spacing w:line="264" w:lineRule="auto"/>
            </w:pPr>
            <w:hyperlink r:id="rId46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24360EEE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8F94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2026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1049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Adjacent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929B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Cataract Surgery and the Risk of Conversion from Dry to Neovascular Age-related Macular Degeneration in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1E85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Preprint / AAO 2025 Presentation Topic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AEE1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Registry dry AMD cohort with conversion to neovascular AMD as the primary outcome.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C5001" w14:textId="77777777" w:rsidR="00A16061" w:rsidRDefault="00000000">
            <w:pPr>
              <w:spacing w:line="264" w:lineRule="auto"/>
            </w:pPr>
            <w:hyperlink r:id="rId47">
              <w:r>
                <w:rPr>
                  <w:rStyle w:val="Hyperlink"/>
                  <w:color w:val="025E8D"/>
                  <w:sz w:val="19"/>
                  <w:szCs w:val="19"/>
                </w:rPr>
                <w:t>Research Square</w:t>
              </w:r>
            </w:hyperlink>
          </w:p>
        </w:tc>
      </w:tr>
      <w:tr w:rsidR="00A16061" w14:paraId="76A16DCB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78EC3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2026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CA18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Adjacent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ED92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Visual Outcomes Following Infectious Endophthalmitis from Intravitreal Injections of Biologic Drugs: An Intelligent Research in Sight Registry Retrospective Analysis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E27F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DF939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Registry biologic-injection endophthalmitis study; includes neovascular/wet AMD subgroup among retinal indications.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E8497" w14:textId="77777777" w:rsidR="00A16061" w:rsidRDefault="00000000">
            <w:pPr>
              <w:spacing w:line="264" w:lineRule="auto"/>
            </w:pPr>
            <w:hyperlink r:id="rId48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4D679ABE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FDF5E4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2018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CEEA1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7726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Real-World Vision in Age-Related Macular Degeneration Patients Treated with Single Anti-VEGF Drug Type for 1 Year in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EC075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3A552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treated with bevacizumab, ranibizumab, or aflibercept monotherapy in IRIS Registry.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A2484" w14:textId="77777777" w:rsidR="00A16061" w:rsidRDefault="00000000">
            <w:pPr>
              <w:spacing w:line="264" w:lineRule="auto"/>
            </w:pPr>
            <w:hyperlink r:id="rId49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43F0E2D1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A84D1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2020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2D5B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E475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Baseline Visual Acuity at Wet AMD Diagnosis Predicts Long-Term Vision Outcomes: An Analysis of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4B23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5FCB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Registry wet AMD/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diagnosis cohort evaluating baseline VA and long-term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CC150" w14:textId="77777777" w:rsidR="00A16061" w:rsidRDefault="00000000">
            <w:pPr>
              <w:spacing w:line="264" w:lineRule="auto"/>
            </w:pPr>
            <w:hyperlink r:id="rId50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608275E3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A5414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2020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B8492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C08E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Loss to Follow-Up in Patients with Neovascular Age-related Macular Degeneration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D8F2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Poster PDF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9CF3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Retina Society poster using 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anti-VEGF cohort to define and quantify LTFU/</w:t>
            </w:r>
            <w:proofErr w:type="spellStart"/>
            <w:r>
              <w:rPr>
                <w:sz w:val="19"/>
              </w:rPr>
              <w:t>nonpersistence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E6697" w14:textId="77777777" w:rsidR="00A16061" w:rsidRDefault="00000000">
            <w:pPr>
              <w:spacing w:line="264" w:lineRule="auto"/>
            </w:pPr>
            <w:hyperlink r:id="rId51">
              <w:r>
                <w:rPr>
                  <w:rStyle w:val="Hyperlink"/>
                  <w:color w:val="025E8D"/>
                  <w:sz w:val="19"/>
                  <w:szCs w:val="19"/>
                </w:rPr>
                <w:t>Retina Society PDF</w:t>
              </w:r>
            </w:hyperlink>
          </w:p>
        </w:tc>
      </w:tr>
      <w:tr w:rsidR="00A16061" w14:paraId="4F75C64F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166CD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2020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1781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8542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Profiles of Patients Who Initiated Brolucizumab for Neovascular (Wet) Age-related Macular Degeneration in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25C6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Poster PDF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FA04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Retina Society poster using IRIS Registry wet AMD brolucizumab initiation cohort.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C49ADC" w14:textId="77777777" w:rsidR="00A16061" w:rsidRDefault="00000000">
            <w:pPr>
              <w:spacing w:line="264" w:lineRule="auto"/>
            </w:pPr>
            <w:hyperlink r:id="rId52">
              <w:r>
                <w:rPr>
                  <w:rStyle w:val="Hyperlink"/>
                  <w:color w:val="025E8D"/>
                  <w:sz w:val="19"/>
                  <w:szCs w:val="19"/>
                </w:rPr>
                <w:t>Retina Society PDF</w:t>
              </w:r>
            </w:hyperlink>
          </w:p>
        </w:tc>
      </w:tr>
      <w:tr w:rsidR="00A16061" w14:paraId="51383828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459D1D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lastRenderedPageBreak/>
              <w:t>2021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9484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60D6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Long-term Experience </w:t>
            </w:r>
            <w:proofErr w:type="gramStart"/>
            <w:r>
              <w:rPr>
                <w:sz w:val="19"/>
              </w:rPr>
              <w:t>With</w:t>
            </w:r>
            <w:proofErr w:type="gramEnd"/>
            <w:r>
              <w:rPr>
                <w:sz w:val="19"/>
              </w:rPr>
              <w:t xml:space="preserve"> Intravitreal Anti-VEGF in Patients With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>: Analysis of Intelligent Research in Sight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C105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Presentation PDF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AB13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ASRS presentation antecedent to long-term anti-VEGF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IRIS outcomes work.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E6BBF" w14:textId="77777777" w:rsidR="00A16061" w:rsidRDefault="00000000">
            <w:pPr>
              <w:spacing w:line="264" w:lineRule="auto"/>
            </w:pPr>
            <w:hyperlink r:id="rId53">
              <w:r>
                <w:rPr>
                  <w:rStyle w:val="Hyperlink"/>
                  <w:color w:val="025E8D"/>
                  <w:sz w:val="19"/>
                  <w:szCs w:val="19"/>
                </w:rPr>
                <w:t>ASRS 2021 PDF</w:t>
              </w:r>
            </w:hyperlink>
          </w:p>
        </w:tc>
      </w:tr>
      <w:tr w:rsidR="00A16061" w14:paraId="56350C72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F321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2022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19B3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C2E0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Safety Outcomes of Brolucizumab in Neovascular Age-Related Macular Degeneration: Results </w:t>
            </w:r>
            <w:proofErr w:type="gramStart"/>
            <w:r>
              <w:rPr>
                <w:sz w:val="19"/>
              </w:rPr>
              <w:t>From</w:t>
            </w:r>
            <w:proofErr w:type="gramEnd"/>
            <w:r>
              <w:rPr>
                <w:sz w:val="19"/>
              </w:rPr>
              <w:t xml:space="preserve"> the IRIS Registry and Komodo Healthcare Map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E79F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AC8A3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brolucizumab safety analysis using IRIS Registry, with Komodo comparator database.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FD402" w14:textId="77777777" w:rsidR="00A16061" w:rsidRDefault="00000000">
            <w:pPr>
              <w:spacing w:line="264" w:lineRule="auto"/>
            </w:pPr>
            <w:hyperlink r:id="rId54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7751DF36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B4256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CBDA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566EC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Antivascular</w:t>
            </w:r>
            <w:proofErr w:type="spellEnd"/>
            <w:r>
              <w:rPr>
                <w:sz w:val="19"/>
              </w:rPr>
              <w:t xml:space="preserve"> endothelial growth factor agents for wet age-related macular degeneration: an IRIS registry analysis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A33B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FC8D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Wet AMD patients receiving anti-VEGF injections in IRIS Registry; treatment patterns and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594251" w14:textId="77777777" w:rsidR="00A16061" w:rsidRDefault="00000000">
            <w:pPr>
              <w:spacing w:line="264" w:lineRule="auto"/>
            </w:pPr>
            <w:hyperlink r:id="rId55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1EB5E094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ED06E4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E1E7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27EB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Emulating VIEW 1 and VIEW 2 Clinical Trial Outcome Data Using the American Academy of Ophthalmology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3E5A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1E3A3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cohort used to emulate VIEW wet AMD trial eligibility, treatment regimens, and endpoints.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B53AD" w14:textId="77777777" w:rsidR="00A16061" w:rsidRDefault="00000000">
            <w:pPr>
              <w:spacing w:line="264" w:lineRule="auto"/>
            </w:pPr>
            <w:hyperlink r:id="rId56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3B81A72C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5413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4B93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518C8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Factors Linked to Injection Interval Extension in Eyes with Wet Age-Related Macular Degeneration Switched to Brolucizumab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9F1C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E845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Registry wet AMD eyes switched to brolucizumab; interval-extension outcome.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F6E37B" w14:textId="77777777" w:rsidR="00A16061" w:rsidRDefault="00000000">
            <w:pPr>
              <w:spacing w:line="264" w:lineRule="auto"/>
            </w:pPr>
            <w:hyperlink r:id="rId57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33C8B564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71361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F6C9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6D75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Loss to Follow-up in Patients with Neovascular Age-Related Macular Degeneration Treated with Anti-VEGF Therapy in the United States in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F2A2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1BB7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Treatment-naive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treated with anti-VEGF in IRIS Registry; LTFU and </w:t>
            </w:r>
            <w:proofErr w:type="spellStart"/>
            <w:r>
              <w:rPr>
                <w:sz w:val="19"/>
              </w:rPr>
              <w:t>nonpersistence</w:t>
            </w:r>
            <w:proofErr w:type="spellEnd"/>
            <w:r>
              <w:rPr>
                <w:sz w:val="19"/>
              </w:rPr>
              <w:t xml:space="preserve">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1AA21" w14:textId="77777777" w:rsidR="00A16061" w:rsidRDefault="00000000">
            <w:pPr>
              <w:spacing w:line="264" w:lineRule="auto"/>
            </w:pPr>
            <w:hyperlink r:id="rId58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29DDF38E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38B7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2023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AB27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D75B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One-Year Brolucizumab Outcomes in Neovascular Age-Related Macular Degeneration from a Large United States Cohort in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8E7E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 / Poster Antecedent Noted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4A81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brolucizumab-treated cohort; one-year effectiveness and treatment-pattern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2204C" w14:textId="77777777" w:rsidR="00A16061" w:rsidRDefault="00000000">
            <w:pPr>
              <w:spacing w:line="264" w:lineRule="auto"/>
            </w:pPr>
            <w:hyperlink r:id="rId59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640A1927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5504C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2024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658E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DD2A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Comparison of Methods of Clinical Trial Emulation Utilizing Data </w:t>
            </w:r>
            <w:proofErr w:type="gramStart"/>
            <w:r>
              <w:rPr>
                <w:sz w:val="19"/>
              </w:rPr>
              <w:t>From</w:t>
            </w:r>
            <w:proofErr w:type="gramEnd"/>
            <w:r>
              <w:rPr>
                <w:sz w:val="19"/>
              </w:rPr>
              <w:t xml:space="preserve"> the Comparison of AMD Treatment Trial (CATT) and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78C7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6385D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treatment-naive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eyes used to emulate CATT PRN arms and compare VA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3860B" w14:textId="77777777" w:rsidR="00A16061" w:rsidRDefault="00000000">
            <w:pPr>
              <w:spacing w:line="264" w:lineRule="auto"/>
            </w:pPr>
            <w:hyperlink r:id="rId60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7DA8426C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3E01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2024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95E1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AD8E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Fellow Eyes Conversion Rates in Patients </w:t>
            </w:r>
            <w:proofErr w:type="gramStart"/>
            <w:r>
              <w:rPr>
                <w:sz w:val="19"/>
              </w:rPr>
              <w:t>With</w:t>
            </w:r>
            <w:proofErr w:type="gramEnd"/>
            <w:r>
              <w:rPr>
                <w:sz w:val="19"/>
              </w:rPr>
              <w:t xml:space="preserve"> Unilateral Exudative Age-Related Macular Degeneration: An Academy IRIS Registry Analysis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F826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BD3D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Unilateral exudative AMD cohort in IRIS Registry; fellow-eye conversion outcome.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A87CA" w14:textId="77777777" w:rsidR="00A16061" w:rsidRDefault="00000000">
            <w:pPr>
              <w:spacing w:line="264" w:lineRule="auto"/>
            </w:pPr>
            <w:hyperlink r:id="rId61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4870AC26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9149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2024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8636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9A81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Analysis of Anti-VEGF Treatment in Patients </w:t>
            </w:r>
            <w:proofErr w:type="gramStart"/>
            <w:r>
              <w:rPr>
                <w:sz w:val="19"/>
              </w:rPr>
              <w:t>With</w:t>
            </w:r>
            <w:proofErr w:type="gramEnd"/>
            <w:r>
              <w:rPr>
                <w:sz w:val="19"/>
              </w:rPr>
              <w:t xml:space="preserve"> Coexisting Neovascular Age-Related Macular Degeneration and Geographic Atrophy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1DC4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Presentation PDF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1DA2C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ARVO 2024 presentation using 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+ GA anti-VEGF treatment data.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F9C112" w14:textId="77777777" w:rsidR="00A16061" w:rsidRDefault="00000000">
            <w:pPr>
              <w:spacing w:line="264" w:lineRule="auto"/>
            </w:pPr>
            <w:hyperlink r:id="rId62">
              <w:r>
                <w:rPr>
                  <w:rStyle w:val="Hyperlink"/>
                  <w:color w:val="025E8D"/>
                  <w:sz w:val="19"/>
                  <w:szCs w:val="19"/>
                </w:rPr>
                <w:t>Verana</w:t>
              </w:r>
            </w:hyperlink>
          </w:p>
        </w:tc>
      </w:tr>
      <w:tr w:rsidR="00A16061" w14:paraId="22371686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91B21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lastRenderedPageBreak/>
              <w:t>2024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274F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EE9F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Impact of Anti-VEGF Treatment and Patient Characteristics on Vision Outcomes in Neovascular Age-related Macular Degeneration: Up to 6-Year Analysis of the AAO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3BE8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1AB5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Large 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anti-VEGF cohort; treatment patterns and VA outcomes up to 6 years.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7286F" w14:textId="77777777" w:rsidR="00A16061" w:rsidRDefault="00000000">
            <w:pPr>
              <w:spacing w:line="264" w:lineRule="auto"/>
            </w:pPr>
            <w:hyperlink r:id="rId63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47BCF903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7D13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2024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32B1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27E21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Real-World Safety Outcomes with Brolucizumab in Neovascular Age-Related Macular Degeneration: Findings from the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19B86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C3AFF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brolucizumab safety cohort followed up to two years.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27631" w14:textId="77777777" w:rsidR="00A16061" w:rsidRDefault="00000000">
            <w:pPr>
              <w:spacing w:line="264" w:lineRule="auto"/>
            </w:pPr>
            <w:hyperlink r:id="rId64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1DC81329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9BF4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2025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CFDA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C0C9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Disparities in Presentation and Anti-VEGF Therapy Initiation for Neovascular Age-Related Macular Degeneration: An Analysis of the Academy IRIS Registry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BAFE2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4F21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Newly diagnosed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in Academy IRIS Registry; presentation VA and anti-VEGF initiation disparities.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8209D" w14:textId="77777777" w:rsidR="00A16061" w:rsidRDefault="00000000">
            <w:pPr>
              <w:spacing w:line="264" w:lineRule="auto"/>
            </w:pPr>
            <w:hyperlink r:id="rId65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0F354C44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93C37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2025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F8A1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0B17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Early Outcomes After Initiation of </w:t>
            </w: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 xml:space="preserve"> for Neovascular Age-Related Macular Degeneration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46B9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Manuscript / Evolved </w:t>
            </w:r>
            <w:proofErr w:type="gramStart"/>
            <w:r>
              <w:rPr>
                <w:sz w:val="19"/>
              </w:rPr>
              <w:t>From</w:t>
            </w:r>
            <w:proofErr w:type="gramEnd"/>
            <w:r>
              <w:rPr>
                <w:sz w:val="19"/>
              </w:rPr>
              <w:t xml:space="preserve"> ARVO FARETINA Poster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1208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FARETINA/IRIS Registry </w:t>
            </w: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outcomes; identified as a current publication successor to ARVO abstract.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A6017" w14:textId="77777777" w:rsidR="00A16061" w:rsidRDefault="00000000">
            <w:pPr>
              <w:spacing w:line="264" w:lineRule="auto"/>
            </w:pPr>
            <w:hyperlink r:id="rId66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096BC07D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B947D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2026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C335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A3F5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Characteristics and Outcomes of Patients with Neovascular Age-Related Macular Degeneration by Anti-VEGF Exposure in United States Clinical Practice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D937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FE735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IRIS Registry newly diagnosed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eyes; anti-VEGF exposure and one-year visual outcomes.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B1B1B" w14:textId="77777777" w:rsidR="00A16061" w:rsidRDefault="00000000">
            <w:pPr>
              <w:spacing w:line="264" w:lineRule="auto"/>
            </w:pPr>
            <w:hyperlink r:id="rId67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  <w:tr w:rsidR="00A16061" w14:paraId="1446B308" w14:textId="77777777">
        <w:tc>
          <w:tcPr>
            <w:tcW w:w="9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4419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2026</w:t>
            </w:r>
          </w:p>
        </w:tc>
        <w:tc>
          <w:tcPr>
            <w:tcW w:w="122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62BC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Core</w:t>
            </w:r>
          </w:p>
        </w:tc>
        <w:tc>
          <w:tcPr>
            <w:tcW w:w="4104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B5CC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One-year Real-world Outcomes </w:t>
            </w:r>
            <w:proofErr w:type="gramStart"/>
            <w:r>
              <w:rPr>
                <w:sz w:val="19"/>
              </w:rPr>
              <w:t>With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 xml:space="preserve"> in Neovascular Age-related Macular Degeneration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2D0B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Manuscript / Conference-Update Lineage</w:t>
            </w:r>
          </w:p>
        </w:tc>
        <w:tc>
          <w:tcPr>
            <w:tcW w:w="4392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E3D4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Current one-year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 xml:space="preserve"> outcomes analysis drawing on real-world IRIS-derived data.</w:t>
            </w:r>
          </w:p>
        </w:tc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167C4" w14:textId="77777777" w:rsidR="00A16061" w:rsidRDefault="00000000">
            <w:pPr>
              <w:spacing w:line="264" w:lineRule="auto"/>
            </w:pPr>
            <w:hyperlink r:id="rId68">
              <w:r>
                <w:rPr>
                  <w:rStyle w:val="Hyperlink"/>
                  <w:color w:val="025E8D"/>
                  <w:sz w:val="19"/>
                  <w:szCs w:val="19"/>
                </w:rPr>
                <w:t>PubMed</w:t>
              </w:r>
            </w:hyperlink>
          </w:p>
        </w:tc>
      </w:tr>
    </w:tbl>
    <w:p w14:paraId="774EF1E0" w14:textId="468AC868" w:rsidR="00A16061" w:rsidRDefault="00000000">
      <w:pPr>
        <w:spacing w:before="80" w:after="160" w:line="276" w:lineRule="auto"/>
      </w:pPr>
      <w:r>
        <w:rPr>
          <w:i/>
          <w:color w:val="5C6257"/>
          <w:sz w:val="17"/>
        </w:rPr>
        <w:t>Scope definitions: Core = publications whose main cohort, exposure, or outcome evaluates patients with wet AMD/</w:t>
      </w:r>
      <w:proofErr w:type="spellStart"/>
      <w:r>
        <w:rPr>
          <w:i/>
          <w:color w:val="5C6257"/>
          <w:sz w:val="17"/>
        </w:rPr>
        <w:t>nAMD</w:t>
      </w:r>
      <w:proofErr w:type="spellEnd"/>
      <w:r>
        <w:rPr>
          <w:i/>
          <w:color w:val="5C6257"/>
          <w:sz w:val="17"/>
        </w:rPr>
        <w:t>/exudative AMD or anti-VEGF treatment for that condition. Adjacent = IRIS Registry AMD or retinal-injection studies that inform wet AMD evaluation but primarily address conversion risk, geographic atrophy/fellow-eye status, broader AMD categories, or related injection safety rather than a primary wet AMD treatment/outcomes cohort.</w:t>
      </w:r>
      <w:r w:rsidR="0058356B">
        <w:rPr>
          <w:i/>
          <w:color w:val="5C6257"/>
          <w:sz w:val="17"/>
        </w:rPr>
        <w:t xml:space="preserve"> </w:t>
      </w:r>
      <w:r>
        <w:rPr>
          <w:i/>
          <w:color w:val="5C6257"/>
          <w:sz w:val="17"/>
        </w:rPr>
        <w:t xml:space="preserve"> </w:t>
      </w:r>
      <w:hyperlink r:id="rId69">
        <w:r>
          <w:rPr>
            <w:rStyle w:val="Hyperlink"/>
            <w:color w:val="025E8D"/>
            <w:sz w:val="17"/>
            <w:szCs w:val="17"/>
          </w:rPr>
          <w:t>[AAO IRIS]</w:t>
        </w:r>
      </w:hyperlink>
    </w:p>
    <w:p w14:paraId="2AA21284" w14:textId="77777777" w:rsidR="00A16061" w:rsidRDefault="00A16061">
      <w:pPr>
        <w:sectPr w:rsidR="00A16061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 w14:paraId="26AD1A69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lastRenderedPageBreak/>
        <w:t>Operational Methods Matrix</w:t>
      </w:r>
    </w:p>
    <w:tbl>
      <w:tblPr>
        <w:tblW w:w="14256" w:type="dxa"/>
        <w:tblBorders>
          <w:top w:val="single" w:sz="4" w:space="0" w:color="1B1F17"/>
          <w:left w:val="single" w:sz="4" w:space="0" w:color="1B1F17"/>
          <w:bottom w:val="single" w:sz="4" w:space="0" w:color="1B1F17"/>
          <w:right w:val="single" w:sz="4" w:space="0" w:color="1B1F17"/>
          <w:insideH w:val="single" w:sz="2" w:space="0" w:color="1B1F17"/>
          <w:insideV w:val="single" w:sz="2" w:space="0" w:color="1B1F17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808"/>
        <w:gridCol w:w="3384"/>
        <w:gridCol w:w="2088"/>
        <w:gridCol w:w="2520"/>
        <w:gridCol w:w="1512"/>
      </w:tblGrid>
      <w:tr w:rsidR="00A16061" w14:paraId="5AAB801C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AFA6C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Study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5D7A1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Population / Index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DFF87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Outcome Definitions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08ED2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Analysis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23F1A6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Code / Appendix Pointer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A26B4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Source</w:t>
            </w:r>
          </w:p>
        </w:tc>
      </w:tr>
      <w:tr w:rsidR="00A16061" w14:paraId="3171333E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E9F46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Wykoff 2024 / Leng 2021 long-term anti-VEGF outcomes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10DF86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treated July 1, 2013-Jun 30, 2018; age ≥50; first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diagnosis within 180 days before/on first anti-VEGF injection; index = first documented anti-VEGF injection.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C002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VA annually +/-60 days; Snellen converted to ETDRS = 85 + 50 x </w:t>
            </w:r>
            <w:proofErr w:type="gramStart"/>
            <w:r>
              <w:rPr>
                <w:sz w:val="19"/>
              </w:rPr>
              <w:t>log(</w:t>
            </w:r>
            <w:proofErr w:type="gramEnd"/>
            <w:r>
              <w:rPr>
                <w:sz w:val="19"/>
              </w:rPr>
              <w:t>Snellen fraction); gap &gt;18 to ≤52 weeks; discontinuation &gt;52 weeks; switch = ≥3 consecutive injections of another agent; CVL ≥10-letter loss; SPV 20/200 or worse twice ≥3 months apart without later improvement beyond 20/100.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DE22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Descriptive treatment patterns; adjusted linear regression for year-1 VA change; Kaplan-Meier and Cox models for CVL/SPV.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59EF25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ICD-9/10 Table S1 is available in the Wykoff supplementary tables PDF.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85DBE" w14:textId="77777777" w:rsidR="00A16061" w:rsidRDefault="00000000">
            <w:pPr>
              <w:spacing w:line="264" w:lineRule="auto"/>
            </w:pPr>
            <w:hyperlink r:id="rId76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  <w:r>
              <w:rPr>
                <w:sz w:val="19"/>
              </w:rPr>
              <w:t xml:space="preserve">; </w:t>
            </w:r>
            <w:hyperlink r:id="rId77">
              <w:r>
                <w:rPr>
                  <w:rStyle w:val="Hyperlink"/>
                  <w:color w:val="025E8D"/>
                  <w:sz w:val="19"/>
                  <w:szCs w:val="19"/>
                </w:rPr>
                <w:t>Leng 2021 ASRS</w:t>
              </w:r>
            </w:hyperlink>
            <w:r>
              <w:rPr>
                <w:sz w:val="19"/>
              </w:rPr>
              <w:t xml:space="preserve">; </w:t>
            </w:r>
            <w:hyperlink r:id="rId78">
              <w:r>
                <w:rPr>
                  <w:rStyle w:val="Hyperlink"/>
                  <w:color w:val="025E8D"/>
                  <w:sz w:val="19"/>
                  <w:szCs w:val="19"/>
                </w:rPr>
                <w:t>Wykoff supplement</w:t>
              </w:r>
            </w:hyperlink>
          </w:p>
        </w:tc>
      </w:tr>
      <w:tr w:rsidR="00A16061" w14:paraId="198029B3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796A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Gallivan 2023 VIEW 1/2 emulation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C842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Aflibercept/ranibizumab injections Jan 1, 2013-Dec 31, 2018; index = first injection;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diagnosis in same eye within 6 months; baseline VA 20/40-20/320 within 30 days before index.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6981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Injection = CPT 67028 plus same-day HCPCS J0178/J2778/J3490/J3590; 1-year VA day 365 +/-14 days; maintained vision = &lt;15-letter or &lt;3-line loss.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4C47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Complete-case, multiple </w:t>
            </w:r>
            <w:proofErr w:type="gramStart"/>
            <w:r>
              <w:rPr>
                <w:sz w:val="19"/>
              </w:rPr>
              <w:t>imputation</w:t>
            </w:r>
            <w:proofErr w:type="gramEnd"/>
            <w:r>
              <w:rPr>
                <w:sz w:val="19"/>
              </w:rPr>
              <w:t>, and transportability-weighted imputation; VIEW-like treatment regimen assignment.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16EC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Table A includes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ICD-9 362.52 and ICD-10 H35.32/H35.3210-H35.3293 variants plus exclusion codes; local extracted text has full table excerpt.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3C3ED" w14:textId="77777777" w:rsidR="00A16061" w:rsidRDefault="00000000">
            <w:pPr>
              <w:spacing w:line="264" w:lineRule="auto"/>
            </w:pPr>
            <w:hyperlink r:id="rId79">
              <w:r>
                <w:rPr>
                  <w:rStyle w:val="Hyperlink"/>
                  <w:color w:val="025E8D"/>
                  <w:sz w:val="19"/>
                  <w:szCs w:val="19"/>
                </w:rPr>
                <w:t>Gallivan 2023</w:t>
              </w:r>
            </w:hyperlink>
          </w:p>
        </w:tc>
      </w:tr>
      <w:tr w:rsidR="00A16061" w14:paraId="5CE1AC84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C8042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Fevrier 2024 CATT emulation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141B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Treatment-naive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eyes with first anti-VEGF Oct 1, 2015-Dec 31, 2019; no structured anti-VEGF CPT/HCPCS evidence in prior year; index = first injection.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2C5D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PRN = retina-specialist encounter every 4-6 weeks for 1 year plus ≥1 </w:t>
            </w:r>
            <w:proofErr w:type="spellStart"/>
            <w:r>
              <w:rPr>
                <w:sz w:val="19"/>
              </w:rPr>
              <w:t>noninjection</w:t>
            </w:r>
            <w:proofErr w:type="spellEnd"/>
            <w:r>
              <w:rPr>
                <w:sz w:val="19"/>
              </w:rPr>
              <w:t xml:space="preserve"> retina encounter; only bevacizumab or ranibizumab for 1 year; VA converted from Snellen using 85 + 50 x </w:t>
            </w:r>
            <w:proofErr w:type="gramStart"/>
            <w:r>
              <w:rPr>
                <w:sz w:val="19"/>
              </w:rPr>
              <w:t>log(</w:t>
            </w:r>
            <w:proofErr w:type="gramEnd"/>
            <w:r>
              <w:rPr>
                <w:sz w:val="19"/>
              </w:rPr>
              <w:t>Snellen fraction).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DE549" w14:textId="77777777" w:rsidR="00A16061" w:rsidRDefault="00000000">
            <w:pPr>
              <w:spacing w:line="264" w:lineRule="auto"/>
            </w:pPr>
            <w:proofErr w:type="gramStart"/>
            <w:r>
              <w:rPr>
                <w:sz w:val="19"/>
              </w:rPr>
              <w:t>Exact</w:t>
            </w:r>
            <w:proofErr w:type="gramEnd"/>
            <w:r>
              <w:rPr>
                <w:sz w:val="19"/>
              </w:rPr>
              <w:t xml:space="preserve"> matching 1:1 to CATT on age, gender, baseline VA; age within 5 years except ≥90; VA within 5 letters; IPSW also applied.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2034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Article states ICD-10/CPT/HCPCS coding but does not print exact code list in extracted text.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57C62" w14:textId="77777777" w:rsidR="00A16061" w:rsidRDefault="00000000">
            <w:pPr>
              <w:spacing w:line="264" w:lineRule="auto"/>
            </w:pPr>
            <w:hyperlink r:id="rId80">
              <w:r>
                <w:rPr>
                  <w:rStyle w:val="Hyperlink"/>
                  <w:color w:val="025E8D"/>
                  <w:sz w:val="19"/>
                  <w:szCs w:val="19"/>
                </w:rPr>
                <w:t>Fevrier 2024</w:t>
              </w:r>
            </w:hyperlink>
          </w:p>
        </w:tc>
      </w:tr>
      <w:tr w:rsidR="00A16061" w14:paraId="31001B26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439F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Khurana 2020/2023 LTFU and </w:t>
            </w:r>
            <w:proofErr w:type="spellStart"/>
            <w:r>
              <w:rPr>
                <w:b/>
                <w:sz w:val="19"/>
              </w:rPr>
              <w:t>nonpersistence</w:t>
            </w:r>
            <w:proofErr w:type="spellEnd"/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095C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Treatment-</w:t>
            </w:r>
            <w:proofErr w:type="gramStart"/>
            <w:r>
              <w:rPr>
                <w:sz w:val="19"/>
              </w:rPr>
              <w:t>naive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treated with anti-VEGF from 2013-2015 and followed through 2019 in manuscript; poster cohort diagnosed 2013-2015 and treated through 2018.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F572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Manuscript LTFU = no follow-up within 12 months from last intravitreal injection; </w:t>
            </w:r>
            <w:proofErr w:type="spellStart"/>
            <w:r>
              <w:rPr>
                <w:sz w:val="19"/>
              </w:rPr>
              <w:t>nonpersistence</w:t>
            </w:r>
            <w:proofErr w:type="spellEnd"/>
            <w:r>
              <w:rPr>
                <w:sz w:val="19"/>
              </w:rPr>
              <w:t xml:space="preserve"> = no follow-up within 6 months. Poster excluded PDR, DME, RVO, myopic degeneration, idiopathic CNV.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F34C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Multivariable logistic regression; covariates included demographics, eye involvement, baseline vision, region, insurance, and provider ZIP-code income in poster.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9A12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No formal public code table found in accessible poster/abstract.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8E2C3" w14:textId="77777777" w:rsidR="00A16061" w:rsidRDefault="00000000">
            <w:pPr>
              <w:spacing w:line="264" w:lineRule="auto"/>
            </w:pPr>
            <w:hyperlink r:id="rId81">
              <w:r>
                <w:rPr>
                  <w:rStyle w:val="Hyperlink"/>
                  <w:color w:val="025E8D"/>
                  <w:sz w:val="19"/>
                  <w:szCs w:val="19"/>
                </w:rPr>
                <w:t>Khurana LTFU</w:t>
              </w:r>
            </w:hyperlink>
            <w:r>
              <w:rPr>
                <w:sz w:val="19"/>
              </w:rPr>
              <w:t xml:space="preserve">; </w:t>
            </w:r>
            <w:hyperlink r:id="rId82">
              <w:r>
                <w:rPr>
                  <w:rStyle w:val="Hyperlink"/>
                  <w:color w:val="025E8D"/>
                  <w:sz w:val="19"/>
                  <w:szCs w:val="19"/>
                </w:rPr>
                <w:t>Khurana 2023</w:t>
              </w:r>
            </w:hyperlink>
          </w:p>
        </w:tc>
      </w:tr>
      <w:tr w:rsidR="00A16061" w14:paraId="0C0A510C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E3F25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lastRenderedPageBreak/>
              <w:t>Khanani 2022 brolucizumab safety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94D1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Adult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initiating brolucizumab; IRIS index period Oct 8, 2019-Jun 5, 2020; index = earliest brolucizumab injection by procedure code or EHR note.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BEBBA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36-month pre-index and ≤180-day post-index; IOI and/or RO and RV and/or RO identified by ICD-10-CM; infectious IOI/endophthalmitis excluded; incident logic considered pre-index event history and post-event VA drop ≥3 lines.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0CE4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Patient-eye outcomes; GEE multivariable models for inter-eye correlation; age/sex plus clinically relevant/significant variables.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65BE0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eTable</w:t>
            </w:r>
            <w:proofErr w:type="spellEnd"/>
            <w:r>
              <w:rPr>
                <w:sz w:val="19"/>
              </w:rPr>
              <w:t xml:space="preserve"> 1 inclusion/exclusion; </w:t>
            </w:r>
            <w:proofErr w:type="spellStart"/>
            <w:r>
              <w:rPr>
                <w:sz w:val="19"/>
              </w:rPr>
              <w:t>eTable</w:t>
            </w:r>
            <w:proofErr w:type="spellEnd"/>
            <w:r>
              <w:rPr>
                <w:sz w:val="19"/>
              </w:rPr>
              <w:t xml:space="preserve"> 2 adverse-event definitions; supplement URL cited.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F714B" w14:textId="77777777" w:rsidR="00A16061" w:rsidRDefault="00000000">
            <w:pPr>
              <w:spacing w:line="264" w:lineRule="auto"/>
            </w:pPr>
            <w:hyperlink r:id="rId83">
              <w:r>
                <w:rPr>
                  <w:rStyle w:val="Hyperlink"/>
                  <w:color w:val="025E8D"/>
                  <w:sz w:val="19"/>
                  <w:szCs w:val="19"/>
                </w:rPr>
                <w:t>Khanani 2022</w:t>
              </w:r>
            </w:hyperlink>
            <w:r>
              <w:rPr>
                <w:sz w:val="19"/>
              </w:rPr>
              <w:t xml:space="preserve">; </w:t>
            </w:r>
            <w:hyperlink r:id="rId84">
              <w:r>
                <w:rPr>
                  <w:rStyle w:val="Hyperlink"/>
                  <w:color w:val="025E8D"/>
                  <w:sz w:val="19"/>
                  <w:szCs w:val="19"/>
                </w:rPr>
                <w:t>Khanani supplement</w:t>
              </w:r>
            </w:hyperlink>
          </w:p>
        </w:tc>
      </w:tr>
      <w:tr w:rsidR="00A16061" w14:paraId="53848F5E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3E426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Zarbin 2024 brolucizumab safety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42E6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18,312 eyes / 15,998 patients with ≥1 brolucizumab injection Oct 8, 2019-Oct 7, 2021; index = first brolucizumab injection.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5839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AE count/percent, time to AE from index, number of prior brolucizumab injections before AE, VA at/immediately after AE and 6 months after AE.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5CB4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Patient-eye outcomes; relative risk over time; Cox models adjusted for clustering when both eyes </w:t>
            </w:r>
            <w:proofErr w:type="gramStart"/>
            <w:r>
              <w:rPr>
                <w:sz w:val="19"/>
              </w:rPr>
              <w:t>from</w:t>
            </w:r>
            <w:proofErr w:type="gramEnd"/>
            <w:r>
              <w:rPr>
                <w:sz w:val="19"/>
              </w:rPr>
              <w:t xml:space="preserve"> same patient.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F3A4F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Supplementary ESM Table S1 is available from the Springer article page.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0CEA47" w14:textId="77777777" w:rsidR="00A16061" w:rsidRDefault="00000000">
            <w:pPr>
              <w:spacing w:line="264" w:lineRule="auto"/>
            </w:pPr>
            <w:hyperlink r:id="rId85">
              <w:r>
                <w:rPr>
                  <w:rStyle w:val="Hyperlink"/>
                  <w:color w:val="025E8D"/>
                  <w:sz w:val="19"/>
                  <w:szCs w:val="19"/>
                </w:rPr>
                <w:t>Zarbin 2024</w:t>
              </w:r>
            </w:hyperlink>
            <w:r>
              <w:rPr>
                <w:sz w:val="19"/>
              </w:rPr>
              <w:t xml:space="preserve">; </w:t>
            </w:r>
            <w:hyperlink r:id="rId86">
              <w:r>
                <w:rPr>
                  <w:rStyle w:val="Hyperlink"/>
                  <w:color w:val="025E8D"/>
                  <w:sz w:val="19"/>
                  <w:szCs w:val="19"/>
                </w:rPr>
                <w:t>Zarbin ESM</w:t>
              </w:r>
            </w:hyperlink>
          </w:p>
        </w:tc>
      </w:tr>
      <w:tr w:rsidR="00A16061" w14:paraId="5B53E770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CE05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FARETINA-AMD </w:t>
            </w:r>
            <w:proofErr w:type="spellStart"/>
            <w:r>
              <w:rPr>
                <w:b/>
                <w:sz w:val="19"/>
              </w:rPr>
              <w:t>faricimab</w:t>
            </w:r>
            <w:proofErr w:type="spellEnd"/>
            <w:r>
              <w:rPr>
                <w:b/>
                <w:sz w:val="19"/>
              </w:rPr>
              <w:t xml:space="preserve"> outcomes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83A1D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patients initiating </w:t>
            </w: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>; ARVO analysis used Feb-Aug 2022 starts; later manuscripts extend to 2023.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A1458" w14:textId="77777777" w:rsidR="00A16061" w:rsidRDefault="00000000">
            <w:pPr>
              <w:spacing w:line="264" w:lineRule="auto"/>
            </w:pPr>
            <w:proofErr w:type="spellStart"/>
            <w:r>
              <w:rPr>
                <w:sz w:val="19"/>
              </w:rPr>
              <w:t>Faricimab</w:t>
            </w:r>
            <w:proofErr w:type="spellEnd"/>
            <w:r>
              <w:rPr>
                <w:sz w:val="19"/>
              </w:rPr>
              <w:t xml:space="preserve"> captured by rules-based EHR text search with regular-expression keywords; required ≥12 months pre-initiation EHR data and known laterality; interval/BDVA analyses required ≥4 injections; extended interval = any interval &gt;6 weeks.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B5B7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Retrospective treatment-naive and previously treated cohorts; VA/BDVA, CST, CST ≤280 micrometers, injection frequency.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FF86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No public keyword/NDC table found in accessible abstracts.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99F5F" w14:textId="77777777" w:rsidR="00A16061" w:rsidRDefault="00000000">
            <w:pPr>
              <w:spacing w:line="264" w:lineRule="auto"/>
            </w:pPr>
            <w:hyperlink r:id="rId87">
              <w:r>
                <w:rPr>
                  <w:rStyle w:val="Hyperlink"/>
                  <w:color w:val="025E8D"/>
                  <w:sz w:val="19"/>
                  <w:szCs w:val="19"/>
                </w:rPr>
                <w:t>FARETINA ARVO</w:t>
              </w:r>
            </w:hyperlink>
            <w:r>
              <w:rPr>
                <w:sz w:val="19"/>
              </w:rPr>
              <w:t xml:space="preserve">; </w:t>
            </w:r>
            <w:hyperlink r:id="rId88">
              <w:r>
                <w:rPr>
                  <w:rStyle w:val="Hyperlink"/>
                  <w:color w:val="025E8D"/>
                  <w:sz w:val="19"/>
                  <w:szCs w:val="19"/>
                </w:rPr>
                <w:t>Ali 2025</w:t>
              </w:r>
            </w:hyperlink>
            <w:r>
              <w:rPr>
                <w:sz w:val="19"/>
              </w:rPr>
              <w:t xml:space="preserve">; </w:t>
            </w:r>
            <w:hyperlink r:id="rId89">
              <w:r>
                <w:rPr>
                  <w:rStyle w:val="Hyperlink"/>
                  <w:color w:val="025E8D"/>
                  <w:sz w:val="19"/>
                  <w:szCs w:val="19"/>
                </w:rPr>
                <w:t>Tabano 2026</w:t>
              </w:r>
            </w:hyperlink>
          </w:p>
        </w:tc>
      </w:tr>
      <w:tr w:rsidR="00A16061" w14:paraId="6E66C554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28B0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Gong/ASRS conversion to exudative AMD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D69F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IRIS 2016-2019; 2,664,789 patients with dry AMD in at least one eye; manuscript focuses on unilateral exudative AMD fellow-eye conversion.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7B07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Conversion time from dry/nonexudative to wet/exudative AMD; covariates included age, sex, race, region, smoking, dry AMD stage, wet AMD stage, fellow-eye status.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A208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Descriptive statistics and Cox proportional hazards; manuscript also reports logistic regression.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F67BC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No diagnostic-code table found in accessible poster/abstract.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B7F13" w14:textId="77777777" w:rsidR="00A16061" w:rsidRDefault="00000000">
            <w:pPr>
              <w:spacing w:line="264" w:lineRule="auto"/>
            </w:pPr>
            <w:hyperlink r:id="rId90">
              <w:r>
                <w:rPr>
                  <w:rStyle w:val="Hyperlink"/>
                  <w:color w:val="025E8D"/>
                  <w:sz w:val="19"/>
                  <w:szCs w:val="19"/>
                </w:rPr>
                <w:t>Gong 2024</w:t>
              </w:r>
            </w:hyperlink>
            <w:r>
              <w:rPr>
                <w:sz w:val="19"/>
              </w:rPr>
              <w:t xml:space="preserve">; </w:t>
            </w:r>
            <w:hyperlink r:id="rId91">
              <w:r>
                <w:rPr>
                  <w:rStyle w:val="Hyperlink"/>
                  <w:color w:val="025E8D"/>
                  <w:sz w:val="19"/>
                  <w:szCs w:val="19"/>
                </w:rPr>
                <w:t>ASRS 2022</w:t>
              </w:r>
            </w:hyperlink>
          </w:p>
        </w:tc>
      </w:tr>
      <w:tr w:rsidR="00A16061" w14:paraId="09F3841C" w14:textId="77777777">
        <w:tc>
          <w:tcPr>
            <w:tcW w:w="194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AD2804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Leng 2024 </w:t>
            </w:r>
            <w:proofErr w:type="spellStart"/>
            <w:r>
              <w:rPr>
                <w:b/>
                <w:sz w:val="19"/>
              </w:rPr>
              <w:t>nAMD</w:t>
            </w:r>
            <w:proofErr w:type="spellEnd"/>
            <w:r>
              <w:rPr>
                <w:b/>
                <w:sz w:val="19"/>
              </w:rPr>
              <w:t xml:space="preserve"> + GA anti-VEGF presentation</w:t>
            </w:r>
          </w:p>
        </w:tc>
        <w:tc>
          <w:tcPr>
            <w:tcW w:w="280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50F1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First GA ICD-10 code July 1, 2016-Dec 31, 2021; same-eye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 ICD-10; cohorts: GA after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, GA before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 xml:space="preserve">, coincident </w:t>
            </w:r>
            <w:proofErr w:type="spellStart"/>
            <w:r>
              <w:rPr>
                <w:sz w:val="19"/>
              </w:rPr>
              <w:t>GA+nAMD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3383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801BD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Baseline VA nearest index within 6 months pre-index; treatment year = 52 +/-8 weeks; nearest VA selected, later if equidistant, best same-day VA used; AE within 120 days of injection with no prior history; IOP elevation &gt;6 mmHg and concurrent ≥25 mmHg.</w:t>
            </w:r>
          </w:p>
        </w:tc>
        <w:tc>
          <w:tcPr>
            <w:tcW w:w="2087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94CC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Descriptive cohort comparisons by diagnosis timing, anti-VEGF intervals, discontinuation, and safety-event incidence.</w:t>
            </w:r>
          </w:p>
        </w:tc>
        <w:tc>
          <w:tcPr>
            <w:tcW w:w="2519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2DB7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Presentation cites ICD-10/ICD-10-CM but does not list exact codes.</w:t>
            </w:r>
          </w:p>
        </w:tc>
        <w:tc>
          <w:tcPr>
            <w:tcW w:w="1511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B0D8C" w14:textId="77777777" w:rsidR="00A16061" w:rsidRDefault="00000000">
            <w:pPr>
              <w:spacing w:line="264" w:lineRule="auto"/>
            </w:pPr>
            <w:hyperlink r:id="rId92">
              <w:r>
                <w:rPr>
                  <w:rStyle w:val="Hyperlink"/>
                  <w:color w:val="025E8D"/>
                  <w:sz w:val="19"/>
                  <w:szCs w:val="19"/>
                </w:rPr>
                <w:t>Leng 2024</w:t>
              </w:r>
            </w:hyperlink>
          </w:p>
        </w:tc>
      </w:tr>
    </w:tbl>
    <w:p w14:paraId="5E1FEE40" w14:textId="77777777" w:rsidR="00A16061" w:rsidRDefault="00A16061">
      <w:pPr>
        <w:sectPr w:rsidR="00A16061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 w14:paraId="0A04036A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lastRenderedPageBreak/>
        <w:t>Recommended Operational Design Pattern</w:t>
      </w:r>
    </w:p>
    <w:tbl>
      <w:tblPr>
        <w:tblW w:w="14256" w:type="dxa"/>
        <w:tblBorders>
          <w:top w:val="single" w:sz="4" w:space="0" w:color="1B1F17"/>
          <w:left w:val="single" w:sz="4" w:space="0" w:color="1B1F17"/>
          <w:bottom w:val="single" w:sz="4" w:space="0" w:color="1B1F17"/>
          <w:right w:val="single" w:sz="4" w:space="0" w:color="1B1F17"/>
          <w:insideH w:val="single" w:sz="2" w:space="0" w:color="1B1F17"/>
          <w:insideV w:val="single" w:sz="2" w:space="0" w:color="1B1F17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4536"/>
        <w:gridCol w:w="3240"/>
      </w:tblGrid>
      <w:tr w:rsidR="00A16061" w14:paraId="504E9402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3BE24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Component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2539A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Recommended operationalization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E23B1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Why it is preferred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C3AF5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Source</w:t>
            </w:r>
          </w:p>
        </w:tc>
      </w:tr>
      <w:tr w:rsidR="00A16061" w14:paraId="6BBE0163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0E3B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Disease cohort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DFA1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Use laterality-specific ICD-coded </w:t>
            </w:r>
            <w:proofErr w:type="spellStart"/>
            <w:r>
              <w:rPr>
                <w:sz w:val="19"/>
              </w:rPr>
              <w:t>nAMD</w:t>
            </w:r>
            <w:proofErr w:type="spellEnd"/>
            <w:r>
              <w:rPr>
                <w:sz w:val="19"/>
              </w:rPr>
              <w:t>/wet AMD diagnosis and require same-eye anti-VEGF evidence when evaluating treated patients.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F121C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The largest and most methodologically explicit IRIS studies anchor diagnosis to same-eye treatment and exclude unknown laterality.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875DA" w14:textId="77777777" w:rsidR="00A16061" w:rsidRDefault="00000000">
            <w:pPr>
              <w:spacing w:line="264" w:lineRule="auto"/>
            </w:pPr>
            <w:hyperlink r:id="rId99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</w:p>
        </w:tc>
      </w:tr>
      <w:tr w:rsidR="00A16061" w14:paraId="71565D2D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820F5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Index date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549B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Use first qualifying anti-VEGF injection for treatment-naive outcomes, first drug-specific injection for switch/drug studies, or dry AMD cohort entry for conversion studies.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9F54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This reduces ambiguity between prevalent disease, treatment initiation, and drug-switch questions.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3920B" w14:textId="77777777" w:rsidR="00A16061" w:rsidRDefault="00000000">
            <w:pPr>
              <w:spacing w:line="264" w:lineRule="auto"/>
            </w:pPr>
            <w:hyperlink r:id="rId100">
              <w:r>
                <w:rPr>
                  <w:rStyle w:val="Hyperlink"/>
                  <w:color w:val="025E8D"/>
                  <w:sz w:val="19"/>
                  <w:szCs w:val="19"/>
                </w:rPr>
                <w:t>Gallivan 2023</w:t>
              </w:r>
            </w:hyperlink>
            <w:r>
              <w:rPr>
                <w:sz w:val="19"/>
              </w:rPr>
              <w:t xml:space="preserve">; </w:t>
            </w:r>
            <w:hyperlink r:id="rId101">
              <w:r>
                <w:rPr>
                  <w:rStyle w:val="Hyperlink"/>
                  <w:color w:val="025E8D"/>
                  <w:sz w:val="19"/>
                  <w:szCs w:val="19"/>
                </w:rPr>
                <w:t>Khanani 2022</w:t>
              </w:r>
            </w:hyperlink>
            <w:r>
              <w:rPr>
                <w:sz w:val="19"/>
              </w:rPr>
              <w:t xml:space="preserve">; </w:t>
            </w:r>
            <w:hyperlink r:id="rId102">
              <w:proofErr w:type="spellStart"/>
              <w:r>
                <w:rPr>
                  <w:rStyle w:val="Hyperlink"/>
                  <w:color w:val="025E8D"/>
                  <w:sz w:val="19"/>
                  <w:szCs w:val="19"/>
                </w:rPr>
                <w:t>MacCumber</w:t>
              </w:r>
              <w:proofErr w:type="spellEnd"/>
              <w:r>
                <w:rPr>
                  <w:rStyle w:val="Hyperlink"/>
                  <w:color w:val="025E8D"/>
                  <w:sz w:val="19"/>
                  <w:szCs w:val="19"/>
                </w:rPr>
                <w:t xml:space="preserve"> interval</w:t>
              </w:r>
            </w:hyperlink>
            <w:r>
              <w:rPr>
                <w:sz w:val="19"/>
              </w:rPr>
              <w:t xml:space="preserve">; </w:t>
            </w:r>
            <w:hyperlink r:id="rId103">
              <w:r>
                <w:rPr>
                  <w:rStyle w:val="Hyperlink"/>
                  <w:color w:val="025E8D"/>
                  <w:sz w:val="19"/>
                  <w:szCs w:val="19"/>
                </w:rPr>
                <w:t>Gong 2024</w:t>
              </w:r>
            </w:hyperlink>
            <w:r>
              <w:rPr>
                <w:sz w:val="19"/>
              </w:rPr>
              <w:t xml:space="preserve">; </w:t>
            </w:r>
            <w:hyperlink r:id="rId104">
              <w:r>
                <w:rPr>
                  <w:rStyle w:val="Hyperlink"/>
                  <w:color w:val="025E8D"/>
                  <w:sz w:val="19"/>
                  <w:szCs w:val="19"/>
                </w:rPr>
                <w:t>ASRS 2022</w:t>
              </w:r>
            </w:hyperlink>
            <w:r>
              <w:rPr>
                <w:sz w:val="19"/>
              </w:rPr>
              <w:t xml:space="preserve">; </w:t>
            </w:r>
            <w:hyperlink r:id="rId105">
              <w:r>
                <w:rPr>
                  <w:rStyle w:val="Hyperlink"/>
                  <w:color w:val="025E8D"/>
                  <w:sz w:val="19"/>
                  <w:szCs w:val="19"/>
                </w:rPr>
                <w:t>Research Square</w:t>
              </w:r>
            </w:hyperlink>
          </w:p>
        </w:tc>
      </w:tr>
      <w:tr w:rsidR="00A16061" w14:paraId="55B15407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1757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Lookback / treatment naive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53D3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Require pre-index data contribution and no structured anti-VEGF evidence in the lookback when claiming treatment-naive status.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A23A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Fevrier used 1-year pre-index anti-VEGF-free evidence; Wykoff required 6 months of practice contribution before index.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75C6C" w14:textId="77777777" w:rsidR="00A16061" w:rsidRDefault="00000000">
            <w:pPr>
              <w:spacing w:line="264" w:lineRule="auto"/>
            </w:pPr>
            <w:hyperlink r:id="rId106">
              <w:r>
                <w:rPr>
                  <w:rStyle w:val="Hyperlink"/>
                  <w:color w:val="025E8D"/>
                  <w:sz w:val="19"/>
                  <w:szCs w:val="19"/>
                </w:rPr>
                <w:t>Fevrier 2024</w:t>
              </w:r>
            </w:hyperlink>
            <w:r>
              <w:rPr>
                <w:sz w:val="19"/>
              </w:rPr>
              <w:t xml:space="preserve">; </w:t>
            </w:r>
            <w:hyperlink r:id="rId107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</w:p>
        </w:tc>
      </w:tr>
      <w:tr w:rsidR="00A16061" w14:paraId="326009DB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F1849C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Visual acuity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91602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Predefine baseline/follow-up windows and convert Snellen to ETDRS-equivalent letters using published formula; choose best/nearest measurement rules up front.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E338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This is the most common VA handling pattern and allows comparability across long-term outcomes and trial-emulation analyses.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1C867D" w14:textId="77777777" w:rsidR="00A16061" w:rsidRDefault="00000000">
            <w:pPr>
              <w:spacing w:line="264" w:lineRule="auto"/>
            </w:pPr>
            <w:hyperlink r:id="rId108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  <w:r>
              <w:rPr>
                <w:sz w:val="19"/>
              </w:rPr>
              <w:t xml:space="preserve">; </w:t>
            </w:r>
            <w:hyperlink r:id="rId109">
              <w:r>
                <w:rPr>
                  <w:rStyle w:val="Hyperlink"/>
                  <w:color w:val="025E8D"/>
                  <w:sz w:val="19"/>
                  <w:szCs w:val="19"/>
                </w:rPr>
                <w:t>Leng 2024</w:t>
              </w:r>
            </w:hyperlink>
          </w:p>
        </w:tc>
      </w:tr>
      <w:tr w:rsidR="00A16061" w14:paraId="0566C4AB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6E2FD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Treatment burden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EC1E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Capture injection frequency, injection interval, gaps, discontinuation, switching, and persistence/LTFU.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0908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These endpoints repeatedly explain real-world under-treatment and outcome differences.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B58973" w14:textId="77777777" w:rsidR="00A16061" w:rsidRDefault="00000000">
            <w:pPr>
              <w:spacing w:line="264" w:lineRule="auto"/>
            </w:pPr>
            <w:hyperlink r:id="rId110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  <w:r>
              <w:rPr>
                <w:sz w:val="19"/>
              </w:rPr>
              <w:t xml:space="preserve">; </w:t>
            </w:r>
            <w:hyperlink r:id="rId111">
              <w:proofErr w:type="spellStart"/>
              <w:r>
                <w:rPr>
                  <w:rStyle w:val="Hyperlink"/>
                  <w:color w:val="025E8D"/>
                  <w:sz w:val="19"/>
                  <w:szCs w:val="19"/>
                </w:rPr>
                <w:t>MacCumber</w:t>
              </w:r>
              <w:proofErr w:type="spellEnd"/>
              <w:r>
                <w:rPr>
                  <w:rStyle w:val="Hyperlink"/>
                  <w:color w:val="025E8D"/>
                  <w:sz w:val="19"/>
                  <w:szCs w:val="19"/>
                </w:rPr>
                <w:t xml:space="preserve"> CJO</w:t>
              </w:r>
            </w:hyperlink>
            <w:r>
              <w:rPr>
                <w:sz w:val="19"/>
              </w:rPr>
              <w:t xml:space="preserve">; </w:t>
            </w:r>
            <w:hyperlink r:id="rId112">
              <w:r>
                <w:rPr>
                  <w:rStyle w:val="Hyperlink"/>
                  <w:color w:val="025E8D"/>
                  <w:sz w:val="19"/>
                  <w:szCs w:val="19"/>
                </w:rPr>
                <w:t>Khurana 2023</w:t>
              </w:r>
            </w:hyperlink>
          </w:p>
        </w:tc>
      </w:tr>
      <w:tr w:rsidR="00A16061" w14:paraId="3E7CAD90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376F6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Statistical model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47A6F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Use linear/logistic/Poisson models for cross-sectional or 1-year outcomes, Cox models for time-to-event outcomes, and account for two-eye correlation.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D254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GEE or clustered Cox approaches address nonindependence when both eyes contribute data.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BDCA6" w14:textId="77777777" w:rsidR="00A16061" w:rsidRDefault="00000000">
            <w:pPr>
              <w:spacing w:line="264" w:lineRule="auto"/>
            </w:pPr>
            <w:hyperlink r:id="rId113">
              <w:r>
                <w:rPr>
                  <w:rStyle w:val="Hyperlink"/>
                  <w:color w:val="025E8D"/>
                  <w:sz w:val="19"/>
                  <w:szCs w:val="19"/>
                </w:rPr>
                <w:t>Khanani 2022</w:t>
              </w:r>
            </w:hyperlink>
            <w:r>
              <w:rPr>
                <w:sz w:val="19"/>
              </w:rPr>
              <w:t xml:space="preserve">; </w:t>
            </w:r>
            <w:hyperlink r:id="rId114">
              <w:r>
                <w:rPr>
                  <w:rStyle w:val="Hyperlink"/>
                  <w:color w:val="025E8D"/>
                  <w:sz w:val="19"/>
                  <w:szCs w:val="19"/>
                </w:rPr>
                <w:t>Gallivan 2023</w:t>
              </w:r>
            </w:hyperlink>
            <w:r>
              <w:rPr>
                <w:sz w:val="19"/>
              </w:rPr>
              <w:t xml:space="preserve">; </w:t>
            </w:r>
            <w:hyperlink r:id="rId115">
              <w:r>
                <w:rPr>
                  <w:rStyle w:val="Hyperlink"/>
                  <w:color w:val="025E8D"/>
                  <w:sz w:val="19"/>
                  <w:szCs w:val="19"/>
                </w:rPr>
                <w:t>Zarbin 2024</w:t>
              </w:r>
            </w:hyperlink>
            <w:r>
              <w:rPr>
                <w:sz w:val="19"/>
              </w:rPr>
              <w:t xml:space="preserve">; </w:t>
            </w:r>
            <w:hyperlink r:id="rId116">
              <w:r>
                <w:rPr>
                  <w:rStyle w:val="Hyperlink"/>
                  <w:color w:val="025E8D"/>
                  <w:sz w:val="19"/>
                  <w:szCs w:val="19"/>
                </w:rPr>
                <w:t>Wykoff 2024</w:t>
              </w:r>
            </w:hyperlink>
            <w:r>
              <w:rPr>
                <w:sz w:val="19"/>
              </w:rPr>
              <w:t xml:space="preserve">; </w:t>
            </w:r>
            <w:hyperlink r:id="rId117">
              <w:r>
                <w:rPr>
                  <w:rStyle w:val="Hyperlink"/>
                  <w:color w:val="025E8D"/>
                  <w:sz w:val="19"/>
                  <w:szCs w:val="19"/>
                </w:rPr>
                <w:t>Acharya 2025</w:t>
              </w:r>
            </w:hyperlink>
          </w:p>
        </w:tc>
      </w:tr>
      <w:tr w:rsidR="00A16061" w14:paraId="1276D100" w14:textId="77777777">
        <w:tc>
          <w:tcPr>
            <w:tcW w:w="18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B3E4F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Codes and appendices</w:t>
            </w:r>
          </w:p>
        </w:tc>
        <w:tc>
          <w:tcPr>
            <w:tcW w:w="468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32441A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Put full ICD/CPT/HCPCS/NDC or keyword lists in an appendix and cite them from the methods table.</w:t>
            </w:r>
          </w:p>
        </w:tc>
        <w:tc>
          <w:tcPr>
            <w:tcW w:w="4536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6B666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 xml:space="preserve">Code tables can be too long for the main report; Gallivan Table A and Khanani </w:t>
            </w:r>
            <w:proofErr w:type="spellStart"/>
            <w:r>
              <w:rPr>
                <w:sz w:val="19"/>
              </w:rPr>
              <w:t>eTables</w:t>
            </w:r>
            <w:proofErr w:type="spellEnd"/>
            <w:r>
              <w:rPr>
                <w:sz w:val="19"/>
              </w:rPr>
              <w:t xml:space="preserve"> are good precedents.</w:t>
            </w:r>
          </w:p>
        </w:tc>
        <w:tc>
          <w:tcPr>
            <w:tcW w:w="324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441F70" w14:textId="77777777" w:rsidR="00A16061" w:rsidRDefault="00000000">
            <w:pPr>
              <w:spacing w:line="264" w:lineRule="auto"/>
            </w:pPr>
            <w:hyperlink r:id="rId118">
              <w:r>
                <w:rPr>
                  <w:rStyle w:val="Hyperlink"/>
                  <w:color w:val="025E8D"/>
                  <w:sz w:val="19"/>
                  <w:szCs w:val="19"/>
                </w:rPr>
                <w:t>Gallivan 2023</w:t>
              </w:r>
            </w:hyperlink>
            <w:r>
              <w:rPr>
                <w:sz w:val="19"/>
              </w:rPr>
              <w:t xml:space="preserve">; </w:t>
            </w:r>
            <w:hyperlink r:id="rId119">
              <w:r>
                <w:rPr>
                  <w:rStyle w:val="Hyperlink"/>
                  <w:color w:val="025E8D"/>
                  <w:sz w:val="19"/>
                  <w:szCs w:val="19"/>
                </w:rPr>
                <w:t>Khanani supplement</w:t>
              </w:r>
            </w:hyperlink>
          </w:p>
        </w:tc>
      </w:tr>
    </w:tbl>
    <w:p w14:paraId="733CA126" w14:textId="77777777" w:rsidR="00A16061" w:rsidRDefault="00A16061">
      <w:pPr>
        <w:sectPr w:rsidR="00A16061">
          <w:headerReference w:type="even" r:id="rId120"/>
          <w:headerReference w:type="default" r:id="rId121"/>
          <w:footerReference w:type="even" r:id="rId122"/>
          <w:footerReference w:type="default" r:id="rId123"/>
          <w:headerReference w:type="first" r:id="rId124"/>
          <w:footerReference w:type="first" r:id="rId125"/>
          <w:pgSz w:w="15840" w:h="12240" w:orient="landscape"/>
          <w:pgMar w:top="792" w:right="792" w:bottom="792" w:left="792" w:header="708" w:footer="708" w:gutter="0"/>
          <w:cols w:space="720"/>
          <w:docGrid w:linePitch="360"/>
        </w:sectPr>
      </w:pPr>
    </w:p>
    <w:p w14:paraId="77FF18D3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lastRenderedPageBreak/>
        <w:t>Implications for New IRIS Wet Age-related Macular Degeneration Studies</w:t>
      </w:r>
    </w:p>
    <w:p w14:paraId="106857C2" w14:textId="77777777" w:rsidR="00A16061" w:rsidRDefault="00000000" w:rsidP="0058356B">
      <w:pPr>
        <w:numPr>
          <w:ilvl w:val="0"/>
          <w:numId w:val="2"/>
        </w:numPr>
        <w:spacing w:after="160" w:line="300" w:lineRule="auto"/>
      </w:pPr>
      <w:r>
        <w:rPr>
          <w:sz w:val="21"/>
        </w:rPr>
        <w:t xml:space="preserve">A new wet AMD study should begin with a precise </w:t>
      </w:r>
      <w:proofErr w:type="spellStart"/>
      <w:r>
        <w:rPr>
          <w:sz w:val="21"/>
        </w:rPr>
        <w:t>estimand</w:t>
      </w:r>
      <w:proofErr w:type="spellEnd"/>
      <w:r>
        <w:rPr>
          <w:sz w:val="21"/>
        </w:rPr>
        <w:t xml:space="preserve">: treatment initiation, treatment burden, treatment response, switch durability, safety, conversion, or disparities. Each </w:t>
      </w:r>
      <w:proofErr w:type="spellStart"/>
      <w:r>
        <w:rPr>
          <w:sz w:val="21"/>
        </w:rPr>
        <w:t>estimand</w:t>
      </w:r>
      <w:proofErr w:type="spellEnd"/>
      <w:r>
        <w:rPr>
          <w:sz w:val="21"/>
        </w:rPr>
        <w:t xml:space="preserve"> maps to a different index date and follow-up window. </w:t>
      </w:r>
      <w:hyperlink r:id="rId126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127">
        <w:r>
          <w:rPr>
            <w:rStyle w:val="Hyperlink"/>
            <w:color w:val="025E8D"/>
            <w:sz w:val="21"/>
            <w:szCs w:val="21"/>
          </w:rPr>
          <w:t>[</w:t>
        </w:r>
        <w:proofErr w:type="spellStart"/>
        <w:r>
          <w:rPr>
            <w:rStyle w:val="Hyperlink"/>
            <w:color w:val="025E8D"/>
            <w:sz w:val="21"/>
            <w:szCs w:val="21"/>
          </w:rPr>
          <w:t>MacCumber</w:t>
        </w:r>
        <w:proofErr w:type="spellEnd"/>
        <w:r>
          <w:rPr>
            <w:rStyle w:val="Hyperlink"/>
            <w:color w:val="025E8D"/>
            <w:sz w:val="21"/>
            <w:szCs w:val="21"/>
          </w:rPr>
          <w:t xml:space="preserve"> interval]</w:t>
        </w:r>
      </w:hyperlink>
      <w:r>
        <w:rPr>
          <w:sz w:val="21"/>
        </w:rPr>
        <w:t xml:space="preserve"> </w:t>
      </w:r>
      <w:hyperlink r:id="rId128">
        <w:r>
          <w:rPr>
            <w:rStyle w:val="Hyperlink"/>
            <w:color w:val="025E8D"/>
            <w:sz w:val="21"/>
            <w:szCs w:val="21"/>
          </w:rPr>
          <w:t>[Khanani 2022]</w:t>
        </w:r>
      </w:hyperlink>
      <w:r>
        <w:rPr>
          <w:sz w:val="21"/>
        </w:rPr>
        <w:t xml:space="preserve"> </w:t>
      </w:r>
      <w:hyperlink r:id="rId129">
        <w:r>
          <w:rPr>
            <w:rStyle w:val="Hyperlink"/>
            <w:color w:val="025E8D"/>
            <w:sz w:val="21"/>
            <w:szCs w:val="21"/>
          </w:rPr>
          <w:t>[Gong 2024]</w:t>
        </w:r>
      </w:hyperlink>
      <w:r>
        <w:rPr>
          <w:sz w:val="21"/>
        </w:rPr>
        <w:t xml:space="preserve"> </w:t>
      </w:r>
      <w:hyperlink r:id="rId130">
        <w:r>
          <w:rPr>
            <w:rStyle w:val="Hyperlink"/>
            <w:color w:val="025E8D"/>
            <w:sz w:val="21"/>
            <w:szCs w:val="21"/>
          </w:rPr>
          <w:t>[Acharya 2025]</w:t>
        </w:r>
      </w:hyperlink>
      <w:r>
        <w:rPr>
          <w:sz w:val="21"/>
        </w:rPr>
        <w:t xml:space="preserve"> </w:t>
      </w:r>
      <w:hyperlink r:id="rId131">
        <w:r>
          <w:rPr>
            <w:rStyle w:val="Hyperlink"/>
            <w:color w:val="025E8D"/>
            <w:sz w:val="21"/>
            <w:szCs w:val="21"/>
          </w:rPr>
          <w:t>[Gallivan 2023]</w:t>
        </w:r>
      </w:hyperlink>
      <w:r>
        <w:rPr>
          <w:sz w:val="21"/>
        </w:rPr>
        <w:t xml:space="preserve"> </w:t>
      </w:r>
      <w:hyperlink r:id="rId132">
        <w:r>
          <w:rPr>
            <w:rStyle w:val="Hyperlink"/>
            <w:color w:val="025E8D"/>
            <w:sz w:val="21"/>
            <w:szCs w:val="21"/>
          </w:rPr>
          <w:t>[Fevrier 2024]</w:t>
        </w:r>
      </w:hyperlink>
    </w:p>
    <w:p w14:paraId="0DFB5FC2" w14:textId="77777777" w:rsidR="00A16061" w:rsidRDefault="00000000" w:rsidP="0058356B">
      <w:pPr>
        <w:numPr>
          <w:ilvl w:val="0"/>
          <w:numId w:val="2"/>
        </w:numPr>
        <w:spacing w:after="160" w:line="300" w:lineRule="auto"/>
      </w:pPr>
      <w:r>
        <w:rPr>
          <w:sz w:val="21"/>
        </w:rPr>
        <w:t xml:space="preserve">For treatment-response questions, the strongest recurring approach is an eye-level treated </w:t>
      </w:r>
      <w:proofErr w:type="spellStart"/>
      <w:r>
        <w:rPr>
          <w:sz w:val="21"/>
        </w:rPr>
        <w:t>nAMD</w:t>
      </w:r>
      <w:proofErr w:type="spellEnd"/>
      <w:r>
        <w:rPr>
          <w:sz w:val="21"/>
        </w:rPr>
        <w:t xml:space="preserve"> cohort with baseline VA, minimum exposure/follow-up, injection-count endpoints, and adjustment for age, baseline VA, payer, race/ethnicity, provider specialty, and ocular comorbidity. </w:t>
      </w:r>
      <w:hyperlink r:id="rId133">
        <w:r>
          <w:rPr>
            <w:rStyle w:val="Hyperlink"/>
            <w:color w:val="025E8D"/>
            <w:sz w:val="21"/>
            <w:szCs w:val="21"/>
          </w:rPr>
          <w:t>[Wykoff 2024]</w:t>
        </w:r>
      </w:hyperlink>
      <w:r>
        <w:rPr>
          <w:sz w:val="21"/>
        </w:rPr>
        <w:t xml:space="preserve"> </w:t>
      </w:r>
      <w:hyperlink r:id="rId134">
        <w:r>
          <w:rPr>
            <w:rStyle w:val="Hyperlink"/>
            <w:color w:val="025E8D"/>
            <w:sz w:val="21"/>
            <w:szCs w:val="21"/>
          </w:rPr>
          <w:t>[</w:t>
        </w:r>
        <w:proofErr w:type="spellStart"/>
        <w:r>
          <w:rPr>
            <w:rStyle w:val="Hyperlink"/>
            <w:color w:val="025E8D"/>
            <w:sz w:val="21"/>
            <w:szCs w:val="21"/>
          </w:rPr>
          <w:t>Barikian</w:t>
        </w:r>
        <w:proofErr w:type="spellEnd"/>
        <w:r>
          <w:rPr>
            <w:rStyle w:val="Hyperlink"/>
            <w:color w:val="025E8D"/>
            <w:sz w:val="21"/>
            <w:szCs w:val="21"/>
          </w:rPr>
          <w:t xml:space="preserve"> 2026]</w:t>
        </w:r>
      </w:hyperlink>
    </w:p>
    <w:p w14:paraId="7F954461" w14:textId="77777777" w:rsidR="00A16061" w:rsidRDefault="00000000" w:rsidP="0058356B">
      <w:pPr>
        <w:numPr>
          <w:ilvl w:val="0"/>
          <w:numId w:val="2"/>
        </w:numPr>
        <w:spacing w:after="160" w:line="300" w:lineRule="auto"/>
      </w:pPr>
      <w:r>
        <w:rPr>
          <w:sz w:val="21"/>
        </w:rPr>
        <w:t xml:space="preserve">For adherence questions, LTFU and </w:t>
      </w:r>
      <w:proofErr w:type="spellStart"/>
      <w:r>
        <w:rPr>
          <w:sz w:val="21"/>
        </w:rPr>
        <w:t>nonpersistence</w:t>
      </w:r>
      <w:proofErr w:type="spellEnd"/>
      <w:r>
        <w:rPr>
          <w:sz w:val="21"/>
        </w:rPr>
        <w:t xml:space="preserve"> should be separated because the reviewed manuscript used 12-month no-follow-up for LTFU and 6-month no-follow-up for </w:t>
      </w:r>
      <w:proofErr w:type="spellStart"/>
      <w:r>
        <w:rPr>
          <w:sz w:val="21"/>
        </w:rPr>
        <w:t>nonpersistence</w:t>
      </w:r>
      <w:proofErr w:type="spellEnd"/>
      <w:r>
        <w:rPr>
          <w:sz w:val="21"/>
        </w:rPr>
        <w:t xml:space="preserve">. </w:t>
      </w:r>
      <w:hyperlink r:id="rId135">
        <w:r>
          <w:rPr>
            <w:rStyle w:val="Hyperlink"/>
            <w:color w:val="025E8D"/>
            <w:sz w:val="21"/>
            <w:szCs w:val="21"/>
          </w:rPr>
          <w:t>[Khurana 2023]</w:t>
        </w:r>
      </w:hyperlink>
    </w:p>
    <w:p w14:paraId="1C6D3234" w14:textId="77777777" w:rsidR="00A16061" w:rsidRDefault="00000000" w:rsidP="0058356B">
      <w:pPr>
        <w:numPr>
          <w:ilvl w:val="0"/>
          <w:numId w:val="2"/>
        </w:numPr>
        <w:spacing w:after="160" w:line="300" w:lineRule="auto"/>
      </w:pPr>
      <w:r>
        <w:rPr>
          <w:sz w:val="21"/>
        </w:rPr>
        <w:t xml:space="preserve">For safety questions, code-based adverse events should be presented with enough specificity to distinguish infectious events, IOI, retinal vasculitis, retinal vascular occlusion, and post-event VA change. </w:t>
      </w:r>
      <w:hyperlink r:id="rId136">
        <w:r>
          <w:rPr>
            <w:rStyle w:val="Hyperlink"/>
            <w:color w:val="025E8D"/>
            <w:sz w:val="21"/>
            <w:szCs w:val="21"/>
          </w:rPr>
          <w:t>[Khanani 2022]</w:t>
        </w:r>
      </w:hyperlink>
      <w:r>
        <w:rPr>
          <w:sz w:val="21"/>
        </w:rPr>
        <w:t xml:space="preserve"> </w:t>
      </w:r>
      <w:hyperlink r:id="rId137">
        <w:r>
          <w:rPr>
            <w:rStyle w:val="Hyperlink"/>
            <w:color w:val="025E8D"/>
            <w:sz w:val="21"/>
            <w:szCs w:val="21"/>
          </w:rPr>
          <w:t>[Zarbin 2024]</w:t>
        </w:r>
      </w:hyperlink>
    </w:p>
    <w:p w14:paraId="242BBD33" w14:textId="77777777" w:rsidR="00A16061" w:rsidRDefault="00A16061">
      <w:pPr>
        <w:sectPr w:rsidR="00A16061">
          <w:headerReference w:type="even" r:id="rId138"/>
          <w:headerReference w:type="default" r:id="rId139"/>
          <w:footerReference w:type="even" r:id="rId140"/>
          <w:footerReference w:type="default" r:id="rId141"/>
          <w:headerReference w:type="first" r:id="rId142"/>
          <w:footerReference w:type="first" r:id="rId143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D060BDE" w14:textId="77777777" w:rsidR="00A16061" w:rsidRDefault="00000000">
      <w:pPr>
        <w:keepNext/>
        <w:pBdr>
          <w:bottom w:val="single" w:sz="6" w:space="6" w:color="10120F"/>
        </w:pBdr>
        <w:spacing w:before="360" w:after="160" w:line="320" w:lineRule="auto"/>
      </w:pPr>
      <w:r>
        <w:rPr>
          <w:b/>
          <w:color w:val="10120F"/>
          <w:sz w:val="30"/>
        </w:rPr>
        <w:lastRenderedPageBreak/>
        <w:t>Citation Register</w:t>
      </w:r>
    </w:p>
    <w:tbl>
      <w:tblPr>
        <w:tblW w:w="14256" w:type="dxa"/>
        <w:tblBorders>
          <w:top w:val="single" w:sz="4" w:space="0" w:color="1B1F17"/>
          <w:left w:val="single" w:sz="4" w:space="0" w:color="1B1F17"/>
          <w:bottom w:val="single" w:sz="4" w:space="0" w:color="1B1F17"/>
          <w:right w:val="single" w:sz="4" w:space="0" w:color="1B1F17"/>
          <w:insideH w:val="single" w:sz="2" w:space="0" w:color="1B1F17"/>
          <w:insideV w:val="single" w:sz="2" w:space="0" w:color="1B1F17"/>
        </w:tblBorders>
        <w:tblLayout w:type="fixed"/>
        <w:tblLook w:val="04A0" w:firstRow="1" w:lastRow="0" w:firstColumn="1" w:lastColumn="0" w:noHBand="0" w:noVBand="1"/>
      </w:tblPr>
      <w:tblGrid>
        <w:gridCol w:w="9000"/>
        <w:gridCol w:w="3528"/>
        <w:gridCol w:w="1728"/>
      </w:tblGrid>
      <w:tr w:rsidR="00A16061" w14:paraId="565C8404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022249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Citation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A0DCE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Use in report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10120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07605" w14:textId="77777777" w:rsidR="00A16061" w:rsidRDefault="00000000">
            <w:pPr>
              <w:spacing w:line="264" w:lineRule="auto"/>
            </w:pPr>
            <w:r>
              <w:rPr>
                <w:b/>
                <w:caps/>
                <w:color w:val="D7FF5F"/>
                <w:spacing w:val="4"/>
                <w:sz w:val="19"/>
              </w:rPr>
              <w:t>URL</w:t>
            </w:r>
          </w:p>
        </w:tc>
      </w:tr>
      <w:tr w:rsidR="00A16061" w14:paraId="24A166BE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1845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American Academy of Ophthalmology. IRIS Registry Data Analysis: Requirements. Accessed June 4, 2026. https://www.aao.org/iris-registry/data-analysis/requirements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FC7B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E8356" w14:textId="77777777" w:rsidR="00A16061" w:rsidRDefault="00000000">
            <w:pPr>
              <w:spacing w:line="264" w:lineRule="auto"/>
            </w:pPr>
            <w:hyperlink r:id="rId144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686FE1B8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EF3B19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Wykoff CC, Garmo V, Tabano D, et al. Impact of Anti-VEGF Treatment and Patient Characteristics on Vision Outcomes in Neovascular Age-related Macular Degeneration: Up to 6-Year Analysis of the AAO IRIS Registry.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Sci. 2024;4(2):100421. </w:t>
            </w:r>
            <w:proofErr w:type="gramStart"/>
            <w:r>
              <w:rPr>
                <w:b/>
                <w:sz w:val="19"/>
              </w:rPr>
              <w:t>doi:10.1016/j.xops</w:t>
            </w:r>
            <w:proofErr w:type="gramEnd"/>
            <w:r>
              <w:rPr>
                <w:b/>
                <w:sz w:val="19"/>
              </w:rPr>
              <w:t>.2023.100421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B112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D4A81" w14:textId="77777777" w:rsidR="00A16061" w:rsidRDefault="00000000">
            <w:pPr>
              <w:spacing w:line="264" w:lineRule="auto"/>
            </w:pPr>
            <w:hyperlink r:id="rId145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0F1AE15E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34C2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Gallivan MD, Garcia KM, Torres AZ, et al. Emulating VIEW 1 and VIEW 2 Clinical Trial Outcome Data Using the American Academy of Ophthalmology IRIS Registry. Ophthalmic Surg Lasers Imaging Retina. 2023;54(1):6-14. doi:10.3928/23258160-20221214-01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D34C1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DBFFC" w14:textId="77777777" w:rsidR="00A16061" w:rsidRDefault="00000000">
            <w:pPr>
              <w:spacing w:line="264" w:lineRule="auto"/>
            </w:pPr>
            <w:hyperlink r:id="rId146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204B29C3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449D2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Fevrier H, </w:t>
            </w:r>
            <w:proofErr w:type="spellStart"/>
            <w:r>
              <w:rPr>
                <w:b/>
                <w:sz w:val="19"/>
              </w:rPr>
              <w:t>LaPrise</w:t>
            </w:r>
            <w:proofErr w:type="spellEnd"/>
            <w:r>
              <w:rPr>
                <w:b/>
                <w:sz w:val="19"/>
              </w:rPr>
              <w:t xml:space="preserve"> A, Mbagwu M, Leng T, Torres AZ, Borkar DS. Comparison of Methods of Clinical Trial Emulation Utilizing Data </w:t>
            </w:r>
            <w:proofErr w:type="gramStart"/>
            <w:r>
              <w:rPr>
                <w:b/>
                <w:sz w:val="19"/>
              </w:rPr>
              <w:t>From</w:t>
            </w:r>
            <w:proofErr w:type="gramEnd"/>
            <w:r>
              <w:rPr>
                <w:b/>
                <w:sz w:val="19"/>
              </w:rPr>
              <w:t xml:space="preserve"> the Comparison of AMD Treatment Trial (CATT) and the IRIS Registry.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Sci. 2024;4(5):100524. </w:t>
            </w:r>
            <w:proofErr w:type="gramStart"/>
            <w:r>
              <w:rPr>
                <w:b/>
                <w:sz w:val="19"/>
              </w:rPr>
              <w:t>doi:10.1016/j.xops</w:t>
            </w:r>
            <w:proofErr w:type="gramEnd"/>
            <w:r>
              <w:rPr>
                <w:b/>
                <w:sz w:val="19"/>
              </w:rPr>
              <w:t>.2024.100524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4EB2E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0E196" w14:textId="77777777" w:rsidR="00A16061" w:rsidRDefault="00000000">
            <w:pPr>
              <w:spacing w:line="264" w:lineRule="auto"/>
            </w:pPr>
            <w:hyperlink r:id="rId147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6F8BCA41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8DD163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Khanani AM, Zarbin MA, Barakat MR, et al. Safety Outcomes of Brolucizumab in Neovascular Age-Related Macular Degeneration: Results </w:t>
            </w:r>
            <w:proofErr w:type="gramStart"/>
            <w:r>
              <w:rPr>
                <w:b/>
                <w:sz w:val="19"/>
              </w:rPr>
              <w:t>From</w:t>
            </w:r>
            <w:proofErr w:type="gramEnd"/>
            <w:r>
              <w:rPr>
                <w:b/>
                <w:sz w:val="19"/>
              </w:rPr>
              <w:t xml:space="preserve"> the IRIS Registry and Komodo Healthcare Map. JAMA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>. 2022;140(1):20-28. doi:10.1001/jamaophthalmol.2021.4585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6C1F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C1C71" w14:textId="77777777" w:rsidR="00A16061" w:rsidRDefault="00000000">
            <w:pPr>
              <w:spacing w:line="264" w:lineRule="auto"/>
            </w:pPr>
            <w:hyperlink r:id="rId148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2266B1C6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B0A16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Khanani AM, Zarbin MA, Barakat MR, et al. Supplement to: Safety Outcomes of Brolucizumab in Neovascular Age-Related Macular Degeneration: Results </w:t>
            </w:r>
            <w:proofErr w:type="gramStart"/>
            <w:r>
              <w:rPr>
                <w:b/>
                <w:sz w:val="19"/>
              </w:rPr>
              <w:t>From</w:t>
            </w:r>
            <w:proofErr w:type="gramEnd"/>
            <w:r>
              <w:rPr>
                <w:b/>
                <w:sz w:val="19"/>
              </w:rPr>
              <w:t xml:space="preserve"> the IRIS Registry and Komodo Healthcare Map. JAMA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>. 2022;140(1):20-28.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ECC2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BC08E" w14:textId="77777777" w:rsidR="00A16061" w:rsidRDefault="00000000">
            <w:pPr>
              <w:spacing w:line="264" w:lineRule="auto"/>
            </w:pPr>
            <w:hyperlink r:id="rId149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3F8E2501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EB685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Zarbin MA, </w:t>
            </w:r>
            <w:proofErr w:type="spellStart"/>
            <w:r>
              <w:rPr>
                <w:b/>
                <w:sz w:val="19"/>
              </w:rPr>
              <w:t>MacCumber</w:t>
            </w:r>
            <w:proofErr w:type="spellEnd"/>
            <w:r>
              <w:rPr>
                <w:b/>
                <w:sz w:val="19"/>
              </w:rPr>
              <w:t xml:space="preserve"> MW, Karcher H, et al. Real-World Safety Outcomes with Brolucizumab in Neovascular Age-Related Macular Degeneration: Findings from the IRIS Registry.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Ther. 2024;13(5):1357-1368. doi:10.1007/s40123-024-00920-3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CF1FF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C89C6" w14:textId="77777777" w:rsidR="00A16061" w:rsidRDefault="00000000">
            <w:pPr>
              <w:spacing w:line="264" w:lineRule="auto"/>
            </w:pPr>
            <w:hyperlink r:id="rId150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6A0C9A8E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E7A6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Zarbin MA, </w:t>
            </w:r>
            <w:proofErr w:type="spellStart"/>
            <w:r>
              <w:rPr>
                <w:b/>
                <w:sz w:val="19"/>
              </w:rPr>
              <w:t>MacCumber</w:t>
            </w:r>
            <w:proofErr w:type="spellEnd"/>
            <w:r>
              <w:rPr>
                <w:b/>
                <w:sz w:val="19"/>
              </w:rPr>
              <w:t xml:space="preserve"> MW, Karcher H, et al. Electronic supplementary material to: Real-World Safety Outcomes with Brolucizumab in Neovascular Age-Related Macular Degeneration: Findings from the IRIS Registry.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Ther. 2024;13(5):1357-1368.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B39A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7FB342" w14:textId="77777777" w:rsidR="00A16061" w:rsidRDefault="00000000">
            <w:pPr>
              <w:spacing w:line="264" w:lineRule="auto"/>
            </w:pPr>
            <w:hyperlink r:id="rId151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5836A3B6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2208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Wykoff CC, Garmo V, Tabano D, et al. Supplementary Tables to: Impact of Anti-VEGF Treatment and Patient Characteristics on Vision Outcomes in Neovascular Age-related Macular Degeneration.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Sci. 2024;4(2):100421.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717A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2A953" w14:textId="77777777" w:rsidR="00A16061" w:rsidRDefault="00000000">
            <w:pPr>
              <w:spacing w:line="264" w:lineRule="auto"/>
            </w:pPr>
            <w:hyperlink r:id="rId152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3131C7BA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36468" w14:textId="77777777" w:rsidR="00A16061" w:rsidRDefault="00000000">
            <w:pPr>
              <w:spacing w:line="264" w:lineRule="auto"/>
            </w:pPr>
            <w:proofErr w:type="spellStart"/>
            <w:r>
              <w:rPr>
                <w:b/>
                <w:sz w:val="19"/>
              </w:rPr>
              <w:lastRenderedPageBreak/>
              <w:t>MacCumber</w:t>
            </w:r>
            <w:proofErr w:type="spellEnd"/>
            <w:r>
              <w:rPr>
                <w:b/>
                <w:sz w:val="19"/>
              </w:rPr>
              <w:t xml:space="preserve"> MW, Yu JS, </w:t>
            </w:r>
            <w:proofErr w:type="spellStart"/>
            <w:r>
              <w:rPr>
                <w:b/>
                <w:sz w:val="19"/>
              </w:rPr>
              <w:t>Sagkriotis</w:t>
            </w:r>
            <w:proofErr w:type="spellEnd"/>
            <w:r>
              <w:rPr>
                <w:b/>
                <w:sz w:val="19"/>
              </w:rPr>
              <w:t xml:space="preserve"> A, et al. </w:t>
            </w:r>
            <w:proofErr w:type="spellStart"/>
            <w:r>
              <w:rPr>
                <w:b/>
                <w:sz w:val="19"/>
              </w:rPr>
              <w:t>Antivascular</w:t>
            </w:r>
            <w:proofErr w:type="spellEnd"/>
            <w:r>
              <w:rPr>
                <w:b/>
                <w:sz w:val="19"/>
              </w:rPr>
              <w:t xml:space="preserve"> endothelial growth factor agents for wet age-related macular degeneration: an IRIS registry analysis. Can J Ophthalmol. 2023;58(3):252-261. </w:t>
            </w:r>
            <w:proofErr w:type="gramStart"/>
            <w:r>
              <w:rPr>
                <w:b/>
                <w:sz w:val="19"/>
              </w:rPr>
              <w:t>doi:10.1016/j.jcjo</w:t>
            </w:r>
            <w:proofErr w:type="gramEnd"/>
            <w:r>
              <w:rPr>
                <w:b/>
                <w:sz w:val="19"/>
              </w:rPr>
              <w:t>.2021.10.008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FBF8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82638B" w14:textId="77777777" w:rsidR="00A16061" w:rsidRDefault="00000000">
            <w:pPr>
              <w:spacing w:line="264" w:lineRule="auto"/>
            </w:pPr>
            <w:hyperlink r:id="rId153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121CAAB0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80AB4" w14:textId="77777777" w:rsidR="00A16061" w:rsidRDefault="00000000">
            <w:pPr>
              <w:spacing w:line="264" w:lineRule="auto"/>
            </w:pPr>
            <w:proofErr w:type="spellStart"/>
            <w:r>
              <w:rPr>
                <w:b/>
                <w:sz w:val="19"/>
              </w:rPr>
              <w:t>MacCumber</w:t>
            </w:r>
            <w:proofErr w:type="spellEnd"/>
            <w:r>
              <w:rPr>
                <w:b/>
                <w:sz w:val="19"/>
              </w:rPr>
              <w:t xml:space="preserve"> MW, Wykoff CC, Karcher H, et al. Factors Linked to Injection Interval Extension in Eyes with Wet Age-Related Macular Degeneration Switched to Brolucizumab. Ophthalmology. 2023;130(8):795-803. </w:t>
            </w:r>
            <w:proofErr w:type="gramStart"/>
            <w:r>
              <w:rPr>
                <w:b/>
                <w:sz w:val="19"/>
              </w:rPr>
              <w:t>doi:10.1016/j.ophtha</w:t>
            </w:r>
            <w:proofErr w:type="gramEnd"/>
            <w:r>
              <w:rPr>
                <w:b/>
                <w:sz w:val="19"/>
              </w:rPr>
              <w:t>.2023.03.017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F76F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34722" w14:textId="77777777" w:rsidR="00A16061" w:rsidRDefault="00000000">
            <w:pPr>
              <w:spacing w:line="264" w:lineRule="auto"/>
            </w:pPr>
            <w:hyperlink r:id="rId154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6B5F6E60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CCD26A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Khurana RN, Li C, Lum F. Loss to Follow-up in Patients with Neovascular Age-Related Macular Degeneration Treated with Anti-VEGF Therapy in the United States in the IRIS Registry. Ophthalmology. 2023;130(7):672-683. </w:t>
            </w:r>
            <w:proofErr w:type="gramStart"/>
            <w:r>
              <w:rPr>
                <w:b/>
                <w:sz w:val="19"/>
              </w:rPr>
              <w:t>doi:10.1016/j.ophtha</w:t>
            </w:r>
            <w:proofErr w:type="gramEnd"/>
            <w:r>
              <w:rPr>
                <w:b/>
                <w:sz w:val="19"/>
              </w:rPr>
              <w:t>.2023.02.021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11A59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CD3A0" w14:textId="77777777" w:rsidR="00A16061" w:rsidRDefault="00000000">
            <w:pPr>
              <w:spacing w:line="264" w:lineRule="auto"/>
            </w:pPr>
            <w:hyperlink r:id="rId155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39209124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A3D21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Gong D, Ross C, Hall N, et al. Fellow Eyes Conversion Rates in Patients </w:t>
            </w:r>
            <w:proofErr w:type="gramStart"/>
            <w:r>
              <w:rPr>
                <w:b/>
                <w:sz w:val="19"/>
              </w:rPr>
              <w:t>With</w:t>
            </w:r>
            <w:proofErr w:type="gramEnd"/>
            <w:r>
              <w:rPr>
                <w:b/>
                <w:sz w:val="19"/>
              </w:rPr>
              <w:t xml:space="preserve"> Unilateral Exudative Age-Related Macular Degeneration: An Academy IRIS Registry Analysis. Ophthalmic Surg Lasers Imaging Retina. 2024;55(4):220-226. doi:10.3928/23258160-20240125-01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7F653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1B81A" w14:textId="77777777" w:rsidR="00A16061" w:rsidRDefault="00000000">
            <w:pPr>
              <w:spacing w:line="264" w:lineRule="auto"/>
            </w:pPr>
            <w:hyperlink r:id="rId156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26E9340A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6CE7CC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Acharya B, </w:t>
            </w:r>
            <w:proofErr w:type="spellStart"/>
            <w:r>
              <w:rPr>
                <w:b/>
                <w:sz w:val="19"/>
              </w:rPr>
              <w:t>Momenaei</w:t>
            </w:r>
            <w:proofErr w:type="spellEnd"/>
            <w:r>
              <w:rPr>
                <w:b/>
                <w:sz w:val="19"/>
              </w:rPr>
              <w:t xml:space="preserve"> B, Zhang Q, Hyman L, Haller JA, IRIS Analytic Center Consortium. Disparities in Presentation and Anti-VEGF Therapy Initiation for Neovascular Age-Related Macular Degeneration: An Analysis of the Academy IRIS Registry (Intelligent Research in Sight). Ophthalmology. 2025;132(12):1411-1421. </w:t>
            </w:r>
            <w:proofErr w:type="gramStart"/>
            <w:r>
              <w:rPr>
                <w:b/>
                <w:sz w:val="19"/>
              </w:rPr>
              <w:t>doi:10.1016/j.ophtha</w:t>
            </w:r>
            <w:proofErr w:type="gramEnd"/>
            <w:r>
              <w:rPr>
                <w:b/>
                <w:sz w:val="19"/>
              </w:rPr>
              <w:t>.2025.07.024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54F28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A8765" w14:textId="77777777" w:rsidR="00A16061" w:rsidRDefault="00000000">
            <w:pPr>
              <w:spacing w:line="264" w:lineRule="auto"/>
            </w:pPr>
            <w:hyperlink r:id="rId157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001B361F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E3155" w14:textId="77777777" w:rsidR="00A16061" w:rsidRDefault="00000000">
            <w:pPr>
              <w:spacing w:line="264" w:lineRule="auto"/>
            </w:pPr>
            <w:proofErr w:type="spellStart"/>
            <w:r>
              <w:rPr>
                <w:b/>
                <w:sz w:val="19"/>
              </w:rPr>
              <w:t>Barikian</w:t>
            </w:r>
            <w:proofErr w:type="spellEnd"/>
            <w:r>
              <w:rPr>
                <w:b/>
                <w:sz w:val="19"/>
              </w:rPr>
              <w:t xml:space="preserve"> A, Kumar JB, McCullough AJ, et al. Characteristics and Outcomes of Patients with Neovascular Age-Related Macular Degeneration by Anti-VEGF Exposure in United States Clinical Practice.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Retina. 2026;10(1):71-80. </w:t>
            </w:r>
            <w:proofErr w:type="gramStart"/>
            <w:r>
              <w:rPr>
                <w:b/>
                <w:sz w:val="19"/>
              </w:rPr>
              <w:t>doi:10.1016/j.oret</w:t>
            </w:r>
            <w:proofErr w:type="gramEnd"/>
            <w:r>
              <w:rPr>
                <w:b/>
                <w:sz w:val="19"/>
              </w:rPr>
              <w:t>.2025.06.016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7719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0D2397" w14:textId="77777777" w:rsidR="00A16061" w:rsidRDefault="00000000">
            <w:pPr>
              <w:spacing w:line="264" w:lineRule="auto"/>
            </w:pPr>
            <w:hyperlink r:id="rId158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70000908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F7E3B5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Ali FS, Tabano DC, Borkar DS, et al. Early Outcomes After Initiation of </w:t>
            </w:r>
            <w:proofErr w:type="spellStart"/>
            <w:r>
              <w:rPr>
                <w:b/>
                <w:sz w:val="19"/>
              </w:rPr>
              <w:t>Faricimab</w:t>
            </w:r>
            <w:proofErr w:type="spellEnd"/>
            <w:r>
              <w:rPr>
                <w:b/>
                <w:sz w:val="19"/>
              </w:rPr>
              <w:t xml:space="preserve"> for Neovascular Age-Related Macular Degeneration. Ophthalmic Surg Lasers Imaging Retina. 2025;56(8):468-477. doi:10.3928/23258160-20250304-02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7632E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4CE6E" w14:textId="77777777" w:rsidR="00A16061" w:rsidRDefault="00000000">
            <w:pPr>
              <w:spacing w:line="264" w:lineRule="auto"/>
            </w:pPr>
            <w:hyperlink r:id="rId159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133E04A2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7652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Tabano DC, Ali FS, Borkar DS, et al. One-year Real-world Outcomes </w:t>
            </w:r>
            <w:proofErr w:type="gramStart"/>
            <w:r>
              <w:rPr>
                <w:b/>
                <w:sz w:val="19"/>
              </w:rPr>
              <w:t>With</w:t>
            </w:r>
            <w:proofErr w:type="gram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Faricimab</w:t>
            </w:r>
            <w:proofErr w:type="spellEnd"/>
            <w:r>
              <w:rPr>
                <w:b/>
                <w:sz w:val="19"/>
              </w:rPr>
              <w:t xml:space="preserve"> in Neovascular Age-related Macular Degeneration. Ophthalmic Surg Lasers Imaging Retina. 2026;57(4):242-250. doi:10.3928/23258160-20260302-02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A05CB7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11A043" w14:textId="77777777" w:rsidR="00A16061" w:rsidRDefault="00000000">
            <w:pPr>
              <w:spacing w:line="264" w:lineRule="auto"/>
            </w:pPr>
            <w:hyperlink r:id="rId160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5E294677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4699B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American Society of Retina Specialists. Conversion Rates from Nonexudative to Exudative Age-Related Macular Degeneration: An AAO IRIS Registry Analysis. Presented at: ASRS Annual Meeting; 2022.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44656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B21B7" w14:textId="77777777" w:rsidR="00A16061" w:rsidRDefault="00000000">
            <w:pPr>
              <w:spacing w:line="264" w:lineRule="auto"/>
            </w:pPr>
            <w:hyperlink r:id="rId161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73C07802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812D0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Leng T, et al. Long-term Experience </w:t>
            </w:r>
            <w:proofErr w:type="gramStart"/>
            <w:r>
              <w:rPr>
                <w:b/>
                <w:sz w:val="19"/>
              </w:rPr>
              <w:t>With</w:t>
            </w:r>
            <w:proofErr w:type="gramEnd"/>
            <w:r>
              <w:rPr>
                <w:b/>
                <w:sz w:val="19"/>
              </w:rPr>
              <w:t xml:space="preserve"> Intravitreal Anti-VEGF in Patients With </w:t>
            </w:r>
            <w:proofErr w:type="spellStart"/>
            <w:r>
              <w:rPr>
                <w:b/>
                <w:sz w:val="19"/>
              </w:rPr>
              <w:t>nAMD</w:t>
            </w:r>
            <w:proofErr w:type="spellEnd"/>
            <w:r>
              <w:rPr>
                <w:b/>
                <w:sz w:val="19"/>
              </w:rPr>
              <w:t>: Analysis of Intelligent Research in Sight Registry. Presented at: ASRS Annual Meeting; 2021.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951AB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EC4CB" w14:textId="77777777" w:rsidR="00A16061" w:rsidRDefault="00000000">
            <w:pPr>
              <w:spacing w:line="264" w:lineRule="auto"/>
            </w:pPr>
            <w:hyperlink r:id="rId162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0237AB4E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C8E3E1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Leng T, et al. IRIS Registry Analysis of Anti-VEGF Treatment in Patients </w:t>
            </w:r>
            <w:proofErr w:type="gramStart"/>
            <w:r>
              <w:rPr>
                <w:b/>
                <w:sz w:val="19"/>
              </w:rPr>
              <w:t>With</w:t>
            </w:r>
            <w:proofErr w:type="gramEnd"/>
            <w:r>
              <w:rPr>
                <w:b/>
                <w:sz w:val="19"/>
              </w:rPr>
              <w:t xml:space="preserve"> Coexisting Neovascular Age-Related Macular Degeneration and Geographic Atrophy. Presented at: ARVO Annual Meeting; 2024.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B120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4F1724" w14:textId="77777777" w:rsidR="00A16061" w:rsidRDefault="00000000">
            <w:pPr>
              <w:spacing w:line="264" w:lineRule="auto"/>
            </w:pPr>
            <w:hyperlink r:id="rId163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12087AAA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B3801E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lastRenderedPageBreak/>
              <w:t xml:space="preserve">Verana Health. Early Real-World Patient Outcomes After </w:t>
            </w:r>
            <w:proofErr w:type="spellStart"/>
            <w:r>
              <w:rPr>
                <w:b/>
                <w:sz w:val="19"/>
              </w:rPr>
              <w:t>Faricimab</w:t>
            </w:r>
            <w:proofErr w:type="spellEnd"/>
            <w:r>
              <w:rPr>
                <w:b/>
                <w:sz w:val="19"/>
              </w:rPr>
              <w:t xml:space="preserve"> Treatment in Neovascular Age-Related Macular Degeneration: The FARETINA-AMD Study. Invest </w:t>
            </w:r>
            <w:proofErr w:type="spellStart"/>
            <w:r>
              <w:rPr>
                <w:b/>
                <w:sz w:val="19"/>
              </w:rPr>
              <w:t>Ophthalmol</w:t>
            </w:r>
            <w:proofErr w:type="spellEnd"/>
            <w:r>
              <w:rPr>
                <w:b/>
                <w:sz w:val="19"/>
              </w:rPr>
              <w:t xml:space="preserve"> Vis Sci. 2023;64(8</w:t>
            </w:r>
            <w:proofErr w:type="gramStart"/>
            <w:r>
              <w:rPr>
                <w:b/>
                <w:sz w:val="19"/>
              </w:rPr>
              <w:t>):abstract</w:t>
            </w:r>
            <w:proofErr w:type="gramEnd"/>
            <w:r>
              <w:rPr>
                <w:b/>
                <w:sz w:val="19"/>
              </w:rPr>
              <w:t xml:space="preserve"> 5192.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6BBE4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30521" w14:textId="77777777" w:rsidR="00A16061" w:rsidRDefault="00000000">
            <w:pPr>
              <w:spacing w:line="264" w:lineRule="auto"/>
            </w:pPr>
            <w:hyperlink r:id="rId164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66760383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67DA8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>Khurana RN, et al. Loss to Follow-Up in Patients with Neovascular Age-related Macular Degeneration. Presented at: Retina Society Annual Meeting; 2020.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F9530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AB0F48" w14:textId="77777777" w:rsidR="00A16061" w:rsidRDefault="00000000">
            <w:pPr>
              <w:spacing w:line="264" w:lineRule="auto"/>
            </w:pPr>
            <w:hyperlink r:id="rId165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5602F1F1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1A7EF" w14:textId="77777777" w:rsidR="00A16061" w:rsidRDefault="00000000">
            <w:pPr>
              <w:spacing w:line="264" w:lineRule="auto"/>
            </w:pPr>
            <w:proofErr w:type="spellStart"/>
            <w:r>
              <w:rPr>
                <w:b/>
                <w:sz w:val="19"/>
              </w:rPr>
              <w:t>Ashourizadeh</w:t>
            </w:r>
            <w:proofErr w:type="spellEnd"/>
            <w:r>
              <w:rPr>
                <w:b/>
                <w:sz w:val="19"/>
              </w:rPr>
              <w:t xml:space="preserve"> H, et al. Cataract Surgery and the Risk of Conversion from Dry to Neovascular Age-related Macular Degeneration in the IRIS Registry. Research Square. Preprint posted 2026. doi:10.21203/rs.3.rs-5505014/v2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45285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F6F1E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E71DD" w14:textId="77777777" w:rsidR="00A16061" w:rsidRDefault="00000000">
            <w:pPr>
              <w:spacing w:line="264" w:lineRule="auto"/>
            </w:pPr>
            <w:hyperlink r:id="rId166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  <w:tr w:rsidR="00A16061" w14:paraId="2303FF5D" w14:textId="77777777">
        <w:tc>
          <w:tcPr>
            <w:tcW w:w="9000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88F67" w14:textId="77777777" w:rsidR="00A16061" w:rsidRDefault="00000000">
            <w:pPr>
              <w:spacing w:line="264" w:lineRule="auto"/>
            </w:pPr>
            <w:r>
              <w:rPr>
                <w:b/>
                <w:sz w:val="19"/>
              </w:rPr>
              <w:t xml:space="preserve">IRIS Registry Wet AMD / </w:t>
            </w:r>
            <w:proofErr w:type="spellStart"/>
            <w:r>
              <w:rPr>
                <w:b/>
                <w:sz w:val="19"/>
              </w:rPr>
              <w:t>nAMD</w:t>
            </w:r>
            <w:proofErr w:type="spellEnd"/>
            <w:r>
              <w:rPr>
                <w:b/>
                <w:sz w:val="19"/>
              </w:rPr>
              <w:t xml:space="preserve"> Publication Manifest. Local research manifest. Accessed June 4, 2026.</w:t>
            </w:r>
          </w:p>
        </w:tc>
        <w:tc>
          <w:tcPr>
            <w:tcW w:w="35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24EFD" w14:textId="77777777" w:rsidR="00A16061" w:rsidRDefault="00000000">
            <w:pPr>
              <w:spacing w:line="264" w:lineRule="auto"/>
            </w:pPr>
            <w:r>
              <w:rPr>
                <w:sz w:val="19"/>
              </w:rPr>
              <w:t>Primary linked source for cited statements/tables.</w:t>
            </w:r>
          </w:p>
        </w:tc>
        <w:tc>
          <w:tcPr>
            <w:tcW w:w="1728" w:type="dxa"/>
            <w:tcBorders>
              <w:top w:val="single" w:sz="4" w:space="0" w:color="1B1F17"/>
              <w:left w:val="single" w:sz="4" w:space="0" w:color="1B1F17"/>
              <w:bottom w:val="single" w:sz="4" w:space="0" w:color="1B1F17"/>
              <w:right w:val="single" w:sz="4" w:space="0" w:color="1B1F17"/>
            </w:tcBorders>
            <w:shd w:val="clear" w:color="auto" w:fill="EBE4D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D2151" w14:textId="77777777" w:rsidR="00A16061" w:rsidRDefault="00000000">
            <w:pPr>
              <w:spacing w:line="264" w:lineRule="auto"/>
            </w:pPr>
            <w:hyperlink r:id="rId167">
              <w:r>
                <w:rPr>
                  <w:rStyle w:val="Hyperlink"/>
                  <w:color w:val="025E8D"/>
                  <w:sz w:val="19"/>
                  <w:szCs w:val="19"/>
                </w:rPr>
                <w:t>open</w:t>
              </w:r>
            </w:hyperlink>
          </w:p>
        </w:tc>
      </w:tr>
    </w:tbl>
    <w:p w14:paraId="6B684B94" w14:textId="77777777" w:rsidR="004F7239" w:rsidRDefault="004F7239"/>
    <w:sectPr w:rsidR="004F7239">
      <w:headerReference w:type="even" r:id="rId168"/>
      <w:headerReference w:type="default" r:id="rId169"/>
      <w:footerReference w:type="even" r:id="rId170"/>
      <w:footerReference w:type="default" r:id="rId171"/>
      <w:headerReference w:type="first" r:id="rId172"/>
      <w:footerReference w:type="first" r:id="rId173"/>
      <w:pgSz w:w="15840" w:h="12240" w:orient="landscape"/>
      <w:pgMar w:top="792" w:right="792" w:bottom="792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A64C6" w14:textId="77777777" w:rsidR="004F7239" w:rsidRDefault="004F7239">
      <w:r>
        <w:separator/>
      </w:r>
    </w:p>
  </w:endnote>
  <w:endnote w:type="continuationSeparator" w:id="0">
    <w:p w14:paraId="65FA58B9" w14:textId="77777777" w:rsidR="004F7239" w:rsidRDefault="004F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altName w:val="Calibri"/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1F8D" w14:textId="77777777" w:rsidR="00707F1A" w:rsidRDefault="00707F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8A279" w14:textId="77777777" w:rsidR="00592533" w:rsidRDefault="00592533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6AA7" w14:textId="77777777" w:rsidR="00707F1A" w:rsidRDefault="00707F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A5FC" w14:textId="77777777" w:rsidR="00A16061" w:rsidRDefault="00A1606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ADAD" w14:textId="77777777" w:rsidR="00A16061" w:rsidRDefault="00A1606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BA6D" w14:textId="77777777" w:rsidR="00A16061" w:rsidRDefault="00A16061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8FEB" w14:textId="77777777" w:rsidR="00A16061" w:rsidRDefault="00A16061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EF48" w14:textId="77777777" w:rsidR="00A16061" w:rsidRDefault="00A16061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900E" w14:textId="77777777" w:rsidR="00A16061" w:rsidRDefault="00A16061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87DA" w14:textId="77777777" w:rsidR="00A16061" w:rsidRDefault="00A16061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DB63" w14:textId="77777777" w:rsidR="00A16061" w:rsidRDefault="00A16061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BCE5" w14:textId="77777777" w:rsidR="00A16061" w:rsidRDefault="00A16061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C8C2" w14:textId="77777777" w:rsidR="00A16061" w:rsidRDefault="00A16061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9F71" w14:textId="77777777" w:rsidR="00A16061" w:rsidRDefault="00A16061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21DC" w14:textId="77777777" w:rsidR="00A16061" w:rsidRDefault="00A16061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C59F" w14:textId="77777777" w:rsidR="00A16061" w:rsidRDefault="00A16061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D754" w14:textId="77777777" w:rsidR="00A16061" w:rsidRDefault="00A16061">
    <w:pPr>
      <w:pStyle w:val="Foo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2C18" w14:textId="77777777" w:rsidR="00A16061" w:rsidRDefault="00A16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B4EC" w14:textId="77777777" w:rsidR="004F7239" w:rsidRDefault="004F7239">
      <w:r>
        <w:separator/>
      </w:r>
    </w:p>
  </w:footnote>
  <w:footnote w:type="continuationSeparator" w:id="0">
    <w:p w14:paraId="34D7A36B" w14:textId="77777777" w:rsidR="004F7239" w:rsidRDefault="004F7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4A8C" w14:textId="77777777" w:rsidR="00707F1A" w:rsidRDefault="00707F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DECD" w14:textId="77777777" w:rsidR="00592533" w:rsidRDefault="0059253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57EB" w14:textId="77777777" w:rsidR="00707F1A" w:rsidRDefault="00707F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4E79" w14:textId="77777777" w:rsidR="00A16061" w:rsidRDefault="00A1606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DA19" w14:textId="77777777" w:rsidR="00A16061" w:rsidRDefault="00A1606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9E91" w14:textId="77777777" w:rsidR="00A16061" w:rsidRDefault="00A1606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CB04" w14:textId="77777777" w:rsidR="00A16061" w:rsidRDefault="00A16061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E3F8" w14:textId="77777777" w:rsidR="00A16061" w:rsidRDefault="00A16061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E01B" w14:textId="77777777" w:rsidR="00A16061" w:rsidRDefault="00A16061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8EFF" w14:textId="77777777" w:rsidR="00A16061" w:rsidRDefault="00A16061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9372" w14:textId="77777777" w:rsidR="00A16061" w:rsidRDefault="00A16061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8540" w14:textId="77777777" w:rsidR="00A16061" w:rsidRDefault="00A16061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0163" w14:textId="77777777" w:rsidR="00A16061" w:rsidRDefault="00A16061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6BFD" w14:textId="77777777" w:rsidR="00A16061" w:rsidRDefault="00A16061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799" w14:textId="77777777" w:rsidR="00A16061" w:rsidRDefault="00A16061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8214" w14:textId="77777777" w:rsidR="00A16061" w:rsidRDefault="00A16061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C6C1" w14:textId="77777777" w:rsidR="00A16061" w:rsidRDefault="00A16061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E027" w14:textId="77777777" w:rsidR="00A16061" w:rsidRDefault="00A160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7351"/>
    <w:multiLevelType w:val="hybridMultilevel"/>
    <w:tmpl w:val="944A5FC2"/>
    <w:lvl w:ilvl="0" w:tplc="273A52A4">
      <w:start w:val="1"/>
      <w:numFmt w:val="bullet"/>
      <w:lvlText w:val="—"/>
      <w:lvlJc w:val="left"/>
      <w:pPr>
        <w:ind w:left="460" w:hanging="280"/>
      </w:pPr>
    </w:lvl>
    <w:lvl w:ilvl="1" w:tplc="C482269E">
      <w:numFmt w:val="decimal"/>
      <w:lvlText w:val=""/>
      <w:lvlJc w:val="left"/>
    </w:lvl>
    <w:lvl w:ilvl="2" w:tplc="DB90CE4E">
      <w:numFmt w:val="decimal"/>
      <w:lvlText w:val=""/>
      <w:lvlJc w:val="left"/>
    </w:lvl>
    <w:lvl w:ilvl="3" w:tplc="FD9AAA5A">
      <w:numFmt w:val="decimal"/>
      <w:lvlText w:val=""/>
      <w:lvlJc w:val="left"/>
    </w:lvl>
    <w:lvl w:ilvl="4" w:tplc="F3882856">
      <w:numFmt w:val="decimal"/>
      <w:lvlText w:val=""/>
      <w:lvlJc w:val="left"/>
    </w:lvl>
    <w:lvl w:ilvl="5" w:tplc="E3024EA2">
      <w:numFmt w:val="decimal"/>
      <w:lvlText w:val=""/>
      <w:lvlJc w:val="left"/>
    </w:lvl>
    <w:lvl w:ilvl="6" w:tplc="301E6EEA">
      <w:numFmt w:val="decimal"/>
      <w:lvlText w:val=""/>
      <w:lvlJc w:val="left"/>
    </w:lvl>
    <w:lvl w:ilvl="7" w:tplc="6016A02E">
      <w:numFmt w:val="decimal"/>
      <w:lvlText w:val=""/>
      <w:lvlJc w:val="left"/>
    </w:lvl>
    <w:lvl w:ilvl="8" w:tplc="6F5E0494">
      <w:numFmt w:val="decimal"/>
      <w:lvlText w:val=""/>
      <w:lvlJc w:val="left"/>
    </w:lvl>
  </w:abstractNum>
  <w:abstractNum w:abstractNumId="1" w15:restartNumberingAfterBreak="0">
    <w:nsid w:val="17AB405F"/>
    <w:multiLevelType w:val="hybridMultilevel"/>
    <w:tmpl w:val="4E84AB3A"/>
    <w:lvl w:ilvl="0" w:tplc="4BDA47C6">
      <w:start w:val="1"/>
      <w:numFmt w:val="bullet"/>
      <w:lvlText w:val="●"/>
      <w:lvlJc w:val="left"/>
      <w:pPr>
        <w:ind w:left="720" w:hanging="360"/>
      </w:pPr>
    </w:lvl>
    <w:lvl w:ilvl="1" w:tplc="EC20398E">
      <w:start w:val="1"/>
      <w:numFmt w:val="bullet"/>
      <w:lvlText w:val="○"/>
      <w:lvlJc w:val="left"/>
      <w:pPr>
        <w:ind w:left="1440" w:hanging="360"/>
      </w:pPr>
    </w:lvl>
    <w:lvl w:ilvl="2" w:tplc="678CEA7A">
      <w:start w:val="1"/>
      <w:numFmt w:val="bullet"/>
      <w:lvlText w:val="■"/>
      <w:lvlJc w:val="left"/>
      <w:pPr>
        <w:ind w:left="2160" w:hanging="360"/>
      </w:pPr>
    </w:lvl>
    <w:lvl w:ilvl="3" w:tplc="E140EE96">
      <w:start w:val="1"/>
      <w:numFmt w:val="bullet"/>
      <w:lvlText w:val="●"/>
      <w:lvlJc w:val="left"/>
      <w:pPr>
        <w:ind w:left="2880" w:hanging="360"/>
      </w:pPr>
    </w:lvl>
    <w:lvl w:ilvl="4" w:tplc="A30C8984">
      <w:start w:val="1"/>
      <w:numFmt w:val="bullet"/>
      <w:lvlText w:val="○"/>
      <w:lvlJc w:val="left"/>
      <w:pPr>
        <w:ind w:left="3600" w:hanging="360"/>
      </w:pPr>
    </w:lvl>
    <w:lvl w:ilvl="5" w:tplc="0C766288">
      <w:start w:val="1"/>
      <w:numFmt w:val="bullet"/>
      <w:lvlText w:val="■"/>
      <w:lvlJc w:val="left"/>
      <w:pPr>
        <w:ind w:left="4320" w:hanging="360"/>
      </w:pPr>
    </w:lvl>
    <w:lvl w:ilvl="6" w:tplc="6D68A91E">
      <w:start w:val="1"/>
      <w:numFmt w:val="bullet"/>
      <w:lvlText w:val="●"/>
      <w:lvlJc w:val="left"/>
      <w:pPr>
        <w:ind w:left="5040" w:hanging="360"/>
      </w:pPr>
    </w:lvl>
    <w:lvl w:ilvl="7" w:tplc="667656AC">
      <w:start w:val="1"/>
      <w:numFmt w:val="bullet"/>
      <w:lvlText w:val="●"/>
      <w:lvlJc w:val="left"/>
      <w:pPr>
        <w:ind w:left="5760" w:hanging="360"/>
      </w:pPr>
    </w:lvl>
    <w:lvl w:ilvl="8" w:tplc="81D666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E81794"/>
    <w:multiLevelType w:val="hybridMultilevel"/>
    <w:tmpl w:val="81B212BC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4B9E277F"/>
    <w:multiLevelType w:val="singleLevel"/>
    <w:tmpl w:val="D228F86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Symbol" w:hAnsi="Symbol"/>
      </w:rPr>
    </w:lvl>
  </w:abstractNum>
  <w:num w:numId="1" w16cid:durableId="960069017">
    <w:abstractNumId w:val="3"/>
  </w:num>
  <w:num w:numId="2" w16cid:durableId="1323581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533"/>
    <w:rsid w:val="0022477B"/>
    <w:rsid w:val="002537A4"/>
    <w:rsid w:val="003A3A9E"/>
    <w:rsid w:val="00437172"/>
    <w:rsid w:val="00472417"/>
    <w:rsid w:val="004F7239"/>
    <w:rsid w:val="0058356B"/>
    <w:rsid w:val="00592533"/>
    <w:rsid w:val="00707F1A"/>
    <w:rsid w:val="00715A81"/>
    <w:rsid w:val="0073024C"/>
    <w:rsid w:val="007454B4"/>
    <w:rsid w:val="00A16061"/>
    <w:rsid w:val="00AB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639F"/>
  <w15:docId w15:val="{8F18C187-5D52-4D7F-9EAA-74916A27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B1F1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7F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F1A"/>
  </w:style>
  <w:style w:type="paragraph" w:styleId="Footer">
    <w:name w:val="footer"/>
    <w:basedOn w:val="Normal"/>
    <w:link w:val="FooterChar"/>
    <w:uiPriority w:val="99"/>
    <w:unhideWhenUsed/>
    <w:rsid w:val="00707F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ubmed.ncbi.nlm.nih.gov/40738331/" TargetMode="External"/><Relationship Id="rId21" Type="http://schemas.openxmlformats.org/officeDocument/2006/relationships/hyperlink" Target="https://pmc.ncbi.nlm.nih.gov/articles/PMC8613703/" TargetMode="External"/><Relationship Id="rId42" Type="http://schemas.openxmlformats.org/officeDocument/2006/relationships/header" Target="header3.xml"/><Relationship Id="rId63" Type="http://schemas.openxmlformats.org/officeDocument/2006/relationships/hyperlink" Target="https://pubmed.ncbi.nlm.nih.gov/38187126/" TargetMode="External"/><Relationship Id="rId84" Type="http://schemas.openxmlformats.org/officeDocument/2006/relationships/hyperlink" Target="https://pmc.ncbi.nlm.nih.gov/articles/instance/8613703/bin/jamaophthalmol-e214585-s001.pdf" TargetMode="External"/><Relationship Id="rId138" Type="http://schemas.openxmlformats.org/officeDocument/2006/relationships/header" Target="header13.xml"/><Relationship Id="rId159" Type="http://schemas.openxmlformats.org/officeDocument/2006/relationships/hyperlink" Target="https://pubmed.ncbi.nlm.nih.gov/40371970/" TargetMode="External"/><Relationship Id="rId170" Type="http://schemas.openxmlformats.org/officeDocument/2006/relationships/footer" Target="footer16.xml"/><Relationship Id="rId107" Type="http://schemas.openxmlformats.org/officeDocument/2006/relationships/hyperlink" Target="https://pmc.ncbi.nlm.nih.gov/articles/PMC10767511/" TargetMode="External"/><Relationship Id="rId11" Type="http://schemas.openxmlformats.org/officeDocument/2006/relationships/hyperlink" Target="https://pmc.ncbi.nlm.nih.gov/articles/PMC10767511/" TargetMode="External"/><Relationship Id="rId32" Type="http://schemas.openxmlformats.org/officeDocument/2006/relationships/hyperlink" Target="https://www.retinasociety.org/content/meetingarchive/2020/khurana-rahul-loss-to-follow-up.pdf" TargetMode="External"/><Relationship Id="rId53" Type="http://schemas.openxmlformats.org/officeDocument/2006/relationships/hyperlink" Target="https://medically.gene.com/content/dam/pdmahub/restricted/ophthalmology/asrs-2021/ASRS-2021-presentation-leng-long-term-experience-W-ith-intravitreal-anti-VEGF-in-patients-with-nAMD-analysis-of-intelligent-research-in-sight.pdf" TargetMode="External"/><Relationship Id="rId74" Type="http://schemas.openxmlformats.org/officeDocument/2006/relationships/header" Target="header6.xml"/><Relationship Id="rId128" Type="http://schemas.openxmlformats.org/officeDocument/2006/relationships/hyperlink" Target="https://pmc.ncbi.nlm.nih.gov/articles/PMC8613703/" TargetMode="External"/><Relationship Id="rId149" Type="http://schemas.openxmlformats.org/officeDocument/2006/relationships/hyperlink" Target="https://pmc.ncbi.nlm.nih.gov/articles/instance/8613703/bin/jamaophthalmol-e214585-s001.pdf" TargetMode="External"/><Relationship Id="rId5" Type="http://schemas.openxmlformats.org/officeDocument/2006/relationships/footnotes" Target="footnotes.xml"/><Relationship Id="rId95" Type="http://schemas.openxmlformats.org/officeDocument/2006/relationships/footer" Target="footer7.xml"/><Relationship Id="rId160" Type="http://schemas.openxmlformats.org/officeDocument/2006/relationships/hyperlink" Target="https://pubmed.ncbi.nlm.nih.gov/41891889/" TargetMode="External"/><Relationship Id="rId22" Type="http://schemas.openxmlformats.org/officeDocument/2006/relationships/hyperlink" Target="https://iovs.arvojournals.org/article.aspx?articleid=2787245" TargetMode="External"/><Relationship Id="rId43" Type="http://schemas.openxmlformats.org/officeDocument/2006/relationships/footer" Target="footer3.xml"/><Relationship Id="rId64" Type="http://schemas.openxmlformats.org/officeDocument/2006/relationships/hyperlink" Target="https://pubmed.ncbi.nlm.nih.gov/38520643/" TargetMode="External"/><Relationship Id="rId118" Type="http://schemas.openxmlformats.org/officeDocument/2006/relationships/hyperlink" Target="https://pmc.ncbi.nlm.nih.gov/articles/PMC10748734/" TargetMode="External"/><Relationship Id="rId139" Type="http://schemas.openxmlformats.org/officeDocument/2006/relationships/header" Target="header14.xml"/><Relationship Id="rId85" Type="http://schemas.openxmlformats.org/officeDocument/2006/relationships/hyperlink" Target="https://link.springer.com/article/10.1007/s40123-024-00920-3" TargetMode="External"/><Relationship Id="rId150" Type="http://schemas.openxmlformats.org/officeDocument/2006/relationships/hyperlink" Target="https://link.springer.com/article/10.1007/s40123-024-00920-3" TargetMode="External"/><Relationship Id="rId171" Type="http://schemas.openxmlformats.org/officeDocument/2006/relationships/footer" Target="footer17.xml"/><Relationship Id="rId12" Type="http://schemas.openxmlformats.org/officeDocument/2006/relationships/hyperlink" Target="https://pmc.ncbi.nlm.nih.gov/articles/PMC10748734/" TargetMode="External"/><Relationship Id="rId33" Type="http://schemas.openxmlformats.org/officeDocument/2006/relationships/hyperlink" Target="https://pubmed.ncbi.nlm.nih.gov/34863677/" TargetMode="External"/><Relationship Id="rId108" Type="http://schemas.openxmlformats.org/officeDocument/2006/relationships/hyperlink" Target="https://pmc.ncbi.nlm.nih.gov/articles/PMC10767511/" TargetMode="External"/><Relationship Id="rId129" Type="http://schemas.openxmlformats.org/officeDocument/2006/relationships/hyperlink" Target="https://pubmed.ncbi.nlm.nih.gov/38319061/" TargetMode="External"/><Relationship Id="rId54" Type="http://schemas.openxmlformats.org/officeDocument/2006/relationships/hyperlink" Target="https://pubmed.ncbi.nlm.nih.gov/34817566/" TargetMode="External"/><Relationship Id="rId75" Type="http://schemas.openxmlformats.org/officeDocument/2006/relationships/footer" Target="footer6.xml"/><Relationship Id="rId96" Type="http://schemas.openxmlformats.org/officeDocument/2006/relationships/footer" Target="footer8.xml"/><Relationship Id="rId140" Type="http://schemas.openxmlformats.org/officeDocument/2006/relationships/footer" Target="footer13.xml"/><Relationship Id="rId161" Type="http://schemas.openxmlformats.org/officeDocument/2006/relationships/hyperlink" Target="https://www.asrs.org/content/documents/wet-amd-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pubmed.ncbi.nlm.nih.gov/38319061/" TargetMode="External"/><Relationship Id="rId28" Type="http://schemas.openxmlformats.org/officeDocument/2006/relationships/hyperlink" Target="https://pmc.ncbi.nlm.nih.gov/articles/PMC11179401/" TargetMode="External"/><Relationship Id="rId49" Type="http://schemas.openxmlformats.org/officeDocument/2006/relationships/hyperlink" Target="https://pubmed.ncbi.nlm.nih.gov/29146306/" TargetMode="External"/><Relationship Id="rId114" Type="http://schemas.openxmlformats.org/officeDocument/2006/relationships/hyperlink" Target="https://pmc.ncbi.nlm.nih.gov/articles/PMC10748734/" TargetMode="External"/><Relationship Id="rId119" Type="http://schemas.openxmlformats.org/officeDocument/2006/relationships/hyperlink" Target="https://pmc.ncbi.nlm.nih.gov/articles/instance/8613703/bin/jamaophthalmol-e214585-s001.pdf" TargetMode="External"/><Relationship Id="rId44" Type="http://schemas.openxmlformats.org/officeDocument/2006/relationships/hyperlink" Target="https://pmc.ncbi.nlm.nih.gov/articles/PMC9754968/" TargetMode="External"/><Relationship Id="rId60" Type="http://schemas.openxmlformats.org/officeDocument/2006/relationships/hyperlink" Target="https://pubmed.ncbi.nlm.nih.gov/38881608/" TargetMode="External"/><Relationship Id="rId65" Type="http://schemas.openxmlformats.org/officeDocument/2006/relationships/hyperlink" Target="https://pubmed.ncbi.nlm.nih.gov/40738331/" TargetMode="External"/><Relationship Id="rId81" Type="http://schemas.openxmlformats.org/officeDocument/2006/relationships/hyperlink" Target="https://www.retinasociety.org/content/meetingarchive/2020/khurana-rahul-loss-to-follow-up.pdf" TargetMode="External"/><Relationship Id="rId86" Type="http://schemas.openxmlformats.org/officeDocument/2006/relationships/hyperlink" Target="https://static-content.springer.com/esm/art%3A10.1007%2Fs40123-024-00920-3/MediaObjects/40123_2024_920_MOESM1_ESM.pdf" TargetMode="External"/><Relationship Id="rId130" Type="http://schemas.openxmlformats.org/officeDocument/2006/relationships/hyperlink" Target="https://pubmed.ncbi.nlm.nih.gov/40738331/" TargetMode="External"/><Relationship Id="rId135" Type="http://schemas.openxmlformats.org/officeDocument/2006/relationships/hyperlink" Target="https://pubmed.ncbi.nlm.nih.gov/36858288/" TargetMode="External"/><Relationship Id="rId151" Type="http://schemas.openxmlformats.org/officeDocument/2006/relationships/hyperlink" Target="https://static-content.springer.com/esm/art%3A10.1007%2Fs40123-024-00920-3/MediaObjects/40123_2024_920_MOESM1_ESM.pdf" TargetMode="External"/><Relationship Id="rId156" Type="http://schemas.openxmlformats.org/officeDocument/2006/relationships/hyperlink" Target="https://pubmed.ncbi.nlm.nih.gov/38319061/" TargetMode="External"/><Relationship Id="rId172" Type="http://schemas.openxmlformats.org/officeDocument/2006/relationships/header" Target="header18.xml"/><Relationship Id="rId13" Type="http://schemas.openxmlformats.org/officeDocument/2006/relationships/hyperlink" Target="https://pmc.ncbi.nlm.nih.gov/articles/PMC8613703/" TargetMode="External"/><Relationship Id="rId18" Type="http://schemas.openxmlformats.org/officeDocument/2006/relationships/hyperlink" Target="https://pmc.ncbi.nlm.nih.gov/articles/PMC10767511/" TargetMode="External"/><Relationship Id="rId39" Type="http://schemas.openxmlformats.org/officeDocument/2006/relationships/header" Target="header2.xml"/><Relationship Id="rId109" Type="http://schemas.openxmlformats.org/officeDocument/2006/relationships/hyperlink" Target="https://veranahealth.com/wp-content/uploads/2024/05/Leng_ARVO-2024_nAMD-IRIS-Registry_Presentation_disclosure.pdf" TargetMode="External"/><Relationship Id="rId34" Type="http://schemas.openxmlformats.org/officeDocument/2006/relationships/hyperlink" Target="https://pubmed.ncbi.nlm.nih.gov/40738331/" TargetMode="External"/><Relationship Id="rId50" Type="http://schemas.openxmlformats.org/officeDocument/2006/relationships/hyperlink" Target="https://pubmed.ncbi.nlm.nih.gov/33231696/" TargetMode="External"/><Relationship Id="rId55" Type="http://schemas.openxmlformats.org/officeDocument/2006/relationships/hyperlink" Target="https://pubmed.ncbi.nlm.nih.gov/34863677/" TargetMode="External"/><Relationship Id="rId76" Type="http://schemas.openxmlformats.org/officeDocument/2006/relationships/hyperlink" Target="https://pmc.ncbi.nlm.nih.gov/articles/PMC10767511/" TargetMode="External"/><Relationship Id="rId97" Type="http://schemas.openxmlformats.org/officeDocument/2006/relationships/header" Target="header9.xml"/><Relationship Id="rId104" Type="http://schemas.openxmlformats.org/officeDocument/2006/relationships/hyperlink" Target="https://www.asrs.org/content/documents/wet-amd-1.pdf" TargetMode="External"/><Relationship Id="rId120" Type="http://schemas.openxmlformats.org/officeDocument/2006/relationships/header" Target="header10.xml"/><Relationship Id="rId125" Type="http://schemas.openxmlformats.org/officeDocument/2006/relationships/footer" Target="footer12.xml"/><Relationship Id="rId141" Type="http://schemas.openxmlformats.org/officeDocument/2006/relationships/footer" Target="footer14.xml"/><Relationship Id="rId146" Type="http://schemas.openxmlformats.org/officeDocument/2006/relationships/hyperlink" Target="https://pmc.ncbi.nlm.nih.gov/articles/PMC10748734/" TargetMode="External"/><Relationship Id="rId167" Type="http://schemas.openxmlformats.org/officeDocument/2006/relationships/hyperlink" Target="file:///C:/Users/Justin/Desktop/linkedin-posts-mac/iris_registry_wet_amd/publication_manifest.md" TargetMode="External"/><Relationship Id="rId7" Type="http://schemas.openxmlformats.org/officeDocument/2006/relationships/hyperlink" Target="https://www.aao.org/iris-registry/data-analysis/requirements" TargetMode="External"/><Relationship Id="rId71" Type="http://schemas.openxmlformats.org/officeDocument/2006/relationships/header" Target="header5.xml"/><Relationship Id="rId92" Type="http://schemas.openxmlformats.org/officeDocument/2006/relationships/hyperlink" Target="https://veranahealth.com/wp-content/uploads/2024/05/Leng_ARVO-2024_nAMD-IRIS-Registry_Presentation_disclosure.pdf" TargetMode="External"/><Relationship Id="rId162" Type="http://schemas.openxmlformats.org/officeDocument/2006/relationships/hyperlink" Target="https://medically.gene.com/content/dam/pdmahub/restricted/ophthalmology/asrs-2021/ASRS-2021-presentation-leng-long-term-experience-W-ith-intravitreal-anti-VEGF-in-patients-with-nAMD-analysis-of-intelligent-research-in-sight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pmc.ncbi.nlm.nih.gov/articles/PMC8613703/" TargetMode="External"/><Relationship Id="rId24" Type="http://schemas.openxmlformats.org/officeDocument/2006/relationships/hyperlink" Target="https://pmc.ncbi.nlm.nih.gov/articles/PMC10748734/" TargetMode="External"/><Relationship Id="rId40" Type="http://schemas.openxmlformats.org/officeDocument/2006/relationships/footer" Target="footer1.xml"/><Relationship Id="rId45" Type="http://schemas.openxmlformats.org/officeDocument/2006/relationships/hyperlink" Target="https://www.asrs.org/content/documents/wet-amd-1.pdf" TargetMode="External"/><Relationship Id="rId66" Type="http://schemas.openxmlformats.org/officeDocument/2006/relationships/hyperlink" Target="https://pubmed.ncbi.nlm.nih.gov/40371970/" TargetMode="External"/><Relationship Id="rId87" Type="http://schemas.openxmlformats.org/officeDocument/2006/relationships/hyperlink" Target="https://iovs.arvojournals.org/article.aspx?articleid=2787245" TargetMode="External"/><Relationship Id="rId110" Type="http://schemas.openxmlformats.org/officeDocument/2006/relationships/hyperlink" Target="https://pmc.ncbi.nlm.nih.gov/articles/PMC10767511/" TargetMode="External"/><Relationship Id="rId115" Type="http://schemas.openxmlformats.org/officeDocument/2006/relationships/hyperlink" Target="https://link.springer.com/article/10.1007/s40123-024-00920-3" TargetMode="External"/><Relationship Id="rId131" Type="http://schemas.openxmlformats.org/officeDocument/2006/relationships/hyperlink" Target="https://pmc.ncbi.nlm.nih.gov/articles/PMC10748734/" TargetMode="External"/><Relationship Id="rId136" Type="http://schemas.openxmlformats.org/officeDocument/2006/relationships/hyperlink" Target="https://pmc.ncbi.nlm.nih.gov/articles/PMC8613703/" TargetMode="External"/><Relationship Id="rId157" Type="http://schemas.openxmlformats.org/officeDocument/2006/relationships/hyperlink" Target="https://pubmed.ncbi.nlm.nih.gov/40738331/" TargetMode="External"/><Relationship Id="rId61" Type="http://schemas.openxmlformats.org/officeDocument/2006/relationships/hyperlink" Target="https://pubmed.ncbi.nlm.nih.gov/38319061/" TargetMode="External"/><Relationship Id="rId82" Type="http://schemas.openxmlformats.org/officeDocument/2006/relationships/hyperlink" Target="https://pubmed.ncbi.nlm.nih.gov/36858288/" TargetMode="External"/><Relationship Id="rId152" Type="http://schemas.openxmlformats.org/officeDocument/2006/relationships/hyperlink" Target="https://pmc.ncbi.nlm.nih.gov/articles/instance/10767511/bin/mmc2.pdf" TargetMode="External"/><Relationship Id="rId173" Type="http://schemas.openxmlformats.org/officeDocument/2006/relationships/footer" Target="footer18.xml"/><Relationship Id="rId19" Type="http://schemas.openxmlformats.org/officeDocument/2006/relationships/hyperlink" Target="https://pubmed.ncbi.nlm.nih.gov/34863677/" TargetMode="External"/><Relationship Id="rId14" Type="http://schemas.openxmlformats.org/officeDocument/2006/relationships/hyperlink" Target="https://pubmed.ncbi.nlm.nih.gov/36990322/" TargetMode="External"/><Relationship Id="rId30" Type="http://schemas.openxmlformats.org/officeDocument/2006/relationships/hyperlink" Target="https://www.asrs.org/content/documents/wet-amd-1.pdf" TargetMode="External"/><Relationship Id="rId35" Type="http://schemas.openxmlformats.org/officeDocument/2006/relationships/hyperlink" Target="https://pmc.ncbi.nlm.nih.gov/articles/PMC10748734/" TargetMode="External"/><Relationship Id="rId56" Type="http://schemas.openxmlformats.org/officeDocument/2006/relationships/hyperlink" Target="https://pubmed.ncbi.nlm.nih.gov/36626210/" TargetMode="External"/><Relationship Id="rId77" Type="http://schemas.openxmlformats.org/officeDocument/2006/relationships/hyperlink" Target="https://medically.gene.com/content/dam/pdmahub/restricted/ophthalmology/asrs-2021/ASRS-2021-presentation-leng-long-term-experience-W-ith-intravitreal-anti-VEGF-in-patients-with-nAMD-analysis-of-intelligent-research-in-sight.pdf" TargetMode="External"/><Relationship Id="rId100" Type="http://schemas.openxmlformats.org/officeDocument/2006/relationships/hyperlink" Target="https://pmc.ncbi.nlm.nih.gov/articles/PMC10748734/" TargetMode="External"/><Relationship Id="rId105" Type="http://schemas.openxmlformats.org/officeDocument/2006/relationships/hyperlink" Target="https://www.researchsquare.com/article/rs-5505014/v2" TargetMode="External"/><Relationship Id="rId126" Type="http://schemas.openxmlformats.org/officeDocument/2006/relationships/hyperlink" Target="https://pmc.ncbi.nlm.nih.gov/articles/PMC10767511/" TargetMode="External"/><Relationship Id="rId147" Type="http://schemas.openxmlformats.org/officeDocument/2006/relationships/hyperlink" Target="https://pmc.ncbi.nlm.nih.gov/articles/PMC11179401/" TargetMode="External"/><Relationship Id="rId168" Type="http://schemas.openxmlformats.org/officeDocument/2006/relationships/header" Target="header16.xml"/><Relationship Id="rId8" Type="http://schemas.openxmlformats.org/officeDocument/2006/relationships/hyperlink" Target="https://pmc.ncbi.nlm.nih.gov/articles/PMC10767511/" TargetMode="External"/><Relationship Id="rId51" Type="http://schemas.openxmlformats.org/officeDocument/2006/relationships/hyperlink" Target="https://www.retinasociety.org/content/meetingarchive/2020/khurana-rahul-loss-to-follow-up.pdf" TargetMode="External"/><Relationship Id="rId72" Type="http://schemas.openxmlformats.org/officeDocument/2006/relationships/footer" Target="footer4.xml"/><Relationship Id="rId93" Type="http://schemas.openxmlformats.org/officeDocument/2006/relationships/header" Target="header7.xml"/><Relationship Id="rId98" Type="http://schemas.openxmlformats.org/officeDocument/2006/relationships/footer" Target="footer9.xml"/><Relationship Id="rId121" Type="http://schemas.openxmlformats.org/officeDocument/2006/relationships/header" Target="header11.xml"/><Relationship Id="rId142" Type="http://schemas.openxmlformats.org/officeDocument/2006/relationships/header" Target="header15.xml"/><Relationship Id="rId163" Type="http://schemas.openxmlformats.org/officeDocument/2006/relationships/hyperlink" Target="https://veranahealth.com/wp-content/uploads/2024/05/Leng_ARVO-2024_nAMD-IRIS-Registry_Presentation_disclosure.pdf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pmc.ncbi.nlm.nih.gov/articles/PMC11179401/" TargetMode="External"/><Relationship Id="rId46" Type="http://schemas.openxmlformats.org/officeDocument/2006/relationships/hyperlink" Target="https://pubmed.ncbi.nlm.nih.gov/37274013/" TargetMode="External"/><Relationship Id="rId67" Type="http://schemas.openxmlformats.org/officeDocument/2006/relationships/hyperlink" Target="https://pubmed.ncbi.nlm.nih.gov/40614931/" TargetMode="External"/><Relationship Id="rId116" Type="http://schemas.openxmlformats.org/officeDocument/2006/relationships/hyperlink" Target="https://pmc.ncbi.nlm.nih.gov/articles/PMC10767511/" TargetMode="External"/><Relationship Id="rId137" Type="http://schemas.openxmlformats.org/officeDocument/2006/relationships/hyperlink" Target="https://link.springer.com/article/10.1007/s40123-024-00920-3" TargetMode="External"/><Relationship Id="rId158" Type="http://schemas.openxmlformats.org/officeDocument/2006/relationships/hyperlink" Target="https://pubmed.ncbi.nlm.nih.gov/40614931/" TargetMode="External"/><Relationship Id="rId20" Type="http://schemas.openxmlformats.org/officeDocument/2006/relationships/hyperlink" Target="https://pubmed.ncbi.nlm.nih.gov/36858288/" TargetMode="External"/><Relationship Id="rId41" Type="http://schemas.openxmlformats.org/officeDocument/2006/relationships/footer" Target="footer2.xml"/><Relationship Id="rId62" Type="http://schemas.openxmlformats.org/officeDocument/2006/relationships/hyperlink" Target="https://veranahealth.com/wp-content/uploads/2024/05/Leng_ARVO-2024_nAMD-IRIS-Registry_Presentation_disclosure.pdf" TargetMode="External"/><Relationship Id="rId83" Type="http://schemas.openxmlformats.org/officeDocument/2006/relationships/hyperlink" Target="https://pmc.ncbi.nlm.nih.gov/articles/PMC8613703/" TargetMode="External"/><Relationship Id="rId88" Type="http://schemas.openxmlformats.org/officeDocument/2006/relationships/hyperlink" Target="https://pubmed.ncbi.nlm.nih.gov/40371970/" TargetMode="External"/><Relationship Id="rId111" Type="http://schemas.openxmlformats.org/officeDocument/2006/relationships/hyperlink" Target="https://pubmed.ncbi.nlm.nih.gov/34863677/" TargetMode="External"/><Relationship Id="rId132" Type="http://schemas.openxmlformats.org/officeDocument/2006/relationships/hyperlink" Target="https://pmc.ncbi.nlm.nih.gov/articles/PMC11179401/" TargetMode="External"/><Relationship Id="rId153" Type="http://schemas.openxmlformats.org/officeDocument/2006/relationships/hyperlink" Target="https://pubmed.ncbi.nlm.nih.gov/34863677/" TargetMode="External"/><Relationship Id="rId174" Type="http://schemas.openxmlformats.org/officeDocument/2006/relationships/fontTable" Target="fontTable.xml"/><Relationship Id="rId15" Type="http://schemas.openxmlformats.org/officeDocument/2006/relationships/hyperlink" Target="https://iovs.arvojournals.org/article.aspx?articleid=2787245" TargetMode="External"/><Relationship Id="rId36" Type="http://schemas.openxmlformats.org/officeDocument/2006/relationships/hyperlink" Target="https://pmc.ncbi.nlm.nih.gov/articles/instance/8613703/bin/jamaophthalmol-e214585-s001.pdf" TargetMode="External"/><Relationship Id="rId57" Type="http://schemas.openxmlformats.org/officeDocument/2006/relationships/hyperlink" Target="https://pubmed.ncbi.nlm.nih.gov/36990322/" TargetMode="External"/><Relationship Id="rId106" Type="http://schemas.openxmlformats.org/officeDocument/2006/relationships/hyperlink" Target="https://pmc.ncbi.nlm.nih.gov/articles/PMC11179401/" TargetMode="External"/><Relationship Id="rId127" Type="http://schemas.openxmlformats.org/officeDocument/2006/relationships/hyperlink" Target="https://pubmed.ncbi.nlm.nih.gov/36990322/" TargetMode="External"/><Relationship Id="rId10" Type="http://schemas.openxmlformats.org/officeDocument/2006/relationships/hyperlink" Target="https://pmc.ncbi.nlm.nih.gov/articles/PMC11179401/" TargetMode="External"/><Relationship Id="rId31" Type="http://schemas.openxmlformats.org/officeDocument/2006/relationships/hyperlink" Target="https://veranahealth.com/wp-content/uploads/2024/05/Leng_ARVO-2024_nAMD-IRIS-Registry_Presentation_disclosure.pdf" TargetMode="External"/><Relationship Id="rId52" Type="http://schemas.openxmlformats.org/officeDocument/2006/relationships/hyperlink" Target="https://www.retinasociety.org/content/meetingarchive/2020/maccumber-mathew-profiles-of-patients.pdf" TargetMode="External"/><Relationship Id="rId73" Type="http://schemas.openxmlformats.org/officeDocument/2006/relationships/footer" Target="footer5.xml"/><Relationship Id="rId78" Type="http://schemas.openxmlformats.org/officeDocument/2006/relationships/hyperlink" Target="https://pmc.ncbi.nlm.nih.gov/articles/instance/10767511/bin/mmc2.pdf" TargetMode="External"/><Relationship Id="rId94" Type="http://schemas.openxmlformats.org/officeDocument/2006/relationships/header" Target="header8.xml"/><Relationship Id="rId99" Type="http://schemas.openxmlformats.org/officeDocument/2006/relationships/hyperlink" Target="https://pmc.ncbi.nlm.nih.gov/articles/PMC10767511/" TargetMode="External"/><Relationship Id="rId101" Type="http://schemas.openxmlformats.org/officeDocument/2006/relationships/hyperlink" Target="https://pmc.ncbi.nlm.nih.gov/articles/PMC8613703/" TargetMode="External"/><Relationship Id="rId122" Type="http://schemas.openxmlformats.org/officeDocument/2006/relationships/footer" Target="footer10.xml"/><Relationship Id="rId143" Type="http://schemas.openxmlformats.org/officeDocument/2006/relationships/footer" Target="footer15.xml"/><Relationship Id="rId148" Type="http://schemas.openxmlformats.org/officeDocument/2006/relationships/hyperlink" Target="https://pmc.ncbi.nlm.nih.gov/articles/PMC8613703/" TargetMode="External"/><Relationship Id="rId164" Type="http://schemas.openxmlformats.org/officeDocument/2006/relationships/hyperlink" Target="https://iovs.arvojournals.org/article.aspx?articleid=2787245" TargetMode="External"/><Relationship Id="rId169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10748734/" TargetMode="External"/><Relationship Id="rId26" Type="http://schemas.openxmlformats.org/officeDocument/2006/relationships/hyperlink" Target="https://pmc.ncbi.nlm.nih.gov/articles/PMC10767511/" TargetMode="External"/><Relationship Id="rId47" Type="http://schemas.openxmlformats.org/officeDocument/2006/relationships/hyperlink" Target="https://www.researchsquare.com/article/rs-5505014/v2" TargetMode="External"/><Relationship Id="rId68" Type="http://schemas.openxmlformats.org/officeDocument/2006/relationships/hyperlink" Target="https://pubmed.ncbi.nlm.nih.gov/41891889/" TargetMode="External"/><Relationship Id="rId89" Type="http://schemas.openxmlformats.org/officeDocument/2006/relationships/hyperlink" Target="https://pubmed.ncbi.nlm.nih.gov/41891889/" TargetMode="External"/><Relationship Id="rId112" Type="http://schemas.openxmlformats.org/officeDocument/2006/relationships/hyperlink" Target="https://pubmed.ncbi.nlm.nih.gov/36858288/" TargetMode="External"/><Relationship Id="rId133" Type="http://schemas.openxmlformats.org/officeDocument/2006/relationships/hyperlink" Target="https://pmc.ncbi.nlm.nih.gov/articles/PMC10767511/" TargetMode="External"/><Relationship Id="rId154" Type="http://schemas.openxmlformats.org/officeDocument/2006/relationships/hyperlink" Target="https://pubmed.ncbi.nlm.nih.gov/36990322/" TargetMode="External"/><Relationship Id="rId175" Type="http://schemas.openxmlformats.org/officeDocument/2006/relationships/theme" Target="theme/theme1.xml"/><Relationship Id="rId16" Type="http://schemas.openxmlformats.org/officeDocument/2006/relationships/hyperlink" Target="https://pubmed.ncbi.nlm.nih.gov/36858288/" TargetMode="External"/><Relationship Id="rId37" Type="http://schemas.openxmlformats.org/officeDocument/2006/relationships/hyperlink" Target="https://pmc.ncbi.nlm.nih.gov/articles/instance/10767511/bin/mmc2.pdf" TargetMode="External"/><Relationship Id="rId58" Type="http://schemas.openxmlformats.org/officeDocument/2006/relationships/hyperlink" Target="https://pubmed.ncbi.nlm.nih.gov/36858288/" TargetMode="External"/><Relationship Id="rId79" Type="http://schemas.openxmlformats.org/officeDocument/2006/relationships/hyperlink" Target="https://pmc.ncbi.nlm.nih.gov/articles/PMC10748734/" TargetMode="External"/><Relationship Id="rId102" Type="http://schemas.openxmlformats.org/officeDocument/2006/relationships/hyperlink" Target="https://pubmed.ncbi.nlm.nih.gov/36990322/" TargetMode="External"/><Relationship Id="rId123" Type="http://schemas.openxmlformats.org/officeDocument/2006/relationships/footer" Target="footer11.xml"/><Relationship Id="rId144" Type="http://schemas.openxmlformats.org/officeDocument/2006/relationships/hyperlink" Target="https://www.aao.org/iris-registry/data-analysis/requirements" TargetMode="External"/><Relationship Id="rId90" Type="http://schemas.openxmlformats.org/officeDocument/2006/relationships/hyperlink" Target="https://pubmed.ncbi.nlm.nih.gov/38319061/" TargetMode="External"/><Relationship Id="rId165" Type="http://schemas.openxmlformats.org/officeDocument/2006/relationships/hyperlink" Target="https://www.retinasociety.org/content/meetingarchive/2020/khurana-rahul-loss-to-follow-up.pdf" TargetMode="External"/><Relationship Id="rId27" Type="http://schemas.openxmlformats.org/officeDocument/2006/relationships/hyperlink" Target="https://pmc.ncbi.nlm.nih.gov/articles/PMC10748734/" TargetMode="External"/><Relationship Id="rId48" Type="http://schemas.openxmlformats.org/officeDocument/2006/relationships/hyperlink" Target="https://pubmed.ncbi.nlm.nih.gov/42033607/" TargetMode="External"/><Relationship Id="rId69" Type="http://schemas.openxmlformats.org/officeDocument/2006/relationships/hyperlink" Target="https://www.aao.org/iris-registry/data-analysis/requirements" TargetMode="External"/><Relationship Id="rId113" Type="http://schemas.openxmlformats.org/officeDocument/2006/relationships/hyperlink" Target="https://pmc.ncbi.nlm.nih.gov/articles/PMC8613703/" TargetMode="External"/><Relationship Id="rId134" Type="http://schemas.openxmlformats.org/officeDocument/2006/relationships/hyperlink" Target="https://pubmed.ncbi.nlm.nih.gov/40614931/" TargetMode="External"/><Relationship Id="rId80" Type="http://schemas.openxmlformats.org/officeDocument/2006/relationships/hyperlink" Target="https://pmc.ncbi.nlm.nih.gov/articles/PMC11179401/" TargetMode="External"/><Relationship Id="rId155" Type="http://schemas.openxmlformats.org/officeDocument/2006/relationships/hyperlink" Target="https://pubmed.ncbi.nlm.nih.gov/36858288/" TargetMode="External"/><Relationship Id="rId17" Type="http://schemas.openxmlformats.org/officeDocument/2006/relationships/hyperlink" Target="https://www.aao.org/iris-registry/data-analysis/requirements" TargetMode="External"/><Relationship Id="rId38" Type="http://schemas.openxmlformats.org/officeDocument/2006/relationships/header" Target="header1.xml"/><Relationship Id="rId59" Type="http://schemas.openxmlformats.org/officeDocument/2006/relationships/hyperlink" Target="https://pubmed.ncbi.nlm.nih.gov/37086857/" TargetMode="External"/><Relationship Id="rId103" Type="http://schemas.openxmlformats.org/officeDocument/2006/relationships/hyperlink" Target="https://pubmed.ncbi.nlm.nih.gov/38319061/" TargetMode="External"/><Relationship Id="rId124" Type="http://schemas.openxmlformats.org/officeDocument/2006/relationships/header" Target="header12.xml"/><Relationship Id="rId70" Type="http://schemas.openxmlformats.org/officeDocument/2006/relationships/header" Target="header4.xml"/><Relationship Id="rId91" Type="http://schemas.openxmlformats.org/officeDocument/2006/relationships/hyperlink" Target="https://www.asrs.org/content/documents/wet-amd-1.pdf" TargetMode="External"/><Relationship Id="rId145" Type="http://schemas.openxmlformats.org/officeDocument/2006/relationships/hyperlink" Target="https://pmc.ncbi.nlm.nih.gov/articles/PMC10767511/" TargetMode="External"/><Relationship Id="rId166" Type="http://schemas.openxmlformats.org/officeDocument/2006/relationships/hyperlink" Target="https://www.researchsquare.com/article/rs-5505014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4087F6-09E8-4547-BF53-446491A34146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9923693-bc1a-4411-bccd-ea7159a9b0f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11</Pages>
  <Words>5331</Words>
  <Characters>30393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Patients with Wet Age-related Macular Degeneration Using the IRIS Registry</dc:title>
  <dc:subject>Methods review with inline citations</dc:subject>
  <dc:creator>OpenAI Codex</dc:creator>
  <cp:lastModifiedBy>Justin Yu</cp:lastModifiedBy>
  <cp:revision>5</cp:revision>
  <dcterms:created xsi:type="dcterms:W3CDTF">2026-05-23T18:04:00Z</dcterms:created>
  <dcterms:modified xsi:type="dcterms:W3CDTF">2026-06-04T12:43:00Z</dcterms:modified>
</cp:coreProperties>
</file>