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6F1E8"/>
  <w:body>
    <w:p>
      <w:pPr>
        <w:spacing w:after="160"/>
      </w:pPr>
      <w:r>
        <w:rPr>
          <w:rFonts w:ascii="Inter" w:hAnsi="Inter" w:eastAsia="Inter"/>
          <w:b/>
          <w:color w:val="10120F"/>
          <w:sz w:val="16"/>
        </w:rPr>
        <w:t>MLR REVIEW CHECKLIST  ·  STAKEHOLDER-FACING DOCUMENT REVIEW</w:t>
      </w:r>
    </w:p>
    <w:p>
      <w:pPr>
        <w:spacing w:after="140"/>
      </w:pPr>
      <w:r>
        <w:rPr>
          <w:rFonts w:ascii="Space Grotesk" w:hAnsi="Space Grotesk" w:eastAsia="Space Grotesk"/>
          <w:b/>
          <w:color w:val="10120F"/>
          <w:sz w:val="44"/>
        </w:rPr>
        <w:t>Medical, Legal, Regulatory Compliance Review Checklist</w:t>
      </w:r>
    </w:p>
    <w:p>
      <w:pPr>
        <w:spacing w:after="200"/>
      </w:pPr>
      <w:r>
        <w:rPr>
          <w:rFonts w:ascii="Inter" w:hAnsi="Inter" w:eastAsia="Inter"/>
          <w:b w:val="0"/>
          <w:color w:val="5C6257"/>
          <w:sz w:val="22"/>
        </w:rPr>
        <w:t>A structured document-evaluation workflow for patient, caregiver, HCP, payer, Medical Affairs, HEOR, and public-facing materials</w:t>
      </w:r>
    </w:p>
    <w:tbl>
      <w:tblPr>
        <w:tblW w:type="dxa" w:w="10080"/>
        <w:tblLayout w:type="fixed"/>
        <w:tblLook w:firstColumn="1" w:firstRow="1" w:lastColumn="0" w:lastRow="0" w:noHBand="0" w:noVBand="1" w:val="04A0"/>
        <w:tblBorders>
          <w:top w:val="single" w:sz="4" w:space="0" w:color="10120F"/>
          <w:left w:val="single" w:sz="4" w:space="0" w:color="10120F"/>
          <w:bottom w:val="single" w:sz="4" w:space="0" w:color="10120F"/>
          <w:right w:val="single" w:sz="4" w:space="0" w:color="10120F"/>
          <w:insideH w:val="single" w:sz="4" w:space="0" w:color="10120F"/>
          <w:insideV w:val="single" w:sz="4" w:space="0" w:color="10120F"/>
        </w:tblBorders>
      </w:tblPr>
      <w:tblGrid>
        <w:gridCol w:w="10080"/>
      </w:tblGrid>
      <w:tr>
        <w:tc>
          <w:tcPr>
            <w:tcW w:type="dxa" w:w="10080"/>
            <w:shd w:val="clear" w:fill="10120F" w:color="auto"/>
            <w:tcBorders>
              <w:top w:val="single" w:sz="4" w:space="0" w:color="10120F"/>
              <w:left w:val="single" w:sz="4" w:space="0" w:color="10120F"/>
              <w:bottom w:val="single" w:sz="4" w:space="0" w:color="10120F"/>
              <w:right w:val="single" w:sz="4" w:space="0" w:color="10120F"/>
            </w:tcBorders>
            <w:tcMar>
              <w:top w:w="120" w:type="dxa"/>
              <w:right w:w="130" w:type="dxa"/>
              <w:bottom w:w="120" w:type="dxa"/>
              <w:left w:w="130" w:type="dxa"/>
            </w:tcMar>
          </w:tcPr>
          <w:p>
            <w:r/>
            <w:r>
              <w:rPr>
                <w:rFonts w:ascii="Inter" w:hAnsi="Inter" w:eastAsia="Inter"/>
                <w:b/>
                <w:color w:val="D7FF5F"/>
                <w:sz w:val="19"/>
              </w:rPr>
              <w:t>Evidence base</w:t>
            </w:r>
            <w:r>
              <w:rPr>
                <w:rFonts w:ascii="Inter" w:hAnsi="Inter" w:eastAsia="Inter"/>
                <w:b w:val="0"/>
                <w:color w:val="F6F1E8"/>
                <w:sz w:val="19"/>
              </w:rPr>
              <w:t xml:space="preserve">  This checklist synthesizes FDA promotional rules and guidance, FTC health-claim substantiation guidance, AMCP payer-dossier standards, and Medical Affairs/vendor MLR process references. It is a research aid, not legal advice.</w:t>
            </w:r>
            <w:r>
              <w:t xml:space="preserve"> </w:t>
            </w:r>
            <w:hyperlink r:id="rId9">
              <w:r>
                <w:rPr>
                  <w:rFonts w:ascii="Inter" w:hAnsi="Inter" w:eastAsia="Inter"/>
                  <w:color w:val="025E8D"/>
                  <w:sz w:val="16"/>
                </w:rPr>
                <w:t>[1]</w:t>
              </w:r>
            </w:hyperlink>
            <w:r>
              <w:t xml:space="preserve"> </w:t>
            </w:r>
            <w:hyperlink r:id="rId10">
              <w:r>
                <w:rPr>
                  <w:rFonts w:ascii="Inter" w:hAnsi="Inter" w:eastAsia="Inter"/>
                  <w:color w:val="025E8D"/>
                  <w:sz w:val="16"/>
                </w:rPr>
                <w:t>[2]</w:t>
              </w:r>
            </w:hyperlink>
            <w:r>
              <w:t xml:space="preserve"> </w:t>
            </w:r>
            <w:hyperlink r:id="rId11">
              <w:r>
                <w:rPr>
                  <w:rFonts w:ascii="Inter" w:hAnsi="Inter" w:eastAsia="Inter"/>
                  <w:color w:val="025E8D"/>
                  <w:sz w:val="16"/>
                </w:rPr>
                <w:t>[3]</w:t>
              </w:r>
            </w:hyperlink>
            <w:r>
              <w:t xml:space="preserve"> </w:t>
            </w:r>
            <w:hyperlink r:id="rId12">
              <w:r>
                <w:rPr>
                  <w:rFonts w:ascii="Inter" w:hAnsi="Inter" w:eastAsia="Inter"/>
                  <w:color w:val="025E8D"/>
                  <w:sz w:val="16"/>
                </w:rPr>
                <w:t>[4]</w:t>
              </w:r>
            </w:hyperlink>
            <w:r>
              <w:t xml:space="preserve"> </w:t>
            </w:r>
            <w:hyperlink r:id="rId13">
              <w:r>
                <w:rPr>
                  <w:rFonts w:ascii="Inter" w:hAnsi="Inter" w:eastAsia="Inter"/>
                  <w:color w:val="025E8D"/>
                  <w:sz w:val="16"/>
                </w:rPr>
                <w:t>[12]</w:t>
              </w:r>
            </w:hyperlink>
            <w:r>
              <w:t xml:space="preserve"> </w:t>
            </w:r>
            <w:hyperlink r:id="rId14">
              <w:r>
                <w:rPr>
                  <w:rFonts w:ascii="Inter" w:hAnsi="Inter" w:eastAsia="Inter"/>
                  <w:color w:val="025E8D"/>
                  <w:sz w:val="16"/>
                </w:rPr>
                <w:t>[14]</w:t>
              </w:r>
            </w:hyperlink>
            <w:r>
              <w:t xml:space="preserve"> </w:t>
            </w:r>
            <w:hyperlink r:id="rId15">
              <w:r>
                <w:rPr>
                  <w:rFonts w:ascii="Inter" w:hAnsi="Inter" w:eastAsia="Inter"/>
                  <w:color w:val="025E8D"/>
                  <w:sz w:val="16"/>
                </w:rPr>
                <w:t>[18]</w:t>
              </w:r>
            </w:hyperlink>
          </w:p>
        </w:tc>
      </w:tr>
    </w:tbl>
    <w:p/>
    <w:tbl>
      <w:tblPr>
        <w:tblW w:type="dxa" w:w="10080"/>
        <w:tblLayout w:type="fixed"/>
        <w:tblLook w:firstColumn="1" w:firstRow="1" w:lastColumn="0" w:lastRow="0" w:noHBand="0" w:noVBand="1" w:val="04A0"/>
        <w:tblBorders>
          <w:top w:val="single" w:sz="4" w:space="0" w:color="D7CDBC"/>
          <w:left w:val="single" w:sz="4" w:space="0" w:color="D7CDBC"/>
          <w:bottom w:val="single" w:sz="4" w:space="0" w:color="D7CDBC"/>
          <w:right w:val="single" w:sz="4" w:space="0" w:color="D7CDBC"/>
          <w:insideH w:val="single" w:sz="4" w:space="0" w:color="D7CDBC"/>
          <w:insideV w:val="single" w:sz="4" w:space="0" w:color="D7CDBC"/>
        </w:tblBorders>
      </w:tblPr>
      <w:tblGrid>
        <w:gridCol w:w="1700"/>
        <w:gridCol w:w="3000"/>
        <w:gridCol w:w="5380"/>
      </w:tblGrid>
      <w:tr>
        <w:tc>
          <w:tcPr>
            <w:tcW w:type="dxa" w:w="1700"/>
            <w:shd w:val="clear" w:fill="EBE4D6" w:color="auto"/>
            <w:tcBorders>
              <w:top w:val="single" w:sz="4" w:space="0" w:color="D7CDBC"/>
              <w:left w:val="single" w:sz="4" w:space="0" w:color="D7CDBC"/>
              <w:bottom w:val="single" w:sz="4" w:space="0" w:color="D7CDBC"/>
              <w:right w:val="single" w:sz="4" w:space="0" w:color="D7CDBC"/>
            </w:tcBorders>
            <w:tcMar>
              <w:top w:w="90" w:type="dxa"/>
              <w:right w:w="90" w:type="dxa"/>
              <w:bottom w:w="90" w:type="dxa"/>
              <w:left w:w="90" w:type="dxa"/>
            </w:tcMar>
          </w:tcPr>
          <w:p>
            <w:r/>
            <w:r>
              <w:rPr>
                <w:rFonts w:ascii="Inter" w:hAnsi="Inter" w:eastAsia="Inter"/>
                <w:b/>
                <w:color w:val="10120F"/>
                <w:sz w:val="15"/>
              </w:rPr>
              <w:t>ACCESS DATE</w:t>
            </w:r>
          </w:p>
          <w:p>
            <w:r>
              <w:rPr>
                <w:rFonts w:ascii="Inter" w:hAnsi="Inter" w:eastAsia="Inter"/>
                <w:b w:val="0"/>
                <w:color w:val="1B1F17"/>
                <w:sz w:val="17"/>
              </w:rPr>
              <w:t>June 3, 2026</w:t>
            </w:r>
          </w:p>
        </w:tc>
        <w:tc>
          <w:tcPr>
            <w:tcW w:type="dxa" w:w="3000"/>
            <w:shd w:val="clear" w:fill="EBE4D6" w:color="auto"/>
            <w:tcBorders>
              <w:top w:val="single" w:sz="4" w:space="0" w:color="D7CDBC"/>
              <w:left w:val="single" w:sz="4" w:space="0" w:color="D7CDBC"/>
              <w:bottom w:val="single" w:sz="4" w:space="0" w:color="D7CDBC"/>
              <w:right w:val="single" w:sz="4" w:space="0" w:color="D7CDBC"/>
            </w:tcBorders>
            <w:tcMar>
              <w:top w:w="90" w:type="dxa"/>
              <w:right w:w="90" w:type="dxa"/>
              <w:bottom w:w="90" w:type="dxa"/>
              <w:left w:w="90" w:type="dxa"/>
            </w:tcMar>
          </w:tcPr>
          <w:p>
            <w:r/>
            <w:r>
              <w:rPr>
                <w:rFonts w:ascii="Inter" w:hAnsi="Inter" w:eastAsia="Inter"/>
                <w:b/>
                <w:color w:val="10120F"/>
                <w:sz w:val="15"/>
              </w:rPr>
              <w:t>PRIMARY STANDARD</w:t>
            </w:r>
          </w:p>
          <w:p>
            <w:r>
              <w:rPr>
                <w:rFonts w:ascii="Inter" w:hAnsi="Inter" w:eastAsia="Inter"/>
                <w:b w:val="0"/>
                <w:color w:val="1B1F17"/>
                <w:sz w:val="17"/>
              </w:rPr>
              <w:t>Truthful, balanced, non-misleading</w:t>
            </w:r>
          </w:p>
        </w:tc>
        <w:tc>
          <w:tcPr>
            <w:tcW w:type="dxa" w:w="5380"/>
            <w:shd w:val="clear" w:fill="EBE4D6" w:color="auto"/>
            <w:tcBorders>
              <w:top w:val="single" w:sz="4" w:space="0" w:color="D7CDBC"/>
              <w:left w:val="single" w:sz="4" w:space="0" w:color="D7CDBC"/>
              <w:bottom w:val="single" w:sz="4" w:space="0" w:color="D7CDBC"/>
              <w:right w:val="single" w:sz="4" w:space="0" w:color="D7CDBC"/>
            </w:tcBorders>
            <w:tcMar>
              <w:top w:w="90" w:type="dxa"/>
              <w:right w:w="90" w:type="dxa"/>
              <w:bottom w:w="90" w:type="dxa"/>
              <w:left w:w="90" w:type="dxa"/>
            </w:tcMar>
          </w:tcPr>
          <w:p>
            <w:r/>
            <w:r>
              <w:rPr>
                <w:rFonts w:ascii="Inter" w:hAnsi="Inter" w:eastAsia="Inter"/>
                <w:b/>
                <w:color w:val="10120F"/>
                <w:sz w:val="15"/>
              </w:rPr>
              <w:t>USE STATUS</w:t>
            </w:r>
          </w:p>
          <w:p>
            <w:r>
              <w:rPr>
                <w:rFonts w:ascii="Inter" w:hAnsi="Inter" w:eastAsia="Inter"/>
                <w:b w:val="0"/>
                <w:color w:val="1B1F17"/>
                <w:sz w:val="17"/>
              </w:rPr>
              <w:t>Research aid; human MLR review required</w:t>
            </w:r>
          </w:p>
        </w:tc>
      </w:tr>
    </w:tbl>
    <w:p/>
    <w:p>
      <w:pPr>
        <w:spacing w:after="140" w:line="252" w:lineRule="auto"/>
      </w:pPr>
      <w:r>
        <w:rPr>
          <w:rFonts w:ascii="Inter" w:hAnsi="Inter" w:eastAsia="Inter"/>
          <w:b/>
          <w:color w:val="10120F"/>
          <w:sz w:val="20"/>
        </w:rPr>
        <w:t>Access date:</w:t>
      </w:r>
      <w:r>
        <w:rPr>
          <w:rFonts w:ascii="Inter" w:hAnsi="Inter" w:eastAsia="Inter"/>
          <w:b w:val="0"/>
          <w:color w:val="1B1F17"/>
          <w:sz w:val="20"/>
        </w:rPr>
        <w:t xml:space="preserve"> June 3, 2026</w:t>
      </w:r>
    </w:p>
    <w:p>
      <w:pPr>
        <w:spacing w:after="140" w:line="252" w:lineRule="auto"/>
      </w:pPr>
      <w:r>
        <w:rPr>
          <w:rFonts w:ascii="Inter" w:hAnsi="Inter" w:eastAsia="Inter"/>
          <w:b w:val="0"/>
          <w:color w:val="1B1F17"/>
          <w:sz w:val="20"/>
        </w:rPr>
        <w:t>This checklist synthesizes the source log into a practical review workflow for documents that may be viewed by patients, caregivers, HCPs, payers, formulary committees, policymakers, investors, advocacy groups, internal field teams, or other external stakeholders. It is a research aid, not legal advice.</w:t>
      </w:r>
    </w:p>
    <w:p>
      <w:pPr>
        <w:spacing w:before="280" w:after="160"/>
        <w:pBdr>
          <w:bottom w:val="single" w:sz="8" w:space="6" w:color="10120F"/>
        </w:pBdr>
      </w:pPr>
      <w:r>
        <w:rPr>
          <w:rFonts w:ascii="Inter" w:hAnsi="Inter" w:eastAsia="Inter"/>
          <w:b/>
          <w:color w:val="10120F"/>
          <w:sz w:val="30"/>
        </w:rPr>
        <w:t>1. Intake and Classification</w:t>
      </w:r>
      <w:r>
        <w:t xml:space="preserve"> </w:t>
      </w:r>
      <w:hyperlink r:id="rId9">
        <w:r>
          <w:rPr>
            <w:rFonts w:ascii="Inter" w:hAnsi="Inter" w:eastAsia="Inter"/>
            <w:color w:val="025E8D"/>
            <w:sz w:val="16"/>
          </w:rPr>
          <w:t>[1]</w:t>
        </w:r>
      </w:hyperlink>
      <w:r>
        <w:t xml:space="preserve"> </w:t>
      </w:r>
      <w:hyperlink r:id="rId10">
        <w:r>
          <w:rPr>
            <w:rFonts w:ascii="Inter" w:hAnsi="Inter" w:eastAsia="Inter"/>
            <w:color w:val="025E8D"/>
            <w:sz w:val="16"/>
          </w:rPr>
          <w:t>[2]</w:t>
        </w:r>
      </w:hyperlink>
      <w:r>
        <w:t xml:space="preserve"> </w:t>
      </w:r>
      <w:hyperlink r:id="rId12">
        <w:r>
          <w:rPr>
            <w:rFonts w:ascii="Inter" w:hAnsi="Inter" w:eastAsia="Inter"/>
            <w:color w:val="025E8D"/>
            <w:sz w:val="16"/>
          </w:rPr>
          <w:t>[4]</w:t>
        </w:r>
      </w:hyperlink>
      <w:r>
        <w:t xml:space="preserve"> </w:t>
      </w:r>
      <w:hyperlink r:id="rId16">
        <w:r>
          <w:rPr>
            <w:rFonts w:ascii="Inter" w:hAnsi="Inter" w:eastAsia="Inter"/>
            <w:color w:val="025E8D"/>
            <w:sz w:val="16"/>
          </w:rPr>
          <w:t>[5]</w:t>
        </w:r>
      </w:hyperlink>
      <w:r>
        <w:t xml:space="preserve"> </w:t>
      </w:r>
      <w:hyperlink r:id="rId17">
        <w:r>
          <w:rPr>
            <w:rFonts w:ascii="Inter" w:hAnsi="Inter" w:eastAsia="Inter"/>
            <w:color w:val="025E8D"/>
            <w:sz w:val="16"/>
          </w:rPr>
          <w:t>[11]</w:t>
        </w:r>
      </w:hyperlink>
    </w:p>
    <w:p>
      <w:pPr>
        <w:spacing w:after="140" w:line="252" w:lineRule="auto"/>
      </w:pPr>
      <w:r>
        <w:rPr>
          <w:rFonts w:ascii="Inter" w:hAnsi="Inter" w:eastAsia="Inter"/>
          <w:b w:val="0"/>
          <w:color w:val="1B1F17"/>
          <w:sz w:val="20"/>
        </w:rPr>
        <w:t>Before Medical, Legal, and Regulatory reviewers assess individual claims, classify the document.</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Document type:</w:t>
            </w:r>
            <w:r>
              <w:rPr>
                <w:rFonts w:ascii="Inter" w:hAnsi="Inter" w:eastAsia="Inter"/>
                <w:b w:val="0"/>
                <w:color w:val="1B1F17"/>
                <w:sz w:val="18"/>
              </w:rPr>
              <w:t xml:space="preserve"> promotional labeling, advertisement, medical information, scientific exchange, publication, payer dossier, AMCP dossier, press release, slide deck, field tool, training material, patient education, disease awareness, social post, website, video, webinar, congress material, reprint/carrier, or internal-only material.</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Audience:</w:t>
            </w:r>
            <w:r>
              <w:rPr>
                <w:rFonts w:ascii="Inter" w:hAnsi="Inter" w:eastAsia="Inter"/>
                <w:b w:val="0"/>
                <w:color w:val="1B1F17"/>
                <w:sz w:val="18"/>
              </w:rPr>
              <w:t xml:space="preserve"> patient/caregiver, consumer, HCP, payer/formulary decision maker, health-system administrator, policy stakeholder, investor/media, advocacy organization, internal field team, or mixed audience.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Geography and governing rules:</w:t>
            </w:r>
            <w:r>
              <w:rPr>
                <w:rFonts w:ascii="Inter" w:hAnsi="Inter" w:eastAsia="Inter"/>
                <w:b w:val="0"/>
                <w:color w:val="1B1F17"/>
                <w:sz w:val="18"/>
              </w:rPr>
              <w:t xml:space="preserve"> U.S. federal, state, global, EU/local country, or multi-market. For multi-market use, identify the strictest applicable local review gate.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Product status:</w:t>
            </w:r>
            <w:r>
              <w:rPr>
                <w:rFonts w:ascii="Inter" w:hAnsi="Inter" w:eastAsia="Inter"/>
                <w:b w:val="0"/>
                <w:color w:val="1B1F17"/>
                <w:sz w:val="18"/>
              </w:rPr>
              <w:t xml:space="preserve"> approved, cleared, investigational, pipeline, off-label/unapproved use, preapproval payer communication, device/software, class-wide/disease-state only, or no product reference.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Intended use and distribution channel:</w:t>
            </w:r>
            <w:r>
              <w:rPr>
                <w:rFonts w:ascii="Inter" w:hAnsi="Inter" w:eastAsia="Inter"/>
                <w:b w:val="0"/>
                <w:color w:val="1B1F17"/>
                <w:sz w:val="18"/>
              </w:rPr>
              <w:t xml:space="preserve"> sales/detailing, congress booth, MSL exchange, unsolicited response, website, email, paid media, social media, broadcast/video/audio, payer portal, publication, reprint, leave-behind, speaker program, advisory board, or internal training.</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Required review path:</w:t>
            </w:r>
            <w:r>
              <w:rPr>
                <w:rFonts w:ascii="Inter" w:hAnsi="Inter" w:eastAsia="Inter"/>
                <w:b w:val="0"/>
                <w:color w:val="1B1F17"/>
                <w:sz w:val="18"/>
              </w:rPr>
              <w:t xml:space="preserve"> promotional MLR, medical/scientific review, legal/compliance review, privacy review, pharmacovigilance review, claims library review, global/local affiliate review, or FDA/OPDP submission readiness.</w:t>
            </w:r>
          </w:p>
        </w:tc>
      </w:tr>
    </w:tbl>
    <w:tbl>
      <w:tblPr>
        <w:tblW w:type="dxa" w:w="9320"/>
        <w:tblLayout w:type="fixed"/>
        <w:tblLook w:firstColumn="1" w:firstRow="1" w:lastColumn="0" w:lastRow="0" w:noHBand="0" w:noVBand="1" w:val="04A0"/>
        <w:tblInd w:type="dxa" w:w="360"/>
        <w:tblBorders>
          <w:top w:val="nil"/>
          <w:left w:val="nil"/>
          <w:bottom w:val="nil"/>
          <w:right w:val="nil"/>
          <w:insideH w:val="nil"/>
          <w:insideV w:val="nil"/>
        </w:tblBorders>
      </w:tblPr>
      <w:tblGrid>
        <w:gridCol w:w="9320"/>
      </w:tblGrid>
      <w:tr>
        <w:tc>
          <w:tcPr>
            <w:tcW w:type="dxa" w:w="9320"/>
            <w:shd w:val="clear" w:fill="EBE4D6" w:color="auto"/>
            <w:tcBorders>
              <w:top w:val="nil"/>
              <w:left w:val="nil"/>
              <w:bottom w:val="nil"/>
              <w:right w:val="nil"/>
            </w:tcBorders>
            <w:tcMar>
              <w:top w:w="120" w:type="dxa"/>
              <w:right w:w="130" w:type="dxa"/>
              <w:bottom w:w="120" w:type="dxa"/>
              <w:left w:w="130" w:type="dxa"/>
            </w:tcMar>
          </w:tcPr>
          <w:p>
            <w:r/>
            <w:r>
              <w:rPr>
                <w:rFonts w:ascii="Inter" w:hAnsi="Inter" w:eastAsia="Inter"/>
                <w:b/>
                <w:color w:val="10120F"/>
                <w:sz w:val="18"/>
              </w:rPr>
              <w:t>Red flag:</w:t>
            </w:r>
            <w:r>
              <w:rPr>
                <w:rFonts w:ascii="Inter" w:hAnsi="Inter" w:eastAsia="Inter"/>
                <w:b w:val="0"/>
                <w:color w:val="1B1F17"/>
                <w:sz w:val="18"/>
              </w:rPr>
              <w:t xml:space="preserve"> do not start final copy review until the owner, audience, channel, and intended use are explicit. Ambiguous audience or channel usually changes the applicable standard.</w:t>
            </w:r>
          </w:p>
        </w:tc>
      </w:tr>
    </w:tbl>
    <w:p>
      <w:pPr>
        <w:spacing w:before="280" w:after="160"/>
        <w:pBdr>
          <w:bottom w:val="single" w:sz="8" w:space="6" w:color="10120F"/>
        </w:pBdr>
      </w:pPr>
      <w:r>
        <w:rPr>
          <w:rFonts w:ascii="Inter" w:hAnsi="Inter" w:eastAsia="Inter"/>
          <w:b/>
          <w:color w:val="10120F"/>
          <w:sz w:val="30"/>
        </w:rPr>
        <w:t>2. Build a Claim Inventory</w:t>
      </w:r>
      <w:r>
        <w:t xml:space="preserve"> </w:t>
      </w:r>
      <w:hyperlink r:id="rId10">
        <w:r>
          <w:rPr>
            <w:rFonts w:ascii="Inter" w:hAnsi="Inter" w:eastAsia="Inter"/>
            <w:color w:val="025E8D"/>
            <w:sz w:val="16"/>
          </w:rPr>
          <w:t>[2]</w:t>
        </w:r>
      </w:hyperlink>
      <w:r>
        <w:t xml:space="preserve"> </w:t>
      </w:r>
      <w:hyperlink r:id="rId11">
        <w:r>
          <w:rPr>
            <w:rFonts w:ascii="Inter" w:hAnsi="Inter" w:eastAsia="Inter"/>
            <w:color w:val="025E8D"/>
            <w:sz w:val="16"/>
          </w:rPr>
          <w:t>[3]</w:t>
        </w:r>
      </w:hyperlink>
      <w:r>
        <w:t xml:space="preserve"> </w:t>
      </w:r>
      <w:hyperlink r:id="rId13">
        <w:r>
          <w:rPr>
            <w:rFonts w:ascii="Inter" w:hAnsi="Inter" w:eastAsia="Inter"/>
            <w:color w:val="025E8D"/>
            <w:sz w:val="16"/>
          </w:rPr>
          <w:t>[12]</w:t>
        </w:r>
      </w:hyperlink>
      <w:r>
        <w:t xml:space="preserve"> </w:t>
      </w:r>
      <w:hyperlink r:id="rId18">
        <w:r>
          <w:rPr>
            <w:rFonts w:ascii="Inter" w:hAnsi="Inter" w:eastAsia="Inter"/>
            <w:color w:val="025E8D"/>
            <w:sz w:val="16"/>
          </w:rPr>
          <w:t>[13]</w:t>
        </w:r>
      </w:hyperlink>
    </w:p>
    <w:p>
      <w:pPr>
        <w:spacing w:after="140" w:line="252" w:lineRule="auto"/>
      </w:pPr>
      <w:r>
        <w:rPr>
          <w:rFonts w:ascii="Inter" w:hAnsi="Inter" w:eastAsia="Inter"/>
          <w:b w:val="0"/>
          <w:color w:val="1B1F17"/>
          <w:sz w:val="20"/>
        </w:rPr>
        <w:t>Create a claims matrix before approval. Include every express and implied claim, not only the obvious clinical statements.</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Product claims:</w:t>
            </w:r>
            <w:r>
              <w:rPr>
                <w:rFonts w:ascii="Inter" w:hAnsi="Inter" w:eastAsia="Inter"/>
                <w:b w:val="0"/>
                <w:color w:val="1B1F17"/>
                <w:sz w:val="18"/>
              </w:rPr>
              <w:t xml:space="preserve"> indication, patient population, dosing, administration, duration, efficacy, onset, durability, safety, tolerability, contraindications, warnings, adherence, quality of life, convenience, access, cost, reimbursement, real-world evidence, comparative claims, superiority, non-inferiority, mechanism, patient preference, and unmet need.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Visual and implied claims:</w:t>
            </w:r>
            <w:r>
              <w:rPr>
                <w:rFonts w:ascii="Inter" w:hAnsi="Inter" w:eastAsia="Inter"/>
                <w:b w:val="0"/>
                <w:color w:val="1B1F17"/>
                <w:sz w:val="18"/>
              </w:rPr>
              <w:t xml:space="preserve"> charts, icons, rankings, headlines, callouts, testimonials, images, before/after framing, color coding, layout hierarchy, adjacency to other claims, omission of qualifying text, animation, audio emphasis, and social-preview metadata.</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Source mapping:</w:t>
            </w:r>
            <w:r>
              <w:rPr>
                <w:rFonts w:ascii="Inter" w:hAnsi="Inter" w:eastAsia="Inter"/>
                <w:b w:val="0"/>
                <w:color w:val="1B1F17"/>
                <w:sz w:val="18"/>
              </w:rPr>
              <w:t xml:space="preserve"> claim text, source citation, source date/version, evidence type, population, comparator, endpoint, timeframe, statistical basis, limitations, labeling location if relevant, and reviewer decision.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Reuse status:</w:t>
            </w:r>
            <w:r>
              <w:rPr>
                <w:rFonts w:ascii="Inter" w:hAnsi="Inter" w:eastAsia="Inter"/>
                <w:b w:val="0"/>
                <w:color w:val="1B1F17"/>
                <w:sz w:val="18"/>
              </w:rPr>
              <w:t xml:space="preserve"> whether the claim is from an approved claims library, modified from an approved claim, newly drafted, expired, tied to outdated labeling, or approved only for another audience/channel/geography.</w:t>
            </w:r>
          </w:p>
        </w:tc>
      </w:tr>
    </w:tbl>
    <w:tbl>
      <w:tblPr>
        <w:tblW w:type="dxa" w:w="9320"/>
        <w:tblLayout w:type="fixed"/>
        <w:tblLook w:firstColumn="1" w:firstRow="1" w:lastColumn="0" w:lastRow="0" w:noHBand="0" w:noVBand="1" w:val="04A0"/>
        <w:tblInd w:type="dxa" w:w="360"/>
        <w:tblBorders>
          <w:top w:val="nil"/>
          <w:left w:val="nil"/>
          <w:bottom w:val="nil"/>
          <w:right w:val="nil"/>
          <w:insideH w:val="nil"/>
          <w:insideV w:val="nil"/>
        </w:tblBorders>
      </w:tblPr>
      <w:tblGrid>
        <w:gridCol w:w="9320"/>
      </w:tblGrid>
      <w:tr>
        <w:tc>
          <w:tcPr>
            <w:tcW w:type="dxa" w:w="9320"/>
            <w:shd w:val="clear" w:fill="EBE4D6" w:color="auto"/>
            <w:tcBorders>
              <w:top w:val="nil"/>
              <w:left w:val="nil"/>
              <w:bottom w:val="nil"/>
              <w:right w:val="nil"/>
            </w:tcBorders>
            <w:tcMar>
              <w:top w:w="120" w:type="dxa"/>
              <w:right w:w="130" w:type="dxa"/>
              <w:bottom w:w="120" w:type="dxa"/>
              <w:left w:w="130" w:type="dxa"/>
            </w:tcMar>
          </w:tcPr>
          <w:p>
            <w:r/>
            <w:r>
              <w:rPr>
                <w:rFonts w:ascii="Inter" w:hAnsi="Inter" w:eastAsia="Inter"/>
                <w:b/>
                <w:color w:val="10120F"/>
                <w:sz w:val="18"/>
              </w:rPr>
              <w:t>Red flag:</w:t>
            </w:r>
            <w:r>
              <w:rPr>
                <w:rFonts w:ascii="Inter" w:hAnsi="Inter" w:eastAsia="Inter"/>
                <w:b w:val="0"/>
                <w:color w:val="1B1F17"/>
                <w:sz w:val="18"/>
              </w:rPr>
              <w:t xml:space="preserve"> if a claim cannot be tied to a current source and a specific permissible audience/channel, it is not ready for approval.</w:t>
            </w:r>
          </w:p>
        </w:tc>
      </w:tr>
    </w:tbl>
    <w:p>
      <w:pPr>
        <w:spacing w:before="280" w:after="160"/>
        <w:pBdr>
          <w:bottom w:val="single" w:sz="8" w:space="6" w:color="10120F"/>
        </w:pBdr>
      </w:pPr>
      <w:r>
        <w:rPr>
          <w:rFonts w:ascii="Inter" w:hAnsi="Inter" w:eastAsia="Inter"/>
          <w:b/>
          <w:color w:val="10120F"/>
          <w:sz w:val="30"/>
        </w:rPr>
        <w:t>3. Medical Review</w:t>
      </w:r>
      <w:r>
        <w:t xml:space="preserve"> </w:t>
      </w:r>
      <w:hyperlink r:id="rId11">
        <w:r>
          <w:rPr>
            <w:rFonts w:ascii="Inter" w:hAnsi="Inter" w:eastAsia="Inter"/>
            <w:color w:val="025E8D"/>
            <w:sz w:val="16"/>
          </w:rPr>
          <w:t>[3]</w:t>
        </w:r>
      </w:hyperlink>
      <w:r>
        <w:t xml:space="preserve"> </w:t>
      </w:r>
      <w:hyperlink r:id="rId16">
        <w:r>
          <w:rPr>
            <w:rFonts w:ascii="Inter" w:hAnsi="Inter" w:eastAsia="Inter"/>
            <w:color w:val="025E8D"/>
            <w:sz w:val="16"/>
          </w:rPr>
          <w:t>[5]</w:t>
        </w:r>
      </w:hyperlink>
      <w:r>
        <w:t xml:space="preserve"> </w:t>
      </w:r>
      <w:hyperlink r:id="rId14">
        <w:r>
          <w:rPr>
            <w:rFonts w:ascii="Inter" w:hAnsi="Inter" w:eastAsia="Inter"/>
            <w:color w:val="025E8D"/>
            <w:sz w:val="16"/>
          </w:rPr>
          <w:t>[14]</w:t>
        </w:r>
      </w:hyperlink>
      <w:r>
        <w:t xml:space="preserve"> </w:t>
      </w:r>
      <w:hyperlink r:id="rId19">
        <w:r>
          <w:rPr>
            <w:rFonts w:ascii="Inter" w:hAnsi="Inter" w:eastAsia="Inter"/>
            <w:color w:val="025E8D"/>
            <w:sz w:val="16"/>
          </w:rPr>
          <w:t>[15]</w:t>
        </w:r>
      </w:hyperlink>
    </w:p>
    <w:p>
      <w:pPr>
        <w:spacing w:after="140" w:line="252" w:lineRule="auto"/>
      </w:pPr>
      <w:r>
        <w:rPr>
          <w:rFonts w:ascii="Inter" w:hAnsi="Inter" w:eastAsia="Inter"/>
          <w:b w:val="0"/>
          <w:color w:val="1B1F17"/>
          <w:sz w:val="20"/>
        </w:rPr>
        <w:t>Medical review should confirm scientific accuracy, clinical context, and evidentiary support.</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Verify every claim against the cited source, approved label, study report, publication, dataset, or approved claims library entry.</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the evidence supports the exact wording, not a broader implication. Watch for unsupported extrapolation across populations, endpoints, disease severity, treatment lines, geographies, comparators, dosing, timing, or care settings.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Check study design and limitations:</w:t>
            </w:r>
            <w:r>
              <w:rPr>
                <w:rFonts w:ascii="Inter" w:hAnsi="Inter" w:eastAsia="Inter"/>
                <w:b w:val="0"/>
                <w:color w:val="1B1F17"/>
                <w:sz w:val="18"/>
              </w:rPr>
              <w:t xml:space="preserve"> randomized vs observational, prospective vs retrospective, sample size, controls, missing data, subgroup analysis, post hoc analysis, statistical significance, confidence intervals, multiplicity, external validity, and real-world-data provenance.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comparative claims are supported by head-to-head evidence or clearly qualified indirect evidence. Avoid implied superiority when only single-arm, noncomparative, or cross-trial information is available.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HEOR and payer materials, check model assumptions, cost inputs, time horizons, perspective, sensitivity analyses, endpoints, budget-impact logic, RWE quality, and whether the audience is qualified to receive the communication.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patient/consumer materials, confirm plain-language accuracy, health-literacy fit, no overstatement, no minimization of risks, and no unsupported implication that outcomes are typical or guaranteed.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adverse event, contraindication, limitation-of-use, and uncertainty statements are complete and not diluted by layout or tone.</w:t>
            </w:r>
          </w:p>
        </w:tc>
      </w:tr>
    </w:tbl>
    <w:p>
      <w:pPr>
        <w:spacing w:after="140" w:line="252" w:lineRule="auto"/>
      </w:pPr>
      <w:r>
        <w:rPr>
          <w:rFonts w:ascii="Inter" w:hAnsi="Inter" w:eastAsia="Inter"/>
          <w:b w:val="0"/>
          <w:color w:val="1B1F17"/>
          <w:sz w:val="20"/>
        </w:rPr>
        <w:t>Medical sign-off output should include claim-level substantiation status, required qualifications, unresolved evidence gaps, and whether the document is scientifically accurate for the stated audience.</w:t>
      </w:r>
    </w:p>
    <w:p>
      <w:pPr>
        <w:spacing w:before="280" w:after="160"/>
        <w:pBdr>
          <w:bottom w:val="single" w:sz="8" w:space="6" w:color="10120F"/>
        </w:pBdr>
      </w:pPr>
      <w:r>
        <w:rPr>
          <w:rFonts w:ascii="Inter" w:hAnsi="Inter" w:eastAsia="Inter"/>
          <w:b/>
          <w:color w:val="10120F"/>
          <w:sz w:val="30"/>
        </w:rPr>
        <w:t>4. Legal and Compliance Review</w:t>
      </w:r>
      <w:r>
        <w:t xml:space="preserve"> </w:t>
      </w:r>
      <w:hyperlink r:id="rId13">
        <w:r>
          <w:rPr>
            <w:rFonts w:ascii="Inter" w:hAnsi="Inter" w:eastAsia="Inter"/>
            <w:color w:val="025E8D"/>
            <w:sz w:val="16"/>
          </w:rPr>
          <w:t>[12]</w:t>
        </w:r>
      </w:hyperlink>
      <w:r>
        <w:t xml:space="preserve"> </w:t>
      </w:r>
      <w:hyperlink r:id="rId18">
        <w:r>
          <w:rPr>
            <w:rFonts w:ascii="Inter" w:hAnsi="Inter" w:eastAsia="Inter"/>
            <w:color w:val="025E8D"/>
            <w:sz w:val="16"/>
          </w:rPr>
          <w:t>[13]</w:t>
        </w:r>
      </w:hyperlink>
      <w:r>
        <w:t xml:space="preserve"> </w:t>
      </w:r>
      <w:hyperlink r:id="rId20">
        <w:r>
          <w:rPr>
            <w:rFonts w:ascii="Inter" w:hAnsi="Inter" w:eastAsia="Inter"/>
            <w:color w:val="025E8D"/>
            <w:sz w:val="16"/>
          </w:rPr>
          <w:t>[16]</w:t>
        </w:r>
      </w:hyperlink>
      <w:r>
        <w:t xml:space="preserve"> </w:t>
      </w:r>
      <w:hyperlink r:id="rId21">
        <w:r>
          <w:rPr>
            <w:rFonts w:ascii="Inter" w:hAnsi="Inter" w:eastAsia="Inter"/>
            <w:color w:val="025E8D"/>
            <w:sz w:val="16"/>
          </w:rPr>
          <w:t>[17]</w:t>
        </w:r>
      </w:hyperlink>
    </w:p>
    <w:p>
      <w:pPr>
        <w:spacing w:after="140" w:line="252" w:lineRule="auto"/>
      </w:pPr>
      <w:r>
        <w:rPr>
          <w:rFonts w:ascii="Inter" w:hAnsi="Inter" w:eastAsia="Inter"/>
          <w:b w:val="0"/>
          <w:color w:val="1B1F17"/>
          <w:sz w:val="20"/>
        </w:rPr>
        <w:t>Legal review should focus on risk, permissibility, contracts, rights, privacy, and fraud-and-abuse exposure.</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the material is not false or misleading by statement, implication, omission, format, testimonial, endorsement, comparative framing, or visual presentation.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Check off-label and investigational-use boundaries. For scientific exchange or SIUU/HCP materials, confirm the material is appropriately scientific, non-promotional, audience-limited, and separated from promotional calls to action.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Review HCP interaction implications:</w:t>
            </w:r>
            <w:r>
              <w:rPr>
                <w:rFonts w:ascii="Inter" w:hAnsi="Inter" w:eastAsia="Inter"/>
                <w:b w:val="0"/>
                <w:color w:val="1B1F17"/>
                <w:sz w:val="18"/>
              </w:rPr>
              <w:t xml:space="preserve"> speaker program use, consultant/advisor use, meals, honoraria, transfer-of-value reporting, no inducement, fair-market-value documentation, and PhRMA Code or company-policy fit.</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Review endorsements, testimonials, KOL quotes, patient stories, influencer content, and expert statements for material-connection disclosures, typicality, substantiation, rights, consent, and platform visibility.</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Check privacy, HIPAA, consent, data-use rights, copyright permissions, image licenses, journal/reprint permissions, trademark usage, competitor references, and confidentiality.</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disclaimers and disclosures are clear, proximate, readable, and not contradicted by larger or more prominent claims.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AI-assisted or automated content, confirm traceability, human review, source validation, and no hallucinated or unapproved claims.</w:t>
            </w:r>
          </w:p>
        </w:tc>
      </w:tr>
    </w:tbl>
    <w:p>
      <w:pPr>
        <w:spacing w:after="140" w:line="252" w:lineRule="auto"/>
      </w:pPr>
      <w:r>
        <w:rPr>
          <w:rFonts w:ascii="Inter" w:hAnsi="Inter" w:eastAsia="Inter"/>
          <w:b w:val="0"/>
          <w:color w:val="1B1F17"/>
          <w:sz w:val="20"/>
        </w:rPr>
        <w:t>Legal sign-off output should state whether the document can be used for the stated purpose and audience, what limitations apply, and what records must be retained.</w:t>
      </w:r>
    </w:p>
    <w:p>
      <w:pPr>
        <w:spacing w:before="280" w:after="160"/>
        <w:pBdr>
          <w:bottom w:val="single" w:sz="8" w:space="6" w:color="10120F"/>
        </w:pBdr>
      </w:pPr>
      <w:r>
        <w:rPr>
          <w:rFonts w:ascii="Inter" w:hAnsi="Inter" w:eastAsia="Inter"/>
          <w:b/>
          <w:color w:val="10120F"/>
          <w:sz w:val="30"/>
        </w:rPr>
        <w:t>5. Regulatory Review</w:t>
      </w:r>
      <w:r>
        <w:t xml:space="preserve"> </w:t>
      </w:r>
      <w:hyperlink r:id="rId10">
        <w:r>
          <w:rPr>
            <w:rFonts w:ascii="Inter" w:hAnsi="Inter" w:eastAsia="Inter"/>
            <w:color w:val="025E8D"/>
            <w:sz w:val="16"/>
          </w:rPr>
          <w:t>[2]</w:t>
        </w:r>
      </w:hyperlink>
      <w:r>
        <w:t xml:space="preserve"> </w:t>
      </w:r>
      <w:hyperlink r:id="rId11">
        <w:r>
          <w:rPr>
            <w:rFonts w:ascii="Inter" w:hAnsi="Inter" w:eastAsia="Inter"/>
            <w:color w:val="025E8D"/>
            <w:sz w:val="16"/>
          </w:rPr>
          <w:t>[3]</w:t>
        </w:r>
      </w:hyperlink>
      <w:r>
        <w:t xml:space="preserve"> </w:t>
      </w:r>
      <w:hyperlink r:id="rId12">
        <w:r>
          <w:rPr>
            <w:rFonts w:ascii="Inter" w:hAnsi="Inter" w:eastAsia="Inter"/>
            <w:color w:val="025E8D"/>
            <w:sz w:val="16"/>
          </w:rPr>
          <w:t>[4]</w:t>
        </w:r>
      </w:hyperlink>
      <w:r>
        <w:t xml:space="preserve"> </w:t>
      </w:r>
      <w:hyperlink r:id="rId22">
        <w:r>
          <w:rPr>
            <w:rFonts w:ascii="Inter" w:hAnsi="Inter" w:eastAsia="Inter"/>
            <w:color w:val="025E8D"/>
            <w:sz w:val="16"/>
          </w:rPr>
          <w:t>[6]</w:t>
        </w:r>
      </w:hyperlink>
      <w:r>
        <w:t xml:space="preserve"> </w:t>
      </w:r>
      <w:hyperlink r:id="rId23">
        <w:r>
          <w:rPr>
            <w:rFonts w:ascii="Inter" w:hAnsi="Inter" w:eastAsia="Inter"/>
            <w:color w:val="025E8D"/>
            <w:sz w:val="16"/>
          </w:rPr>
          <w:t>[7]</w:t>
        </w:r>
      </w:hyperlink>
      <w:r>
        <w:t xml:space="preserve"> </w:t>
      </w:r>
      <w:hyperlink r:id="rId24">
        <w:r>
          <w:rPr>
            <w:rFonts w:ascii="Inter" w:hAnsi="Inter" w:eastAsia="Inter"/>
            <w:color w:val="025E8D"/>
            <w:sz w:val="16"/>
          </w:rPr>
          <w:t>[9]</w:t>
        </w:r>
      </w:hyperlink>
      <w:r>
        <w:t xml:space="preserve"> </w:t>
      </w:r>
      <w:hyperlink r:id="rId25">
        <w:r>
          <w:rPr>
            <w:rFonts w:ascii="Inter" w:hAnsi="Inter" w:eastAsia="Inter"/>
            <w:color w:val="025E8D"/>
            <w:sz w:val="16"/>
          </w:rPr>
          <w:t>[10]</w:t>
        </w:r>
      </w:hyperlink>
      <w:r>
        <w:t xml:space="preserve"> </w:t>
      </w:r>
      <w:hyperlink r:id="rId17">
        <w:r>
          <w:rPr>
            <w:rFonts w:ascii="Inter" w:hAnsi="Inter" w:eastAsia="Inter"/>
            <w:color w:val="025E8D"/>
            <w:sz w:val="16"/>
          </w:rPr>
          <w:t>[11]</w:t>
        </w:r>
      </w:hyperlink>
    </w:p>
    <w:p>
      <w:pPr>
        <w:spacing w:after="140" w:line="252" w:lineRule="auto"/>
      </w:pPr>
      <w:r>
        <w:rPr>
          <w:rFonts w:ascii="Inter" w:hAnsi="Inter" w:eastAsia="Inter"/>
          <w:b w:val="0"/>
          <w:color w:val="1B1F17"/>
          <w:sz w:val="20"/>
        </w:rPr>
        <w:t>Regulatory review should confirm alignment with labeling, promotional regulations, guidance, and submission requirements.</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the document is consistent with current approved labeling where applicable: indication, population, dosing, limitations, contraindications, warnings, adverse reactions, clinical-trial context, and patient counseling information.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communications consistent with FDA-required labeling, document why the communication does not conflict with labeling, does not increase potential harm, does not broaden intended use, and is supported by scientifically appropriate evidence.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promotional pieces, confirm fair balance and risk information: comparable prominence to benefit claims, proximity to relevant claims, readable formatting, complete material risks, no distracting elements, no minimization, and channel-appropriate presentation.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DTC materials, confirm consumer comprehension, major statement requirements for TV/radio when applicable, quantitative efficacy/risk presentation, absolute numbers and denominators, baseline risk, timeframe, comparator clarity, and avoidance of misleading visuals.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payer/formulary communications, confirm the audience is payor/formulary/similar entity, HCEI or product information is clearly contextualized, assumptions and limitations are disclosed, and investigational or anticipated information is separated and qualified.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medical-device or multi-market materials, confirm local rules, device claims, intended-use boundaries, and country-specific review/approval needs.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color w:val="10120F"/>
                <w:sz w:val="18"/>
              </w:rPr>
              <w:t>Confirm FDA/OPDP submission readiness where required:</w:t>
            </w:r>
            <w:r>
              <w:rPr>
                <w:rFonts w:ascii="Inter" w:hAnsi="Inter" w:eastAsia="Inter"/>
                <w:b w:val="0"/>
                <w:color w:val="1B1F17"/>
                <w:sz w:val="18"/>
              </w:rPr>
              <w:t xml:space="preserve"> final specimen, first-use date, current professional labeling, Form FDA 2253, application/product identifiers, eCTD placement, and archive package.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Trigger re-review when labeling changes, new safety information emerges, claims expire, data are updated, distribution channel changes, audience changes, or geography changes.</w:t>
            </w:r>
          </w:p>
        </w:tc>
      </w:tr>
    </w:tbl>
    <w:p>
      <w:pPr>
        <w:spacing w:after="140" w:line="252" w:lineRule="auto"/>
      </w:pPr>
      <w:r>
        <w:rPr>
          <w:rFonts w:ascii="Inter" w:hAnsi="Inter" w:eastAsia="Inter"/>
          <w:b w:val="0"/>
          <w:color w:val="1B1F17"/>
          <w:sz w:val="20"/>
        </w:rPr>
        <w:t>Regulatory sign-off output should define approved use conditions, expiration/re-review date, required submissions, and any channel/geography restrictions.</w:t>
      </w:r>
    </w:p>
    <w:p>
      <w:pPr>
        <w:spacing w:before="280" w:after="160"/>
        <w:pBdr>
          <w:bottom w:val="single" w:sz="8" w:space="6" w:color="10120F"/>
        </w:pBdr>
      </w:pPr>
      <w:r>
        <w:rPr>
          <w:rFonts w:ascii="Inter" w:hAnsi="Inter" w:eastAsia="Inter"/>
          <w:b/>
          <w:color w:val="10120F"/>
          <w:sz w:val="30"/>
        </w:rPr>
        <w:t>6. Audience-Specific Review Gates</w:t>
      </w:r>
      <w:r>
        <w:t xml:space="preserve"> </w:t>
      </w:r>
      <w:hyperlink r:id="rId12">
        <w:r>
          <w:rPr>
            <w:rFonts w:ascii="Inter" w:hAnsi="Inter" w:eastAsia="Inter"/>
            <w:color w:val="025E8D"/>
            <w:sz w:val="16"/>
          </w:rPr>
          <w:t>[4]</w:t>
        </w:r>
      </w:hyperlink>
      <w:r>
        <w:t xml:space="preserve"> </w:t>
      </w:r>
      <w:hyperlink r:id="rId16">
        <w:r>
          <w:rPr>
            <w:rFonts w:ascii="Inter" w:hAnsi="Inter" w:eastAsia="Inter"/>
            <w:color w:val="025E8D"/>
            <w:sz w:val="16"/>
          </w:rPr>
          <w:t>[5]</w:t>
        </w:r>
      </w:hyperlink>
      <w:r>
        <w:t xml:space="preserve"> </w:t>
      </w:r>
      <w:hyperlink r:id="rId22">
        <w:r>
          <w:rPr>
            <w:rFonts w:ascii="Inter" w:hAnsi="Inter" w:eastAsia="Inter"/>
            <w:color w:val="025E8D"/>
            <w:sz w:val="16"/>
          </w:rPr>
          <w:t>[6]</w:t>
        </w:r>
      </w:hyperlink>
      <w:r>
        <w:t xml:space="preserve"> </w:t>
      </w:r>
      <w:hyperlink r:id="rId13">
        <w:r>
          <w:rPr>
            <w:rFonts w:ascii="Inter" w:hAnsi="Inter" w:eastAsia="Inter"/>
            <w:color w:val="025E8D"/>
            <w:sz w:val="16"/>
          </w:rPr>
          <w:t>[12]</w:t>
        </w:r>
      </w:hyperlink>
      <w:r>
        <w:t xml:space="preserve"> </w:t>
      </w:r>
      <w:hyperlink r:id="rId14">
        <w:r>
          <w:rPr>
            <w:rFonts w:ascii="Inter" w:hAnsi="Inter" w:eastAsia="Inter"/>
            <w:color w:val="025E8D"/>
            <w:sz w:val="16"/>
          </w:rPr>
          <w:t>[14]</w:t>
        </w:r>
      </w:hyperlink>
    </w:p>
    <w:p>
      <w:pPr>
        <w:spacing w:before="160" w:after="80"/>
      </w:pPr>
      <w:r>
        <w:rPr>
          <w:rFonts w:ascii="Inter" w:hAnsi="Inter" w:eastAsia="Inter"/>
          <w:b/>
          <w:color w:val="025E8D"/>
          <w:sz w:val="21"/>
        </w:rPr>
        <w:t>Patients and Caregivers</w:t>
      </w:r>
      <w:r>
        <w:t xml:space="preserve"> </w:t>
      </w:r>
      <w:hyperlink r:id="rId22">
        <w:r>
          <w:rPr>
            <w:rFonts w:ascii="Inter" w:hAnsi="Inter" w:eastAsia="Inter"/>
            <w:color w:val="025E8D"/>
            <w:sz w:val="16"/>
          </w:rPr>
          <w:t>[6]</w:t>
        </w:r>
      </w:hyperlink>
      <w:r>
        <w:t xml:space="preserve"> </w:t>
      </w:r>
      <w:hyperlink r:id="rId23">
        <w:r>
          <w:rPr>
            <w:rFonts w:ascii="Inter" w:hAnsi="Inter" w:eastAsia="Inter"/>
            <w:color w:val="025E8D"/>
            <w:sz w:val="16"/>
          </w:rPr>
          <w:t>[7]</w:t>
        </w:r>
      </w:hyperlink>
      <w:r>
        <w:t xml:space="preserve"> </w:t>
      </w:r>
      <w:hyperlink r:id="rId26">
        <w:r>
          <w:rPr>
            <w:rFonts w:ascii="Inter" w:hAnsi="Inter" w:eastAsia="Inter"/>
            <w:color w:val="025E8D"/>
            <w:sz w:val="16"/>
          </w:rPr>
          <w:t>[8]</w:t>
        </w:r>
      </w:hyperlink>
      <w:r>
        <w:t xml:space="preserve"> </w:t>
      </w:r>
      <w:hyperlink r:id="rId13">
        <w:r>
          <w:rPr>
            <w:rFonts w:ascii="Inter" w:hAnsi="Inter" w:eastAsia="Inter"/>
            <w:color w:val="025E8D"/>
            <w:sz w:val="16"/>
          </w:rPr>
          <w:t>[12]</w:t>
        </w:r>
      </w:hyperlink>
      <w:r>
        <w:t xml:space="preserve"> </w:t>
      </w:r>
      <w:hyperlink r:id="rId18">
        <w:r>
          <w:rPr>
            <w:rFonts w:ascii="Inter" w:hAnsi="Inter" w:eastAsia="Inter"/>
            <w:color w:val="025E8D"/>
            <w:sz w:val="16"/>
          </w:rPr>
          <w:t>[13]</w:t>
        </w:r>
      </w:hyperlink>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Use plain language and avoid technical ambiguity.</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Present benefits and risks together, with risks readable and prominent.</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Do not imply guaranteed outcomes, typical benefit without substantiation, diagnosis/treatment advice beyond approved scope, or omission of material limitations.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Review testimonials, images, affordability/access statements, patient-support claims, and adverse-event reporting instructions.</w:t>
            </w:r>
          </w:p>
        </w:tc>
      </w:tr>
    </w:tbl>
    <w:p>
      <w:pPr>
        <w:spacing w:before="160" w:after="80"/>
      </w:pPr>
      <w:r>
        <w:rPr>
          <w:rFonts w:ascii="Inter" w:hAnsi="Inter" w:eastAsia="Inter"/>
          <w:b/>
          <w:color w:val="025E8D"/>
          <w:sz w:val="21"/>
        </w:rPr>
        <w:t>HCPs and Medical Audiences</w:t>
      </w:r>
      <w:r>
        <w:t xml:space="preserve"> </w:t>
      </w:r>
      <w:hyperlink r:id="rId11">
        <w:r>
          <w:rPr>
            <w:rFonts w:ascii="Inter" w:hAnsi="Inter" w:eastAsia="Inter"/>
            <w:color w:val="025E8D"/>
            <w:sz w:val="16"/>
          </w:rPr>
          <w:t>[3]</w:t>
        </w:r>
      </w:hyperlink>
      <w:r>
        <w:t xml:space="preserve"> </w:t>
      </w:r>
      <w:hyperlink r:id="rId16">
        <w:r>
          <w:rPr>
            <w:rFonts w:ascii="Inter" w:hAnsi="Inter" w:eastAsia="Inter"/>
            <w:color w:val="025E8D"/>
            <w:sz w:val="16"/>
          </w:rPr>
          <w:t>[5]</w:t>
        </w:r>
      </w:hyperlink>
      <w:r>
        <w:t xml:space="preserve"> </w:t>
      </w:r>
      <w:hyperlink r:id="rId21">
        <w:r>
          <w:rPr>
            <w:rFonts w:ascii="Inter" w:hAnsi="Inter" w:eastAsia="Inter"/>
            <w:color w:val="025E8D"/>
            <w:sz w:val="16"/>
          </w:rPr>
          <w:t>[17]</w:t>
        </w:r>
      </w:hyperlink>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clinical detail is accurate and not promotional beyond approved scope unless the document is a properly controlled scientific exchange/SIUU material.</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Preserve study limitations, population, endpoint definitions, dosing context, and risk information.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Distinguish medical information, MSL exchange, reprint use, congress scientific content, and sales-promotional use.</w:t>
            </w:r>
          </w:p>
        </w:tc>
      </w:tr>
    </w:tbl>
    <w:p>
      <w:pPr>
        <w:spacing w:before="160" w:after="80"/>
      </w:pPr>
      <w:r>
        <w:rPr>
          <w:rFonts w:ascii="Inter" w:hAnsi="Inter" w:eastAsia="Inter"/>
          <w:b/>
          <w:color w:val="025E8D"/>
          <w:sz w:val="21"/>
        </w:rPr>
        <w:t>Payers, Formulary Committees, and Similar Entities</w:t>
      </w:r>
      <w:r>
        <w:t xml:space="preserve"> </w:t>
      </w:r>
      <w:hyperlink r:id="rId12">
        <w:r>
          <w:rPr>
            <w:rFonts w:ascii="Inter" w:hAnsi="Inter" w:eastAsia="Inter"/>
            <w:color w:val="025E8D"/>
            <w:sz w:val="16"/>
          </w:rPr>
          <w:t>[4]</w:t>
        </w:r>
      </w:hyperlink>
      <w:r>
        <w:t xml:space="preserve"> </w:t>
      </w:r>
      <w:hyperlink r:id="rId14">
        <w:r>
          <w:rPr>
            <w:rFonts w:ascii="Inter" w:hAnsi="Inter" w:eastAsia="Inter"/>
            <w:color w:val="025E8D"/>
            <w:sz w:val="16"/>
          </w:rPr>
          <w:t>[14]</w:t>
        </w:r>
      </w:hyperlink>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Confirm the audience is qualified for payer/formulary decision making.</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Separate approved product information, HCEI, preapproval information, investigational context, assumptions, and limitations.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Check model transparency, budget-impact logic, economic inputs, sensitivity analyses, evidence grading, and consistency with AMCP Format expectations where relevant.</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Avoid adapting payer materials for HCP/patient use without fresh review.</w:t>
            </w:r>
          </w:p>
        </w:tc>
      </w:tr>
    </w:tbl>
    <w:p>
      <w:pPr>
        <w:spacing w:before="160" w:after="80"/>
      </w:pPr>
      <w:r>
        <w:rPr>
          <w:rFonts w:ascii="Inter" w:hAnsi="Inter" w:eastAsia="Inter"/>
          <w:b/>
          <w:color w:val="025E8D"/>
          <w:sz w:val="21"/>
        </w:rPr>
        <w:t>Public, Media, Investors, Advocacy, and Policymakers</w:t>
      </w:r>
      <w:r>
        <w:t xml:space="preserve"> </w:t>
      </w:r>
      <w:hyperlink r:id="rId9">
        <w:r>
          <w:rPr>
            <w:rFonts w:ascii="Inter" w:hAnsi="Inter" w:eastAsia="Inter"/>
            <w:color w:val="025E8D"/>
            <w:sz w:val="16"/>
          </w:rPr>
          <w:t>[1]</w:t>
        </w:r>
      </w:hyperlink>
      <w:r>
        <w:t xml:space="preserve"> </w:t>
      </w:r>
      <w:hyperlink r:id="rId10">
        <w:r>
          <w:rPr>
            <w:rFonts w:ascii="Inter" w:hAnsi="Inter" w:eastAsia="Inter"/>
            <w:color w:val="025E8D"/>
            <w:sz w:val="16"/>
          </w:rPr>
          <w:t>[2]</w:t>
        </w:r>
      </w:hyperlink>
      <w:r>
        <w:t xml:space="preserve"> </w:t>
      </w:r>
      <w:hyperlink r:id="rId13">
        <w:r>
          <w:rPr>
            <w:rFonts w:ascii="Inter" w:hAnsi="Inter" w:eastAsia="Inter"/>
            <w:color w:val="025E8D"/>
            <w:sz w:val="16"/>
          </w:rPr>
          <w:t>[12]</w:t>
        </w:r>
      </w:hyperlink>
      <w:r>
        <w:t xml:space="preserve"> </w:t>
      </w:r>
      <w:hyperlink r:id="rId20">
        <w:r>
          <w:rPr>
            <w:rFonts w:ascii="Inter" w:hAnsi="Inter" w:eastAsia="Inter"/>
            <w:color w:val="025E8D"/>
            <w:sz w:val="16"/>
          </w:rPr>
          <w:t>[16]</w:t>
        </w:r>
      </w:hyperlink>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Watch for implied promotional claims, selective efficacy/safety presentation, forward-looking investigational claims, competitor comparisons, and unsupported market/access statements.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For press releases and corporate decks, ensure pipeline, regulatory, trial, and product-status language is precise and consistent with public filings, labels, registries, and company policy.</w:t>
            </w:r>
          </w:p>
        </w:tc>
      </w:tr>
    </w:tbl>
    <w:p>
      <w:pPr>
        <w:spacing w:before="280" w:after="160"/>
        <w:pBdr>
          <w:bottom w:val="single" w:sz="8" w:space="6" w:color="10120F"/>
        </w:pBdr>
      </w:pPr>
      <w:r>
        <w:rPr>
          <w:rFonts w:ascii="Inter" w:hAnsi="Inter" w:eastAsia="Inter"/>
          <w:b/>
          <w:color w:val="10120F"/>
          <w:sz w:val="30"/>
        </w:rPr>
        <w:t>7. Fair Balance and Risk-Presentation Checks</w:t>
      </w:r>
      <w:r>
        <w:t xml:space="preserve"> </w:t>
      </w:r>
      <w:hyperlink r:id="rId10">
        <w:r>
          <w:rPr>
            <w:rFonts w:ascii="Inter" w:hAnsi="Inter" w:eastAsia="Inter"/>
            <w:color w:val="025E8D"/>
            <w:sz w:val="16"/>
          </w:rPr>
          <w:t>[2]</w:t>
        </w:r>
      </w:hyperlink>
      <w:r>
        <w:t xml:space="preserve"> </w:t>
      </w:r>
      <w:hyperlink r:id="rId22">
        <w:r>
          <w:rPr>
            <w:rFonts w:ascii="Inter" w:hAnsi="Inter" w:eastAsia="Inter"/>
            <w:color w:val="025E8D"/>
            <w:sz w:val="16"/>
          </w:rPr>
          <w:t>[6]</w:t>
        </w:r>
      </w:hyperlink>
      <w:r>
        <w:t xml:space="preserve"> </w:t>
      </w:r>
      <w:hyperlink r:id="rId23">
        <w:r>
          <w:rPr>
            <w:rFonts w:ascii="Inter" w:hAnsi="Inter" w:eastAsia="Inter"/>
            <w:color w:val="025E8D"/>
            <w:sz w:val="16"/>
          </w:rPr>
          <w:t>[7]</w:t>
        </w:r>
      </w:hyperlink>
      <w:r>
        <w:t xml:space="preserve"> </w:t>
      </w:r>
      <w:hyperlink r:id="rId26">
        <w:r>
          <w:rPr>
            <w:rFonts w:ascii="Inter" w:hAnsi="Inter" w:eastAsia="Inter"/>
            <w:color w:val="025E8D"/>
            <w:sz w:val="16"/>
          </w:rPr>
          <w:t>[8]</w:t>
        </w:r>
      </w:hyperlink>
    </w:p>
    <w:p>
      <w:pPr>
        <w:spacing w:after="140" w:line="252" w:lineRule="auto"/>
      </w:pPr>
      <w:r>
        <w:rPr>
          <w:rFonts w:ascii="Inter" w:hAnsi="Inter" w:eastAsia="Inter"/>
          <w:b w:val="0"/>
          <w:color w:val="1B1F17"/>
          <w:sz w:val="20"/>
        </w:rPr>
        <w:t>Fair balance is not just a copy block. It is a whole-document design and channel assessment.</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Benefit claims and risk information should be comparable in prominence, readability, pace, audio/visual emphasis, and proximity.</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Risk text should not be hidden in footnotes, low-contrast areas, tiny type, fast supers, collapsed accordions, or links that are not clearly connected to the claim.</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Visuals should not undercut risk information through distracting animation, emotionally loaded imagery, misleading scales, truncated axes, selective color, or crowded layout.</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Major limitations, contraindications, warnings, and material adverse events should be included when relevant to the claim and audience.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Quantitative claims should include absolute numbers, denominators, timeframe, comparator, and uncertainty where needed.</w:t>
            </w:r>
          </w:p>
        </w:tc>
      </w:tr>
    </w:tbl>
    <w:p>
      <w:pPr>
        <w:spacing w:before="280" w:after="160"/>
        <w:pBdr>
          <w:bottom w:val="single" w:sz="8" w:space="6" w:color="10120F"/>
        </w:pBdr>
      </w:pPr>
      <w:r>
        <w:rPr>
          <w:rFonts w:ascii="Inter" w:hAnsi="Inter" w:eastAsia="Inter"/>
          <w:b/>
          <w:color w:val="10120F"/>
          <w:sz w:val="30"/>
        </w:rPr>
        <w:t>8. Approval, Archiving, and Release Controls</w:t>
      </w:r>
      <w:r>
        <w:t xml:space="preserve"> </w:t>
      </w:r>
      <w:hyperlink r:id="rId24">
        <w:r>
          <w:rPr>
            <w:rFonts w:ascii="Inter" w:hAnsi="Inter" w:eastAsia="Inter"/>
            <w:color w:val="025E8D"/>
            <w:sz w:val="16"/>
          </w:rPr>
          <w:t>[9]</w:t>
        </w:r>
      </w:hyperlink>
      <w:r>
        <w:t xml:space="preserve"> </w:t>
      </w:r>
      <w:hyperlink r:id="rId25">
        <w:r>
          <w:rPr>
            <w:rFonts w:ascii="Inter" w:hAnsi="Inter" w:eastAsia="Inter"/>
            <w:color w:val="025E8D"/>
            <w:sz w:val="16"/>
          </w:rPr>
          <w:t>[10]</w:t>
        </w:r>
      </w:hyperlink>
      <w:r>
        <w:t xml:space="preserve"> </w:t>
      </w:r>
      <w:hyperlink r:id="rId17">
        <w:r>
          <w:rPr>
            <w:rFonts w:ascii="Inter" w:hAnsi="Inter" w:eastAsia="Inter"/>
            <w:color w:val="025E8D"/>
            <w:sz w:val="16"/>
          </w:rPr>
          <w:t>[11]</w:t>
        </w:r>
      </w:hyperlink>
      <w:r>
        <w:t xml:space="preserve"> </w:t>
      </w:r>
      <w:hyperlink r:id="rId20">
        <w:r>
          <w:rPr>
            <w:rFonts w:ascii="Inter" w:hAnsi="Inter" w:eastAsia="Inter"/>
            <w:color w:val="025E8D"/>
            <w:sz w:val="16"/>
          </w:rPr>
          <w:t>[16]</w:t>
        </w:r>
      </w:hyperlink>
      <w:r>
        <w:t xml:space="preserve"> </w:t>
      </w:r>
      <w:hyperlink r:id="rId27">
        <w:r>
          <w:rPr>
            <w:rFonts w:ascii="Inter" w:hAnsi="Inter" w:eastAsia="Inter"/>
            <w:color w:val="025E8D"/>
            <w:sz w:val="16"/>
          </w:rPr>
          <w:t>[19]</w:t>
        </w:r>
      </w:hyperlink>
      <w:r>
        <w:t xml:space="preserve"> </w:t>
      </w:r>
      <w:hyperlink r:id="rId28">
        <w:r>
          <w:rPr>
            <w:rFonts w:ascii="Inter" w:hAnsi="Inter" w:eastAsia="Inter"/>
            <w:color w:val="025E8D"/>
            <w:sz w:val="16"/>
          </w:rPr>
          <w:t>[20]</w:t>
        </w:r>
      </w:hyperlink>
    </w:p>
    <w:p>
      <w:pPr>
        <w:spacing w:after="140" w:line="252" w:lineRule="auto"/>
      </w:pPr>
      <w:r>
        <w:rPr>
          <w:rFonts w:ascii="Inter" w:hAnsi="Inter" w:eastAsia="Inter"/>
          <w:b w:val="0"/>
          <w:color w:val="1B1F17"/>
          <w:sz w:val="20"/>
        </w:rPr>
        <w:t>An MLR-approved document should have controlled metadata and a reproducible approval record.</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Unique material ID, version number, owner, product, audience, channel, geography, intended use, approval date, expiration/re-review date, and distribution restrictions.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Claim matrix and source package with exact cited source versions.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Reviewer comments, required changes, final approvals, unresolved-risk decisions, and escalation outcomes.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Final clean file, annotated file if used, PI/brief-summary/ISI package where applicable, and submission package if required.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Distribution controls so sales, medical, agencies, field teams, and websites use only the approved version.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Withdrawal/replacement process for expired materials or materials affected by label changes, safety updates, data corrections, or guidance/SOP changes.</w:t>
            </w:r>
          </w:p>
        </w:tc>
      </w:tr>
    </w:tbl>
    <w:p>
      <w:pPr>
        <w:spacing w:before="280" w:after="160"/>
        <w:pBdr>
          <w:bottom w:val="single" w:sz="8" w:space="6" w:color="10120F"/>
        </w:pBdr>
      </w:pPr>
      <w:r>
        <w:rPr>
          <w:rFonts w:ascii="Inter" w:hAnsi="Inter" w:eastAsia="Inter"/>
          <w:b/>
          <w:color w:val="10120F"/>
          <w:sz w:val="30"/>
        </w:rPr>
        <w:t>9. Post-Use Monitoring</w:t>
      </w:r>
      <w:r>
        <w:t xml:space="preserve"> </w:t>
      </w:r>
      <w:hyperlink r:id="rId24">
        <w:r>
          <w:rPr>
            <w:rFonts w:ascii="Inter" w:hAnsi="Inter" w:eastAsia="Inter"/>
            <w:color w:val="025E8D"/>
            <w:sz w:val="16"/>
          </w:rPr>
          <w:t>[9]</w:t>
        </w:r>
      </w:hyperlink>
      <w:r>
        <w:t xml:space="preserve"> </w:t>
      </w:r>
      <w:hyperlink r:id="rId25">
        <w:r>
          <w:rPr>
            <w:rFonts w:ascii="Inter" w:hAnsi="Inter" w:eastAsia="Inter"/>
            <w:color w:val="025E8D"/>
            <w:sz w:val="16"/>
          </w:rPr>
          <w:t>[10]</w:t>
        </w:r>
      </w:hyperlink>
      <w:r>
        <w:t xml:space="preserve"> </w:t>
      </w:r>
      <w:hyperlink r:id="rId20">
        <w:r>
          <w:rPr>
            <w:rFonts w:ascii="Inter" w:hAnsi="Inter" w:eastAsia="Inter"/>
            <w:color w:val="025E8D"/>
            <w:sz w:val="16"/>
          </w:rPr>
          <w:t>[16]</w:t>
        </w:r>
      </w:hyperlink>
      <w:r>
        <w:t xml:space="preserve"> </w:t>
      </w:r>
      <w:hyperlink r:id="rId27">
        <w:r>
          <w:rPr>
            <w:rFonts w:ascii="Inter" w:hAnsi="Inter" w:eastAsia="Inter"/>
            <w:color w:val="025E8D"/>
            <w:sz w:val="16"/>
          </w:rPr>
          <w:t>[19]</w:t>
        </w:r>
      </w:hyperlink>
      <w:r>
        <w:t xml:space="preserve"> </w:t>
      </w:r>
      <w:hyperlink r:id="rId28">
        <w:r>
          <w:rPr>
            <w:rFonts w:ascii="Inter" w:hAnsi="Inter" w:eastAsia="Inter"/>
            <w:color w:val="025E8D"/>
            <w:sz w:val="16"/>
          </w:rPr>
          <w:t>[20]</w:t>
        </w:r>
      </w:hyperlink>
    </w:p>
    <w:p>
      <w:pPr>
        <w:spacing w:after="140" w:line="252" w:lineRule="auto"/>
      </w:pPr>
      <w:r>
        <w:rPr>
          <w:rFonts w:ascii="Inter" w:hAnsi="Inter" w:eastAsia="Inter"/>
          <w:b w:val="0"/>
          <w:color w:val="1B1F17"/>
          <w:sz w:val="20"/>
        </w:rPr>
        <w:t>MLR compliance does not end at approval.</w:t>
      </w:r>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Monitor field use, website/social deployment, media placement, speaker use, and agency adaptations against approved conditions.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Capture adverse events, product complaints, off-label questions, misinformation issues, and unsolicited requests through the correct company processes.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Audit samples of deployed material for version control, broken links, missing risk information, unauthorized edits, and expired claims.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Re-review after new labeling, new safety information, new publications, payer-policy changes, new competitive claims, or changed distribution channels.</w:t>
            </w:r>
          </w:p>
        </w:tc>
      </w:tr>
    </w:tbl>
    <w:p>
      <w:pPr>
        <w:spacing w:before="280" w:after="160"/>
        <w:pBdr>
          <w:bottom w:val="single" w:sz="8" w:space="6" w:color="10120F"/>
        </w:pBdr>
      </w:pPr>
      <w:r>
        <w:rPr>
          <w:rFonts w:ascii="Inter" w:hAnsi="Inter" w:eastAsia="Inter"/>
          <w:b/>
          <w:color w:val="10120F"/>
          <w:sz w:val="30"/>
        </w:rPr>
        <w:t>10. Common Red Flags</w:t>
      </w:r>
      <w:r>
        <w:t xml:space="preserve"> </w:t>
      </w:r>
      <w:hyperlink r:id="rId10">
        <w:r>
          <w:rPr>
            <w:rFonts w:ascii="Inter" w:hAnsi="Inter" w:eastAsia="Inter"/>
            <w:color w:val="025E8D"/>
            <w:sz w:val="16"/>
          </w:rPr>
          <w:t>[2]</w:t>
        </w:r>
      </w:hyperlink>
      <w:r>
        <w:t xml:space="preserve"> </w:t>
      </w:r>
      <w:hyperlink r:id="rId11">
        <w:r>
          <w:rPr>
            <w:rFonts w:ascii="Inter" w:hAnsi="Inter" w:eastAsia="Inter"/>
            <w:color w:val="025E8D"/>
            <w:sz w:val="16"/>
          </w:rPr>
          <w:t>[3]</w:t>
        </w:r>
      </w:hyperlink>
      <w:r>
        <w:t xml:space="preserve"> </w:t>
      </w:r>
      <w:hyperlink r:id="rId12">
        <w:r>
          <w:rPr>
            <w:rFonts w:ascii="Inter" w:hAnsi="Inter" w:eastAsia="Inter"/>
            <w:color w:val="025E8D"/>
            <w:sz w:val="16"/>
          </w:rPr>
          <w:t>[4]</w:t>
        </w:r>
      </w:hyperlink>
      <w:r>
        <w:t xml:space="preserve"> </w:t>
      </w:r>
      <w:hyperlink r:id="rId16">
        <w:r>
          <w:rPr>
            <w:rFonts w:ascii="Inter" w:hAnsi="Inter" w:eastAsia="Inter"/>
            <w:color w:val="025E8D"/>
            <w:sz w:val="16"/>
          </w:rPr>
          <w:t>[5]</w:t>
        </w:r>
      </w:hyperlink>
      <w:r>
        <w:t xml:space="preserve"> </w:t>
      </w:r>
      <w:hyperlink r:id="rId13">
        <w:r>
          <w:rPr>
            <w:rFonts w:ascii="Inter" w:hAnsi="Inter" w:eastAsia="Inter"/>
            <w:color w:val="025E8D"/>
            <w:sz w:val="16"/>
          </w:rPr>
          <w:t>[12]</w:t>
        </w:r>
      </w:hyperlink>
      <w:r>
        <w:t xml:space="preserve"> </w:t>
      </w:r>
      <w:hyperlink r:id="rId18">
        <w:r>
          <w:rPr>
            <w:rFonts w:ascii="Inter" w:hAnsi="Inter" w:eastAsia="Inter"/>
            <w:color w:val="025E8D"/>
            <w:sz w:val="16"/>
          </w:rPr>
          <w:t>[13]</w:t>
        </w:r>
      </w:hyperlink>
    </w:p>
    <w:tbl>
      <w:tblPr>
        <w:tblW w:type="dxa" w:w="9320"/>
        <w:jc w:val="left"/>
        <w:tblLayout w:type="fixed"/>
        <w:tblLook w:firstColumn="1" w:firstRow="1" w:lastColumn="0" w:lastRow="0" w:noHBand="0" w:noVBand="1" w:val="04A0"/>
        <w:tblInd w:type="dxa" w:w="360"/>
        <w:tblBorders>
          <w:top w:val="nil"/>
          <w:left w:val="nil"/>
          <w:bottom w:val="nil"/>
          <w:right w:val="nil"/>
          <w:insideH w:val="nil"/>
          <w:insideV w:val="nil"/>
        </w:tblBorders>
      </w:tblPr>
      <w:tblGrid>
        <w:gridCol w:w="320"/>
        <w:gridCol w:w="9000"/>
      </w:tblGrid>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Audience is mixed or unclear.</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Material calls itself "educational" or "scientific" but contains product positioning or calls to action.</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Claim is broader than the underlying evidence.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Comparative wording implies superiority without direct support.</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Payer/economic claims are repurposed for HCPs or patients.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Investigational or anticipated information is not clearly separated and qualified.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Risk information is present but visually weak, distant, hard to read, or contradicted by the main layout.</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DTC numerics lack denominators, absolute numbers, timeframes, or clear comparators.</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Testimonials lack typicality, consent, or material-connection disclosure.</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Source versions, label versions, or review comments are not archived.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A labeling update or new safety signal occurred after the material was approved.</w:t>
            </w:r>
          </w:p>
        </w:tc>
      </w:tr>
      <w:tr>
        <w:tc>
          <w:tcPr>
            <w:tcW w:type="dxa" w:w="320"/>
            <w:shd w:val="clear" w:fill="F6F1E8" w:color="auto"/>
            <w:tcBorders>
              <w:top w:val="nil"/>
              <w:left w:val="nil"/>
              <w:bottom w:val="nil"/>
              <w:right w:val="nil"/>
            </w:tcBorders>
            <w:tcMar>
              <w:top w:w="0" w:type="dxa"/>
              <w:right w:w="0" w:type="dxa"/>
              <w:bottom w:w="0" w:type="dxa"/>
              <w:left w:w="0" w:type="dxa"/>
            </w:tcMar>
            <w:vAlign w:val="top"/>
          </w:tcPr>
          <w:p>
            <w:pPr>
              <w:spacing w:after="60"/>
              <w:jc w:val="center"/>
            </w:pPr>
            <w:r/>
            <w:r>
              <w:rPr>
                <w:rFonts w:ascii="Inter" w:hAnsi="Inter" w:eastAsia="Inter"/>
                <w:b w:val="0"/>
                <w:color w:val="1B1F17"/>
                <w:sz w:val="18"/>
              </w:rPr>
              <w:t>•</w:t>
            </w:r>
          </w:p>
        </w:tc>
        <w:tc>
          <w:tcPr>
            <w:tcW w:type="dxa" w:w="9000"/>
            <w:shd w:val="clear" w:fill="F6F1E8" w:color="auto"/>
            <w:tcBorders>
              <w:top w:val="nil"/>
              <w:left w:val="nil"/>
              <w:bottom w:val="nil"/>
              <w:right w:val="nil"/>
            </w:tcBorders>
            <w:tcMar>
              <w:top w:w="0" w:type="dxa"/>
              <w:right w:w="0" w:type="dxa"/>
              <w:bottom w:w="0" w:type="dxa"/>
              <w:left w:w="0" w:type="dxa"/>
            </w:tcMar>
            <w:vAlign w:val="top"/>
          </w:tcPr>
          <w:p>
            <w:pPr>
              <w:spacing w:after="60" w:line="247" w:lineRule="auto"/>
            </w:pPr>
            <w:r/>
            <w:r>
              <w:rPr>
                <w:rFonts w:ascii="Inter" w:hAnsi="Inter" w:eastAsia="Inter"/>
                <w:b w:val="0"/>
                <w:color w:val="1B1F17"/>
                <w:sz w:val="18"/>
              </w:rPr>
              <w:t>AI-generated content or agency edits introduced claims not in the approved claims library.</w:t>
            </w:r>
          </w:p>
        </w:tc>
      </w:tr>
    </w:tbl>
    <w:p>
      <w:pPr>
        <w:spacing w:before="280" w:after="160"/>
        <w:pBdr>
          <w:bottom w:val="single" w:sz="8" w:space="6" w:color="10120F"/>
        </w:pBdr>
      </w:pPr>
      <w:r>
        <w:rPr>
          <w:rFonts w:ascii="Inter" w:hAnsi="Inter" w:eastAsia="Inter"/>
          <w:b/>
          <w:color w:val="10120F"/>
          <w:sz w:val="30"/>
        </w:rPr>
        <w:t>One-Page MLR Decision Test</w:t>
      </w:r>
      <w:r>
        <w:t xml:space="preserve"> </w:t>
      </w:r>
      <w:hyperlink r:id="rId9">
        <w:r>
          <w:rPr>
            <w:rFonts w:ascii="Inter" w:hAnsi="Inter" w:eastAsia="Inter"/>
            <w:color w:val="025E8D"/>
            <w:sz w:val="16"/>
          </w:rPr>
          <w:t>[1]</w:t>
        </w:r>
      </w:hyperlink>
      <w:r>
        <w:t xml:space="preserve"> </w:t>
      </w:r>
      <w:hyperlink r:id="rId10">
        <w:r>
          <w:rPr>
            <w:rFonts w:ascii="Inter" w:hAnsi="Inter" w:eastAsia="Inter"/>
            <w:color w:val="025E8D"/>
            <w:sz w:val="16"/>
          </w:rPr>
          <w:t>[2]</w:t>
        </w:r>
      </w:hyperlink>
      <w:r>
        <w:t xml:space="preserve"> </w:t>
      </w:r>
      <w:hyperlink r:id="rId11">
        <w:r>
          <w:rPr>
            <w:rFonts w:ascii="Inter" w:hAnsi="Inter" w:eastAsia="Inter"/>
            <w:color w:val="025E8D"/>
            <w:sz w:val="16"/>
          </w:rPr>
          <w:t>[3]</w:t>
        </w:r>
      </w:hyperlink>
      <w:r>
        <w:t xml:space="preserve"> </w:t>
      </w:r>
      <w:hyperlink r:id="rId12">
        <w:r>
          <w:rPr>
            <w:rFonts w:ascii="Inter" w:hAnsi="Inter" w:eastAsia="Inter"/>
            <w:color w:val="025E8D"/>
            <w:sz w:val="16"/>
          </w:rPr>
          <w:t>[4]</w:t>
        </w:r>
      </w:hyperlink>
      <w:r>
        <w:t xml:space="preserve"> </w:t>
      </w:r>
      <w:hyperlink r:id="rId24">
        <w:r>
          <w:rPr>
            <w:rFonts w:ascii="Inter" w:hAnsi="Inter" w:eastAsia="Inter"/>
            <w:color w:val="025E8D"/>
            <w:sz w:val="16"/>
          </w:rPr>
          <w:t>[9]</w:t>
        </w:r>
      </w:hyperlink>
      <w:r>
        <w:t xml:space="preserve"> </w:t>
      </w:r>
      <w:hyperlink r:id="rId17">
        <w:r>
          <w:rPr>
            <w:rFonts w:ascii="Inter" w:hAnsi="Inter" w:eastAsia="Inter"/>
            <w:color w:val="025E8D"/>
            <w:sz w:val="16"/>
          </w:rPr>
          <w:t>[11]</w:t>
        </w:r>
      </w:hyperlink>
      <w:r>
        <w:t xml:space="preserve"> </w:t>
      </w:r>
      <w:hyperlink r:id="rId13">
        <w:r>
          <w:rPr>
            <w:rFonts w:ascii="Inter" w:hAnsi="Inter" w:eastAsia="Inter"/>
            <w:color w:val="025E8D"/>
            <w:sz w:val="16"/>
          </w:rPr>
          <w:t>[12]</w:t>
        </w:r>
      </w:hyperlink>
      <w:r>
        <w:t xml:space="preserve"> </w:t>
      </w:r>
      <w:hyperlink r:id="rId20">
        <w:r>
          <w:rPr>
            <w:rFonts w:ascii="Inter" w:hAnsi="Inter" w:eastAsia="Inter"/>
            <w:color w:val="025E8D"/>
            <w:sz w:val="16"/>
          </w:rPr>
          <w:t>[16]</w:t>
        </w:r>
      </w:hyperlink>
    </w:p>
    <w:p>
      <w:pPr>
        <w:spacing w:after="140" w:line="252" w:lineRule="auto"/>
      </w:pPr>
      <w:r>
        <w:rPr>
          <w:rFonts w:ascii="Inter" w:hAnsi="Inter" w:eastAsia="Inter"/>
          <w:b/>
          <w:color w:val="10120F"/>
          <w:sz w:val="20"/>
        </w:rPr>
        <w:t>Use this final screen before release:</w:t>
      </w:r>
      <w:r>
        <w:rPr>
          <w:rFonts w:ascii="Inter" w:hAnsi="Inter" w:eastAsia="Inter"/>
          <w:b w:val="0"/>
          <w:color w:val="1B1F17"/>
          <w:sz w:val="20"/>
        </w:rPr>
      </w:r>
    </w:p>
    <w:p>
      <w:pPr>
        <w:spacing w:after="140" w:line="252" w:lineRule="auto"/>
      </w:pPr>
      <w:r>
        <w:rPr>
          <w:rFonts w:ascii="Inter" w:hAnsi="Inter" w:eastAsia="Inter"/>
          <w:b w:val="0"/>
          <w:color w:val="1B1F17"/>
          <w:sz w:val="20"/>
        </w:rPr>
        <w:t>If any answer is no, the document is not ready for final MLR approval.</w:t>
      </w:r>
    </w:p>
    <w:tbl>
      <w:tblPr>
        <w:tblW w:type="dxa" w:w="11080"/>
        <w:tblLayout w:type="fixed"/>
        <w:tblLook w:firstColumn="1" w:firstRow="1" w:lastColumn="0" w:lastRow="0" w:noHBand="0" w:noVBand="1" w:val="04A0"/>
        <w:tblBorders>
          <w:top w:val="single" w:sz="4" w:space="0" w:color="D7CDBC"/>
          <w:left w:val="single" w:sz="4" w:space="0" w:color="D7CDBC"/>
          <w:bottom w:val="single" w:sz="4" w:space="0" w:color="D7CDBC"/>
          <w:right w:val="single" w:sz="4" w:space="0" w:color="D7CDBC"/>
          <w:insideH w:val="single" w:sz="4" w:space="0" w:color="D7CDBC"/>
          <w:insideV w:val="single" w:sz="4" w:space="0" w:color="D7CDBC"/>
        </w:tblBorders>
      </w:tblPr>
      <w:tblGrid>
        <w:gridCol w:w="540"/>
        <w:gridCol w:w="9460"/>
        <w:gridCol w:w="1080"/>
      </w:tblGrid>
      <w:tr>
        <w:tc>
          <w:tcPr>
            <w:tcW w:type="dxa" w:w="540"/>
            <w:shd w:val="clear" w:fill="10120F" w:color="auto"/>
            <w:tcBorders>
              <w:top w:val="single" w:sz="4" w:space="0" w:color="10120F"/>
              <w:left w:val="single" w:sz="4" w:space="0" w:color="10120F"/>
              <w:bottom w:val="single" w:sz="4" w:space="0" w:color="10120F"/>
              <w:right w:val="single" w:sz="4" w:space="0" w:color="10120F"/>
            </w:tcBorders>
            <w:tcMar>
              <w:top w:w="80" w:type="dxa"/>
              <w:right w:w="80" w:type="dxa"/>
              <w:bottom w:w="80" w:type="dxa"/>
              <w:left w:w="80" w:type="dxa"/>
            </w:tcMar>
          </w:tcPr>
          <w:p>
            <w:pPr>
              <w:jc w:val="center"/>
            </w:pPr>
            <w:r/>
            <w:r>
              <w:rPr>
                <w:rFonts w:ascii="Inter" w:hAnsi="Inter" w:eastAsia="Inter"/>
                <w:b/>
                <w:color w:val="F6F1E8"/>
                <w:sz w:val="16"/>
              </w:rPr>
              <w:t>Step</w:t>
            </w:r>
          </w:p>
        </w:tc>
        <w:tc>
          <w:tcPr>
            <w:tcW w:type="dxa" w:w="9460"/>
            <w:shd w:val="clear" w:fill="10120F" w:color="auto"/>
            <w:tcBorders>
              <w:top w:val="single" w:sz="4" w:space="0" w:color="10120F"/>
              <w:left w:val="single" w:sz="4" w:space="0" w:color="10120F"/>
              <w:bottom w:val="single" w:sz="4" w:space="0" w:color="10120F"/>
              <w:right w:val="single" w:sz="4" w:space="0" w:color="10120F"/>
            </w:tcBorders>
            <w:tcMar>
              <w:top w:w="80" w:type="dxa"/>
              <w:right w:w="80" w:type="dxa"/>
              <w:bottom w:w="80" w:type="dxa"/>
              <w:left w:w="80" w:type="dxa"/>
            </w:tcMar>
          </w:tcPr>
          <w:p>
            <w:pPr>
              <w:jc w:val="left"/>
            </w:pPr>
            <w:r/>
            <w:r>
              <w:rPr>
                <w:rFonts w:ascii="Inter" w:hAnsi="Inter" w:eastAsia="Inter"/>
                <w:b/>
                <w:color w:val="F6F1E8"/>
                <w:sz w:val="16"/>
              </w:rPr>
              <w:t>Release question</w:t>
            </w:r>
          </w:p>
        </w:tc>
        <w:tc>
          <w:tcPr>
            <w:tcW w:type="dxa" w:w="1080"/>
            <w:shd w:val="clear" w:fill="10120F" w:color="auto"/>
            <w:tcBorders>
              <w:top w:val="single" w:sz="4" w:space="0" w:color="10120F"/>
              <w:left w:val="single" w:sz="4" w:space="0" w:color="10120F"/>
              <w:bottom w:val="single" w:sz="4" w:space="0" w:color="10120F"/>
              <w:right w:val="single" w:sz="4" w:space="0" w:color="10120F"/>
            </w:tcBorders>
            <w:tcMar>
              <w:top w:w="80" w:type="dxa"/>
              <w:right w:w="80" w:type="dxa"/>
              <w:bottom w:w="80" w:type="dxa"/>
              <w:left w:w="80" w:type="dxa"/>
            </w:tcMar>
          </w:tcPr>
          <w:p>
            <w:pPr>
              <w:jc w:val="center"/>
            </w:pPr>
            <w:r/>
            <w:r>
              <w:rPr>
                <w:rFonts w:ascii="Inter" w:hAnsi="Inter" w:eastAsia="Inter"/>
                <w:b/>
                <w:color w:val="F6F1E8"/>
                <w:sz w:val="16"/>
              </w:rPr>
              <w:t>Gate</w:t>
            </w:r>
          </w:p>
        </w:tc>
      </w:tr>
      <w:tr>
        <w:tc>
          <w:tcPr>
            <w:tcW w:type="dxa" w:w="54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1</w:t>
            </w:r>
          </w:p>
        </w:tc>
        <w:tc>
          <w:tcPr>
            <w:tcW w:type="dxa" w:w="946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Is the exact audience, channel, geography, product status, and intended use approved?</w:t>
            </w:r>
          </w:p>
        </w:tc>
        <w:tc>
          <w:tcPr>
            <w:tcW w:type="dxa" w:w="108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2</w:t>
            </w:r>
          </w:p>
        </w:tc>
        <w:tc>
          <w:tcPr>
            <w:tcW w:type="dxa" w:w="946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Is every express and implied claim in the claims matrix?</w:t>
            </w:r>
          </w:p>
        </w:tc>
        <w:tc>
          <w:tcPr>
            <w:tcW w:type="dxa" w:w="108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3</w:t>
            </w:r>
          </w:p>
        </w:tc>
        <w:tc>
          <w:tcPr>
            <w:tcW w:type="dxa" w:w="946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Does each claim have current, audience-appropriate substantiation?</w:t>
            </w:r>
          </w:p>
        </w:tc>
        <w:tc>
          <w:tcPr>
            <w:tcW w:type="dxa" w:w="108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4</w:t>
            </w:r>
          </w:p>
        </w:tc>
        <w:tc>
          <w:tcPr>
            <w:tcW w:type="dxa" w:w="946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Is the document consistent with current labeling or otherwise reviewed under the correct scientific/payor pathway?</w:t>
            </w:r>
          </w:p>
        </w:tc>
        <w:tc>
          <w:tcPr>
            <w:tcW w:type="dxa" w:w="108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5</w:t>
            </w:r>
          </w:p>
        </w:tc>
        <w:tc>
          <w:tcPr>
            <w:tcW w:type="dxa" w:w="946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Are benefits, risks, limitations, and uncertainty presented with appropriate balance and prominence?</w:t>
            </w:r>
          </w:p>
        </w:tc>
        <w:tc>
          <w:tcPr>
            <w:tcW w:type="dxa" w:w="108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6</w:t>
            </w:r>
          </w:p>
        </w:tc>
        <w:tc>
          <w:tcPr>
            <w:tcW w:type="dxa" w:w="946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Are testimonials, images, comparisons, economics, RWE, and forward-looking statements specifically reviewed?</w:t>
            </w:r>
          </w:p>
        </w:tc>
        <w:tc>
          <w:tcPr>
            <w:tcW w:type="dxa" w:w="108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7</w:t>
            </w:r>
          </w:p>
        </w:tc>
        <w:tc>
          <w:tcPr>
            <w:tcW w:type="dxa" w:w="946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Are disclosures clear, proximate, readable, and not contradicted by the design?</w:t>
            </w:r>
          </w:p>
        </w:tc>
        <w:tc>
          <w:tcPr>
            <w:tcW w:type="dxa" w:w="108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8</w:t>
            </w:r>
          </w:p>
        </w:tc>
        <w:tc>
          <w:tcPr>
            <w:tcW w:type="dxa" w:w="946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Are required FDA/OPDP submissions, archive records, and version controls ready?</w:t>
            </w:r>
          </w:p>
        </w:tc>
        <w:tc>
          <w:tcPr>
            <w:tcW w:type="dxa" w:w="108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9</w:t>
            </w:r>
          </w:p>
        </w:tc>
        <w:tc>
          <w:tcPr>
            <w:tcW w:type="dxa" w:w="946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Are distribution restrictions clear enough that the document cannot be reused for a non-approved audience or channel?</w:t>
            </w:r>
          </w:p>
        </w:tc>
        <w:tc>
          <w:tcPr>
            <w:tcW w:type="dxa" w:w="1080"/>
            <w:shd w:val="clear" w:fill="F6F1E8"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r>
        <w:tc>
          <w:tcPr>
            <w:tcW w:type="dxa" w:w="54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color w:val="025E8D"/>
                <w:sz w:val="16"/>
              </w:rPr>
              <w:t>10</w:t>
            </w:r>
          </w:p>
        </w:tc>
        <w:tc>
          <w:tcPr>
            <w:tcW w:type="dxa" w:w="946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left"/>
            </w:pPr>
            <w:r/>
            <w:r>
              <w:rPr>
                <w:rFonts w:ascii="Inter" w:hAnsi="Inter" w:eastAsia="Inter"/>
                <w:b w:val="0"/>
                <w:color w:val="1B1F17"/>
                <w:sz w:val="17"/>
              </w:rPr>
              <w:t>Has the owner defined monitoring, expiration, and re-review triggers?</w:t>
            </w:r>
          </w:p>
        </w:tc>
        <w:tc>
          <w:tcPr>
            <w:tcW w:type="dxa" w:w="1080"/>
            <w:shd w:val="clear" w:fill="EBE4D6" w:color="auto"/>
            <w:tcBorders>
              <w:top w:val="single" w:sz="4" w:space="0" w:color="D7CDBC"/>
              <w:left w:val="single" w:sz="4" w:space="0" w:color="D7CDBC"/>
              <w:bottom w:val="single" w:sz="4" w:space="0" w:color="D7CDBC"/>
              <w:right w:val="single" w:sz="4" w:space="0" w:color="D7CDBC"/>
            </w:tcBorders>
            <w:tcMar>
              <w:top w:w="70" w:type="dxa"/>
              <w:right w:w="80" w:type="dxa"/>
              <w:bottom w:w="70" w:type="dxa"/>
              <w:left w:w="80" w:type="dxa"/>
            </w:tcMar>
            <w:vAlign w:val="top"/>
          </w:tcPr>
          <w:p>
            <w:pPr>
              <w:jc w:val="center"/>
            </w:pPr>
            <w:r/>
            <w:r>
              <w:rPr>
                <w:rFonts w:ascii="Inter" w:hAnsi="Inter" w:eastAsia="Inter"/>
                <w:b w:val="0"/>
                <w:color w:val="1B1F17"/>
                <w:sz w:val="16"/>
              </w:rPr>
              <w:t>Yes / No</w:t>
            </w:r>
          </w:p>
        </w:tc>
      </w:tr>
    </w:tbl>
    <w:p>
      <w:pPr>
        <w:spacing w:before="160"/>
      </w:pPr>
      <w:r>
        <w:rPr>
          <w:rFonts w:ascii="Inter" w:hAnsi="Inter" w:eastAsia="Inter"/>
          <w:b/>
          <w:color w:val="10120F"/>
          <w:sz w:val="20"/>
        </w:rPr>
        <w:t>If any answer is no, the document is not ready for final MLR approval.</w:t>
      </w:r>
    </w:p>
    <w:p>
      <w:pPr>
        <w:sectPr>
          <w:pgSz w:w="12240" w:h="15840"/>
          <w:pgMar w:top="1080" w:right="1080" w:bottom="1080" w:left="1080" w:header="706" w:footer="706" w:gutter="0"/>
          <w:cols w:space="720"/>
          <w:docGrid w:linePitch="360"/>
        </w:sectPr>
      </w:pPr>
    </w:p>
    <w:p>
      <w:pPr>
        <w:spacing w:after="160"/>
        <w:pBdr>
          <w:bottom w:val="single" w:sz="8" w:space="6" w:color="10120F"/>
        </w:pBdr>
      </w:pPr>
      <w:r>
        <w:rPr>
          <w:rFonts w:ascii="Inter" w:hAnsi="Inter" w:eastAsia="Inter"/>
          <w:b/>
          <w:color w:val="10120F"/>
          <w:sz w:val="30"/>
        </w:rPr>
        <w:t>References</w:t>
      </w:r>
    </w:p>
    <w:p>
      <w:pPr>
        <w:spacing w:after="160"/>
      </w:pPr>
      <w:r>
        <w:rPr>
          <w:rFonts w:ascii="Inter" w:hAnsi="Inter" w:eastAsia="Inter"/>
          <w:b w:val="0"/>
          <w:color w:val="5C6257"/>
          <w:sz w:val="19"/>
        </w:rPr>
        <w:t>Inline citation markers in the checklist are Word-native hyperlinks to these source URLs.</w:t>
      </w:r>
    </w:p>
    <w:tbl>
      <w:tblPr>
        <w:tblW w:type="dxa" w:w="14256"/>
        <w:tblLayout w:type="fixed"/>
        <w:tblLook w:firstColumn="1" w:firstRow="1" w:lastColumn="0" w:lastRow="0" w:noHBand="0" w:noVBand="1" w:val="04A0"/>
        <w:tblBorders>
          <w:top w:val="single" w:sz="4" w:space="0" w:color="D7CDBC"/>
          <w:left w:val="single" w:sz="4" w:space="0" w:color="D7CDBC"/>
          <w:bottom w:val="single" w:sz="4" w:space="0" w:color="D7CDBC"/>
          <w:right w:val="single" w:sz="4" w:space="0" w:color="D7CDBC"/>
          <w:insideH w:val="single" w:sz="4" w:space="0" w:color="D7CDBC"/>
          <w:insideV w:val="single" w:sz="4" w:space="0" w:color="D7CDBC"/>
        </w:tblBorders>
      </w:tblPr>
      <w:tblGrid>
        <w:gridCol w:w="500"/>
        <w:gridCol w:w="3800"/>
        <w:gridCol w:w="9956"/>
      </w:tblGrid>
      <w:tr>
        <w:tc>
          <w:tcPr>
            <w:tcW w:type="dxa" w:w="500"/>
            <w:shd w:val="clear" w:fill="10120F" w:color="auto"/>
            <w:tcBorders>
              <w:top w:val="single" w:sz="4" w:space="0" w:color="10120F"/>
              <w:left w:val="single" w:sz="4" w:space="0" w:color="10120F"/>
              <w:bottom w:val="single" w:sz="4" w:space="0" w:color="10120F"/>
              <w:right w:val="single" w:sz="4" w:space="0" w:color="10120F"/>
            </w:tcBorders>
            <w:tcMar>
              <w:top w:w="70" w:type="dxa"/>
              <w:right w:w="80" w:type="dxa"/>
              <w:bottom w:w="70" w:type="dxa"/>
              <w:left w:w="80" w:type="dxa"/>
            </w:tcMar>
          </w:tcPr>
          <w:p>
            <w:pPr>
              <w:jc w:val="center"/>
            </w:pPr>
            <w:r/>
            <w:r>
              <w:rPr>
                <w:rFonts w:ascii="Inter" w:hAnsi="Inter" w:eastAsia="Inter"/>
                <w:b/>
                <w:color w:val="F6F1E8"/>
                <w:sz w:val="16"/>
              </w:rPr>
              <w:t>Ref</w:t>
            </w:r>
          </w:p>
        </w:tc>
        <w:tc>
          <w:tcPr>
            <w:tcW w:type="dxa" w:w="3800"/>
            <w:shd w:val="clear" w:fill="10120F" w:color="auto"/>
            <w:tcBorders>
              <w:top w:val="single" w:sz="4" w:space="0" w:color="10120F"/>
              <w:left w:val="single" w:sz="4" w:space="0" w:color="10120F"/>
              <w:bottom w:val="single" w:sz="4" w:space="0" w:color="10120F"/>
              <w:right w:val="single" w:sz="4" w:space="0" w:color="10120F"/>
            </w:tcBorders>
            <w:tcMar>
              <w:top w:w="70" w:type="dxa"/>
              <w:right w:w="80" w:type="dxa"/>
              <w:bottom w:w="70" w:type="dxa"/>
              <w:left w:w="80" w:type="dxa"/>
            </w:tcMar>
          </w:tcPr>
          <w:p>
            <w:pPr>
              <w:jc w:val="left"/>
            </w:pPr>
            <w:r/>
            <w:r>
              <w:rPr>
                <w:rFonts w:ascii="Inter" w:hAnsi="Inter" w:eastAsia="Inter"/>
                <w:b/>
                <w:color w:val="F6F1E8"/>
                <w:sz w:val="16"/>
              </w:rPr>
              <w:t>Source</w:t>
            </w:r>
          </w:p>
        </w:tc>
        <w:tc>
          <w:tcPr>
            <w:tcW w:type="dxa" w:w="9956"/>
            <w:shd w:val="clear" w:fill="10120F" w:color="auto"/>
            <w:tcBorders>
              <w:top w:val="single" w:sz="4" w:space="0" w:color="10120F"/>
              <w:left w:val="single" w:sz="4" w:space="0" w:color="10120F"/>
              <w:bottom w:val="single" w:sz="4" w:space="0" w:color="10120F"/>
              <w:right w:val="single" w:sz="4" w:space="0" w:color="10120F"/>
            </w:tcBorders>
            <w:tcMar>
              <w:top w:w="70" w:type="dxa"/>
              <w:right w:w="80" w:type="dxa"/>
              <w:bottom w:w="70" w:type="dxa"/>
              <w:left w:w="80" w:type="dxa"/>
            </w:tcMar>
          </w:tcPr>
          <w:p>
            <w:pPr>
              <w:jc w:val="left"/>
            </w:pPr>
            <w:r/>
            <w:r>
              <w:rPr>
                <w:rFonts w:ascii="Inter" w:hAnsi="Inter" w:eastAsia="Inter"/>
                <w:b/>
                <w:color w:val="F6F1E8"/>
                <w:sz w:val="16"/>
              </w:rPr>
              <w:t>URL</w:t>
            </w:r>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OPDP overview</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9">
              <w:r>
                <w:rPr>
                  <w:rFonts w:ascii="Inter" w:hAnsi="Inter" w:eastAsia="Inter"/>
                  <w:color w:val="025E8D"/>
                  <w:sz w:val="14"/>
                </w:rPr>
                <w:t>https://www.fda.gov/about-fda/cder-offices-and-divisions/office-prescription-drug-promotion-opdp</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2</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21 CFR 202.1, Prescription-drug advertisements</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0">
              <w:r>
                <w:rPr>
                  <w:rFonts w:ascii="Inter" w:hAnsi="Inter" w:eastAsia="Inter"/>
                  <w:color w:val="025E8D"/>
                  <w:sz w:val="14"/>
                </w:rPr>
                <w:t>https://www.ecfr.gov/current/title-21/part-202/section-202.1</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3</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communications consistent with FDA-required labeling guidance</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1">
              <w:r>
                <w:rPr>
                  <w:rFonts w:ascii="Inter" w:hAnsi="Inter" w:eastAsia="Inter"/>
                  <w:color w:val="025E8D"/>
                  <w:sz w:val="14"/>
                </w:rPr>
                <w:t>https://www.fda.gov/regulatory-information/search-fda-guidance-documents/medical-product-communications-are-consistent-fda-required-labeling-questions-and-answers</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4</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payor/formulary communications guidance</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2">
              <w:r>
                <w:rPr>
                  <w:rFonts w:ascii="Inter" w:hAnsi="Inter" w:eastAsia="Inter"/>
                  <w:color w:val="025E8D"/>
                  <w:sz w:val="14"/>
                </w:rPr>
                <w:t>https://www.fda.gov/regulatory-information/search-fda-guidance-documents/drug-and-device-manufacturer-communications-payors-formulary-committees-and-similar-entities</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5</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SIUU/HCP unapproved-use communications guidance</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6">
              <w:r>
                <w:rPr>
                  <w:rFonts w:ascii="Inter" w:hAnsi="Inter" w:eastAsia="Inter"/>
                  <w:color w:val="025E8D"/>
                  <w:sz w:val="14"/>
                </w:rPr>
                <w:t>https://www.fda.gov/regulatory-information/search-fda-guidance-documents/communications-firms-health-care-providers-regarding-scientific-information-unapproved-uses</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6</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DTC quantitative efficacy and risk guidance</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2">
              <w:r>
                <w:rPr>
                  <w:rFonts w:ascii="Inter" w:hAnsi="Inter" w:eastAsia="Inter"/>
                  <w:color w:val="025E8D"/>
                  <w:sz w:val="14"/>
                </w:rPr>
                <w:t>https://www.fda.gov/regulatory-information/search-fda-guidance-documents/presenting-quantitative-efficacy-and-risk-information-direct-consumer-dtc-promotional-labeling-and</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7</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DTC major-statement clear, conspicuous, neutral guidance</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3">
              <w:r>
                <w:rPr>
                  <w:rFonts w:ascii="Inter" w:hAnsi="Inter" w:eastAsia="Inter"/>
                  <w:color w:val="025E8D"/>
                  <w:sz w:val="14"/>
                </w:rPr>
                <w:t>https://www.fda.gov/regulatory-information/search-fda-guidance-documents/direct-consumer-prescription-drug-advertisements-presentation-major-statement-clear-conspicuous-and</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8</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risk-presentation draft guidance</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6">
              <w:r>
                <w:rPr>
                  <w:rFonts w:ascii="Inter" w:hAnsi="Inter" w:eastAsia="Inter"/>
                  <w:color w:val="025E8D"/>
                  <w:sz w:val="14"/>
                </w:rPr>
                <w:t>https://www.fda.gov/media/76269/download</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9</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21 CFR 314.81, postmarketing reports / Form FDA 2253 context</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4">
              <w:r>
                <w:rPr>
                  <w:rFonts w:ascii="Inter" w:hAnsi="Inter" w:eastAsia="Inter"/>
                  <w:color w:val="025E8D"/>
                  <w:sz w:val="14"/>
                </w:rPr>
                <w:t>https://www.ecfr.gov/current/title-21/part-314/section-314.81</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10</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21 CFR 601.12, biologics application changes</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5">
              <w:r>
                <w:rPr>
                  <w:rFonts w:ascii="Inter" w:hAnsi="Inter" w:eastAsia="Inter"/>
                  <w:color w:val="025E8D"/>
                  <w:sz w:val="14"/>
                </w:rPr>
                <w:t>https://www.ecfr.gov/current/title-21/part-601/section-601.12</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11</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FDA OPDP eCTD resources</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7">
              <w:r>
                <w:rPr>
                  <w:rFonts w:ascii="Inter" w:hAnsi="Inter" w:eastAsia="Inter"/>
                  <w:color w:val="025E8D"/>
                  <w:sz w:val="14"/>
                </w:rPr>
                <w:t>https://www.fda.gov/about-fda/center-drug-evaluation-and-research-cder/opdp-ectd</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12</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FTC Health Products Compliance Guidance</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3">
              <w:r>
                <w:rPr>
                  <w:rFonts w:ascii="Inter" w:hAnsi="Inter" w:eastAsia="Inter"/>
                  <w:color w:val="025E8D"/>
                  <w:sz w:val="14"/>
                </w:rPr>
                <w:t>https://www.ftc.gov/business-guidance/resources/health-products-compliance-guidance</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13</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16 CFR Part 255, endorsements and testimonials</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8">
              <w:r>
                <w:rPr>
                  <w:rFonts w:ascii="Inter" w:hAnsi="Inter" w:eastAsia="Inter"/>
                  <w:color w:val="025E8D"/>
                  <w:sz w:val="14"/>
                </w:rPr>
                <w:t>https://www.ecfr.gov/current/title-16/part-255</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14</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AMCP Format for Formulary Submissions 5.0</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4">
              <w:r>
                <w:rPr>
                  <w:rFonts w:ascii="Inter" w:hAnsi="Inter" w:eastAsia="Inter"/>
                  <w:color w:val="025E8D"/>
                  <w:sz w:val="14"/>
                </w:rPr>
                <w:t>https://www.amcp.org/resource/amcp-format-formulary-submissions-50</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15</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Good Publication Practice 2022</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9">
              <w:r>
                <w:rPr>
                  <w:rFonts w:ascii="Inter" w:hAnsi="Inter" w:eastAsia="Inter"/>
                  <w:color w:val="025E8D"/>
                  <w:sz w:val="14"/>
                </w:rPr>
                <w:t>https://www.acpjournals.org/doi/10.7326/M22-1460</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16</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HHS OIG General Compliance Program Guidance</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0">
              <w:r>
                <w:rPr>
                  <w:rFonts w:ascii="Inter" w:hAnsi="Inter" w:eastAsia="Inter"/>
                  <w:color w:val="025E8D"/>
                  <w:sz w:val="14"/>
                </w:rPr>
                <w:t>https://oig.hhs.gov/compliance/general-compliance-program-guidance/</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17</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PhRMA Code on Interactions With Health Care Professionals</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1">
              <w:r>
                <w:rPr>
                  <w:rFonts w:ascii="Inter" w:hAnsi="Inter" w:eastAsia="Inter"/>
                  <w:color w:val="025E8D"/>
                  <w:sz w:val="14"/>
                </w:rPr>
                <w:t>https://phrma.org/resources/code-on-interactions-with-health-care-professionals</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18</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MAPS best practices for medical, legal, and regulatory review</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15">
              <w:r>
                <w:rPr>
                  <w:rFonts w:ascii="Inter" w:hAnsi="Inter" w:eastAsia="Inter"/>
                  <w:color w:val="025E8D"/>
                  <w:sz w:val="14"/>
                </w:rPr>
                <w:t>https://medicalaffairs.org/medical-affairs-professional-society-maps-make-communications-not-war-best-practices-for-medical-legal-regulatory-review/</w:t>
              </w:r>
            </w:hyperlink>
          </w:p>
        </w:tc>
      </w:tr>
      <w:tr>
        <w:tc>
          <w:tcPr>
            <w:tcW w:type="dxa" w:w="5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19</w:t>
            </w:r>
          </w:p>
        </w:tc>
        <w:tc>
          <w:tcPr>
            <w:tcW w:type="dxa" w:w="3800"/>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Veeva MLR review pitfalls and success factors</w:t>
            </w:r>
          </w:p>
        </w:tc>
        <w:tc>
          <w:tcPr>
            <w:tcW w:type="dxa" w:w="9956"/>
            <w:shd w:val="clear" w:fill="F6F1E8"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7">
              <w:r>
                <w:rPr>
                  <w:rFonts w:ascii="Inter" w:hAnsi="Inter" w:eastAsia="Inter"/>
                  <w:color w:val="025E8D"/>
                  <w:sz w:val="14"/>
                </w:rPr>
                <w:t>https://www.veeva.com/medtech/resources/mlr-review-pitfalls-to-avoid-and-three-keys-to-success/</w:t>
              </w:r>
            </w:hyperlink>
          </w:p>
        </w:tc>
      </w:tr>
      <w:tr>
        <w:tc>
          <w:tcPr>
            <w:tcW w:type="dxa" w:w="5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center"/>
            </w:pPr>
            <w:r/>
            <w:r>
              <w:rPr>
                <w:rFonts w:ascii="Inter" w:hAnsi="Inter" w:eastAsia="Inter"/>
                <w:b/>
                <w:color w:val="025E8D"/>
                <w:sz w:val="15"/>
              </w:rPr>
              <w:t>20</w:t>
            </w:r>
          </w:p>
        </w:tc>
        <w:tc>
          <w:tcPr>
            <w:tcW w:type="dxa" w:w="3800"/>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r>
              <w:rPr>
                <w:rFonts w:ascii="Inter" w:hAnsi="Inter" w:eastAsia="Inter"/>
                <w:b w:val="0"/>
                <w:color w:val="1B1F17"/>
                <w:sz w:val="15"/>
              </w:rPr>
              <w:t>IQVIA regulatory review promotional materials case study</w:t>
            </w:r>
          </w:p>
        </w:tc>
        <w:tc>
          <w:tcPr>
            <w:tcW w:type="dxa" w:w="9956"/>
            <w:shd w:val="clear" w:fill="EBE4D6" w:color="auto"/>
            <w:tcBorders>
              <w:top w:val="single" w:sz="4" w:space="0" w:color="D7CDBC"/>
              <w:left w:val="single" w:sz="4" w:space="0" w:color="D7CDBC"/>
              <w:bottom w:val="single" w:sz="4" w:space="0" w:color="D7CDBC"/>
              <w:right w:val="single" w:sz="4" w:space="0" w:color="D7CDBC"/>
            </w:tcBorders>
            <w:tcMar>
              <w:top w:w="60" w:type="dxa"/>
              <w:right w:w="75" w:type="dxa"/>
              <w:bottom w:w="60" w:type="dxa"/>
              <w:left w:w="75" w:type="dxa"/>
            </w:tcMar>
            <w:vAlign w:val="top"/>
          </w:tcPr>
          <w:p>
            <w:pPr>
              <w:jc w:val="left"/>
            </w:pPr>
            <w:r/>
            <w:hyperlink r:id="rId28">
              <w:r>
                <w:rPr>
                  <w:rFonts w:ascii="Inter" w:hAnsi="Inter" w:eastAsia="Inter"/>
                  <w:color w:val="025E8D"/>
                  <w:sz w:val="14"/>
                </w:rPr>
                <w:t>https://www.iqvia.com/library/case-studies/regulatory-review-of-promotional-materials-for-an-eu-based-pharmaceutical-company</w:t>
              </w:r>
            </w:hyperlink>
          </w:p>
        </w:tc>
      </w:tr>
    </w:tbl>
    <w:sectPr w:rsidR="00FC693F" w:rsidRPr="0006063C" w:rsidSect="00034616">
      <w:pgSz w:w="15840" w:h="12240" w:orient="landscape"/>
      <w:pgMar w:top="792" w:right="792" w:bottom="792" w:left="792"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B1F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da.gov/about-fda/cder-offices-and-divisions/office-prescription-drug-promotion-opdp" TargetMode="External"/><Relationship Id="rId10" Type="http://schemas.openxmlformats.org/officeDocument/2006/relationships/hyperlink" Target="https://www.ecfr.gov/current/title-21/part-202/section-202.1" TargetMode="External"/><Relationship Id="rId11" Type="http://schemas.openxmlformats.org/officeDocument/2006/relationships/hyperlink" Target="https://www.fda.gov/regulatory-information/search-fda-guidance-documents/medical-product-communications-are-consistent-fda-required-labeling-questions-and-answers" TargetMode="External"/><Relationship Id="rId12" Type="http://schemas.openxmlformats.org/officeDocument/2006/relationships/hyperlink" Target="https://www.fda.gov/regulatory-information/search-fda-guidance-documents/drug-and-device-manufacturer-communications-payors-formulary-committees-and-similar-entities" TargetMode="External"/><Relationship Id="rId13" Type="http://schemas.openxmlformats.org/officeDocument/2006/relationships/hyperlink" Target="https://www.ftc.gov/business-guidance/resources/health-products-compliance-guidance" TargetMode="External"/><Relationship Id="rId14" Type="http://schemas.openxmlformats.org/officeDocument/2006/relationships/hyperlink" Target="https://www.amcp.org/resource/amcp-format-formulary-submissions-50" TargetMode="External"/><Relationship Id="rId15" Type="http://schemas.openxmlformats.org/officeDocument/2006/relationships/hyperlink" Target="https://medicalaffairs.org/medical-affairs-professional-society-maps-make-communications-not-war-best-practices-for-medical-legal-regulatory-review/" TargetMode="External"/><Relationship Id="rId16" Type="http://schemas.openxmlformats.org/officeDocument/2006/relationships/hyperlink" Target="https://www.fda.gov/regulatory-information/search-fda-guidance-documents/communications-firms-health-care-providers-regarding-scientific-information-unapproved-uses" TargetMode="External"/><Relationship Id="rId17" Type="http://schemas.openxmlformats.org/officeDocument/2006/relationships/hyperlink" Target="https://www.fda.gov/about-fda/center-drug-evaluation-and-research-cder/opdp-ectd" TargetMode="External"/><Relationship Id="rId18" Type="http://schemas.openxmlformats.org/officeDocument/2006/relationships/hyperlink" Target="https://www.ecfr.gov/current/title-16/part-255" TargetMode="External"/><Relationship Id="rId19" Type="http://schemas.openxmlformats.org/officeDocument/2006/relationships/hyperlink" Target="https://www.acpjournals.org/doi/10.7326/M22-1460" TargetMode="External"/><Relationship Id="rId20" Type="http://schemas.openxmlformats.org/officeDocument/2006/relationships/hyperlink" Target="https://oig.hhs.gov/compliance/general-compliance-program-guidance/" TargetMode="External"/><Relationship Id="rId21" Type="http://schemas.openxmlformats.org/officeDocument/2006/relationships/hyperlink" Target="https://phrma.org/resources/code-on-interactions-with-health-care-professionals" TargetMode="External"/><Relationship Id="rId22" Type="http://schemas.openxmlformats.org/officeDocument/2006/relationships/hyperlink" Target="https://www.fda.gov/regulatory-information/search-fda-guidance-documents/presenting-quantitative-efficacy-and-risk-information-direct-consumer-dtc-promotional-labeling-and" TargetMode="External"/><Relationship Id="rId23" Type="http://schemas.openxmlformats.org/officeDocument/2006/relationships/hyperlink" Target="https://www.fda.gov/regulatory-information/search-fda-guidance-documents/direct-consumer-prescription-drug-advertisements-presentation-major-statement-clear-conspicuous-and" TargetMode="External"/><Relationship Id="rId24" Type="http://schemas.openxmlformats.org/officeDocument/2006/relationships/hyperlink" Target="https://www.ecfr.gov/current/title-21/part-314/section-314.81" TargetMode="External"/><Relationship Id="rId25" Type="http://schemas.openxmlformats.org/officeDocument/2006/relationships/hyperlink" Target="https://www.ecfr.gov/current/title-21/part-601/section-601.12" TargetMode="External"/><Relationship Id="rId26" Type="http://schemas.openxmlformats.org/officeDocument/2006/relationships/hyperlink" Target="https://www.fda.gov/media/76269/download" TargetMode="External"/><Relationship Id="rId27" Type="http://schemas.openxmlformats.org/officeDocument/2006/relationships/hyperlink" Target="https://www.veeva.com/medtech/resources/mlr-review-pitfalls-to-avoid-and-three-keys-to-success/" TargetMode="External"/><Relationship Id="rId28" Type="http://schemas.openxmlformats.org/officeDocument/2006/relationships/hyperlink" Target="https://www.iqvia.com/library/case-studies/regulatory-review-of-promotional-materials-for-an-eu-based-pharmaceutical-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