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F1E8"/>
  <w:body>
    <w:p>
      <w:pPr>
        <w:spacing w:after="100"/>
      </w:pPr>
      <w:r>
        <w:rPr>
          <w:rFonts w:ascii="Inter" w:hAnsi="Inter" w:eastAsia="Inter"/>
          <w:b/>
          <w:i w:val="0"/>
          <w:color w:val="10120F"/>
          <w:sz w:val="16"/>
        </w:rPr>
        <w:t>LABEL-CONSISTENT PRODUCT EVIDENCE  ·  COMMUNICATION REVIEW</w:t>
      </w:r>
    </w:p>
    <w:p>
      <w:pPr>
        <w:spacing w:after="140"/>
      </w:pPr>
      <w:r>
        <w:rPr>
          <w:rFonts w:ascii="Inter" w:hAnsi="Inter" w:eastAsia="Inter"/>
          <w:b/>
          <w:i w:val="0"/>
          <w:color w:val="10120F"/>
          <w:sz w:val="44"/>
        </w:rPr>
        <w:t>Label-Consistent Product Evidence Communication</w:t>
      </w:r>
    </w:p>
    <w:p>
      <w:pPr>
        <w:spacing w:before="0" w:after="240" w:line="259" w:lineRule="auto"/>
      </w:pPr>
      <w:r>
        <w:rPr>
          <w:rFonts w:ascii="Inter" w:hAnsi="Inter" w:eastAsia="Inter"/>
          <w:b w:val="0"/>
          <w:i/>
          <w:color w:val="5C6257"/>
          <w:sz w:val="22"/>
        </w:rPr>
        <w:t>Consensus guardrails for approved-product evidence, RWE/HEOR claims, payer/HCP materials, and required limitations.</w:t>
      </w:r>
    </w:p>
    <w:tbl>
      <w:tblPr>
        <w:tblW w:type="auto" w:w="0"/>
        <w:jc w:val="center"/>
        <w:tblLook w:firstColumn="1" w:firstRow="1" w:lastColumn="0" w:lastRow="0" w:noHBand="0" w:noVBand="1" w:val="04A0"/>
      </w:tblPr>
      <w:tblGrid>
        <w:gridCol w:w="10080"/>
      </w:tblGrid>
      <w:tr>
        <w:tc>
          <w:tcPr>
            <w:tcW w:type="dxa" w:w="10080"/>
            <w:shd w:fill="10120F"/>
            <w:tcBorders>
              <w:top w:val="single" w:sz="8" w:color="1B1F17"/>
              <w:left w:val="single" w:sz="8" w:color="1B1F17"/>
              <w:bottom w:val="single" w:sz="8" w:color="1B1F17"/>
              <w:right w:val="single" w:sz="8" w:color="1B1F17"/>
            </w:tcBorders>
            <w:tcMar>
              <w:top w:w="130" w:type="dxa"/>
              <w:start w:w="240" w:type="dxa"/>
              <w:bottom w:w="130" w:type="dxa"/>
              <w:end w:w="240" w:type="dxa"/>
            </w:tcMar>
          </w:tcPr>
          <w:p>
            <w:pPr>
              <w:spacing w:after="60"/>
            </w:pPr>
            <w:r>
              <w:rPr>
                <w:rFonts w:ascii="Inter" w:hAnsi="Inter" w:eastAsia="Inter"/>
                <w:b/>
                <w:color w:val="D7FF5F"/>
                <w:sz w:val="21"/>
              </w:rPr>
              <w:t>EVIDENCE BASE</w:t>
            </w:r>
          </w:p>
          <w:p>
            <w:pPr>
              <w:spacing w:after="0" w:line="259" w:lineRule="auto"/>
            </w:pPr>
            <w:r>
              <w:rPr>
                <w:rFonts w:ascii="Inter" w:hAnsi="Inter" w:eastAsia="Inter"/>
                <w:b w:val="0"/>
                <w:i w:val="0"/>
                <w:color w:val="F6F1E8"/>
                <w:sz w:val="16"/>
              </w:rPr>
              <w:t>This report synthesizes FDA/OPDP, FTC, AMCP, ISPOR, PhRMA, and HEOR/vendor sources archived in the local label-consistent product evidence research folder. The source set emphasizes how approved-product evidence, supplementary RWE/HEOR evidence, payer/HCDM information, and promotional-claim limitations should be presented without broadening the approved label-supported overall message.</w:t>
            </w:r>
            <w:hyperlink r:id="rId176">
              <w:r>
                <w:rPr>
                  <w:rFonts w:ascii="Inter" w:hAnsi="Inter" w:eastAsia="Inter"/>
                  <w:color w:val="D7FF5F"/>
                  <w:u w:val="none"/>
                  <w:vertAlign w:val="superscript"/>
                  <w:b/>
                  <w:sz w:val="16"/>
                  <w:szCs w:val="16"/>
                </w:rPr>
                <w:t>1</w:t>
              </w:r>
            </w:hyperlink>
            <w:r>
              <w:rPr>
                <w:rFonts w:ascii="Inter" w:hAnsi="Inter" w:eastAsia="Inter"/>
                <w:b w:val="0"/>
                <w:i w:val="0"/>
                <w:color w:val="D7FF5F"/>
                <w:sz w:val="16"/>
                <w:vertAlign w:val="superscript"/>
                <w:szCs w:val="16"/>
              </w:rPr>
              <w:t>,</w:t>
            </w:r>
            <w:hyperlink r:id="rId177">
              <w:r>
                <w:rPr>
                  <w:rFonts w:ascii="Inter" w:hAnsi="Inter" w:eastAsia="Inter"/>
                  <w:color w:val="D7FF5F"/>
                  <w:u w:val="none"/>
                  <w:vertAlign w:val="superscript"/>
                  <w:b/>
                  <w:sz w:val="16"/>
                  <w:szCs w:val="16"/>
                </w:rPr>
                <w:t>2</w:t>
              </w:r>
            </w:hyperlink>
            <w:r>
              <w:rPr>
                <w:rFonts w:ascii="Inter" w:hAnsi="Inter" w:eastAsia="Inter"/>
                <w:b w:val="0"/>
                <w:i w:val="0"/>
                <w:color w:val="D7FF5F"/>
                <w:sz w:val="16"/>
                <w:vertAlign w:val="superscript"/>
                <w:szCs w:val="16"/>
              </w:rPr>
              <w:t>,</w:t>
            </w:r>
            <w:hyperlink r:id="rId178">
              <w:r>
                <w:rPr>
                  <w:rFonts w:ascii="Inter" w:hAnsi="Inter" w:eastAsia="Inter"/>
                  <w:color w:val="D7FF5F"/>
                  <w:u w:val="none"/>
                  <w:vertAlign w:val="superscript"/>
                  <w:b/>
                  <w:sz w:val="16"/>
                  <w:szCs w:val="16"/>
                </w:rPr>
                <w:t>5</w:t>
              </w:r>
            </w:hyperlink>
            <w:r>
              <w:rPr>
                <w:rFonts w:ascii="Inter" w:hAnsi="Inter" w:eastAsia="Inter"/>
                <w:b w:val="0"/>
                <w:i w:val="0"/>
                <w:color w:val="D7FF5F"/>
                <w:sz w:val="16"/>
                <w:vertAlign w:val="superscript"/>
                <w:szCs w:val="16"/>
              </w:rPr>
              <w:t>,</w:t>
            </w:r>
            <w:hyperlink r:id="rId179">
              <w:r>
                <w:rPr>
                  <w:rFonts w:ascii="Inter" w:hAnsi="Inter" w:eastAsia="Inter"/>
                  <w:color w:val="D7FF5F"/>
                  <w:u w:val="none"/>
                  <w:vertAlign w:val="superscript"/>
                  <w:b/>
                  <w:sz w:val="16"/>
                  <w:szCs w:val="16"/>
                </w:rPr>
                <w:t>7</w:t>
              </w:r>
            </w:hyperlink>
            <w:r>
              <w:rPr>
                <w:rFonts w:ascii="Inter" w:hAnsi="Inter" w:eastAsia="Inter"/>
                <w:b w:val="0"/>
                <w:i w:val="0"/>
                <w:color w:val="D7FF5F"/>
                <w:sz w:val="16"/>
                <w:vertAlign w:val="superscript"/>
                <w:szCs w:val="16"/>
              </w:rPr>
              <w:t>,</w:t>
            </w:r>
            <w:hyperlink r:id="rId180">
              <w:r>
                <w:rPr>
                  <w:rFonts w:ascii="Inter" w:hAnsi="Inter" w:eastAsia="Inter"/>
                  <w:color w:val="D7FF5F"/>
                  <w:u w:val="none"/>
                  <w:vertAlign w:val="superscript"/>
                  <w:b/>
                  <w:sz w:val="16"/>
                  <w:szCs w:val="16"/>
                </w:rPr>
                <w:t>8</w:t>
              </w:r>
            </w:hyperlink>
            <w:r>
              <w:rPr>
                <w:rFonts w:ascii="Inter" w:hAnsi="Inter" w:eastAsia="Inter"/>
                <w:b w:val="0"/>
                <w:i w:val="0"/>
                <w:color w:val="D7FF5F"/>
                <w:sz w:val="16"/>
                <w:vertAlign w:val="superscript"/>
                <w:szCs w:val="16"/>
              </w:rPr>
              <w:t>,</w:t>
            </w:r>
            <w:hyperlink r:id="rId181">
              <w:r>
                <w:rPr>
                  <w:rFonts w:ascii="Inter" w:hAnsi="Inter" w:eastAsia="Inter"/>
                  <w:color w:val="D7FF5F"/>
                  <w:u w:val="none"/>
                  <w:vertAlign w:val="superscript"/>
                  <w:b/>
                  <w:sz w:val="16"/>
                  <w:szCs w:val="16"/>
                </w:rPr>
                <w:t>10</w:t>
              </w:r>
            </w:hyperlink>
            <w:r>
              <w:rPr>
                <w:rFonts w:ascii="Inter" w:hAnsi="Inter" w:eastAsia="Inter"/>
                <w:b w:val="0"/>
                <w:i w:val="0"/>
                <w:color w:val="D7FF5F"/>
                <w:sz w:val="16"/>
                <w:vertAlign w:val="superscript"/>
                <w:szCs w:val="16"/>
              </w:rPr>
              <w:t>,</w:t>
            </w:r>
            <w:hyperlink r:id="rId182">
              <w:r>
                <w:rPr>
                  <w:rFonts w:ascii="Inter" w:hAnsi="Inter" w:eastAsia="Inter"/>
                  <w:color w:val="D7FF5F"/>
                  <w:u w:val="none"/>
                  <w:vertAlign w:val="superscript"/>
                  <w:b/>
                  <w:sz w:val="16"/>
                  <w:szCs w:val="16"/>
                </w:rPr>
                <w:t>15</w:t>
              </w:r>
            </w:hyperlink>
          </w:p>
        </w:tc>
      </w:tr>
    </w:tbl>
    <w:p>
      <w:pPr>
        <w:spacing w:before="240" w:after="100"/>
      </w:pPr>
      <w:r>
        <w:rPr>
          <w:rFonts w:ascii="Inter" w:hAnsi="Inter" w:eastAsia="Inter"/>
          <w:b/>
          <w:i w:val="0"/>
          <w:color w:val="10120F"/>
          <w:sz w:val="30"/>
        </w:rPr>
        <w:t>Executive Readout</w:t>
      </w:r>
    </w:p>
    <w:p>
      <w:pPr>
        <w:spacing w:before="0" w:after="100" w:line="259" w:lineRule="auto"/>
      </w:pPr>
      <w:r>
        <w:rPr>
          <w:rFonts w:ascii="Inter" w:hAnsi="Inter" w:eastAsia="Inter"/>
          <w:b w:val="0"/>
          <w:i w:val="0"/>
          <w:color w:val="10120F"/>
          <w:sz w:val="21"/>
        </w:rPr>
        <w:t>Across regulatory, payer, HEOR, and vendor sources, the dominant communication pattern is a approved evidence base: separate FDA-required label content from supplementary label-consistent evidence, then tailor expression by audience and decision context.</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79">
        <w:r>
          <w:rPr>
            <w:rFonts w:ascii="Inter" w:hAnsi="Inter" w:eastAsia="Inter"/>
            <w:color w:val="10120F"/>
            <w:u w:val="none"/>
            <w:vertAlign w:val="superscript"/>
            <w:b/>
          </w:rPr>
          <w:t>7</w:t>
        </w:r>
      </w:hyperlink>
      <w:r>
        <w:rPr>
          <w:rFonts w:ascii="Inter" w:hAnsi="Inter" w:eastAsia="Inter"/>
          <w:b/>
          <w:i w:val="0"/>
          <w:color w:val="10120F"/>
          <w:sz w:val="16"/>
          <w:vertAlign w:val="superscript"/>
        </w:rPr>
        <w:t>,</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3">
        <w:r>
          <w:rPr>
            <w:rFonts w:ascii="Inter" w:hAnsi="Inter" w:eastAsia="Inter"/>
            <w:color w:val="10120F"/>
            <w:u w:val="none"/>
            <w:vertAlign w:val="superscript"/>
            <w:b/>
          </w:rPr>
          <w:t>11</w:t>
        </w:r>
      </w:hyperlink>
      <w:r>
        <w:rPr>
          <w:rFonts w:ascii="Inter" w:hAnsi="Inter" w:eastAsia="Inter"/>
          <w:b/>
          <w:i w:val="0"/>
          <w:color w:val="10120F"/>
          <w:sz w:val="16"/>
          <w:vertAlign w:val="superscript"/>
        </w:rPr>
        <w:t>,</w:t>
      </w:r>
      <w:hyperlink r:id="rId184">
        <w:r>
          <w:rPr>
            <w:rFonts w:ascii="Inter" w:hAnsi="Inter" w:eastAsia="Inter"/>
            <w:color w:val="10120F"/>
            <w:u w:val="none"/>
            <w:vertAlign w:val="superscript"/>
            <w:b/>
          </w:rPr>
          <w:t>14</w:t>
        </w:r>
      </w:hyperlink>
    </w:p>
    <w:p>
      <w:pPr>
        <w:spacing w:before="0" w:after="100" w:line="259" w:lineRule="auto"/>
      </w:pPr>
      <w:r>
        <w:rPr>
          <w:rFonts w:ascii="Inter" w:hAnsi="Inter" w:eastAsia="Inter"/>
          <w:b w:val="0"/>
          <w:i w:val="0"/>
          <w:color w:val="10120F"/>
          <w:sz w:val="21"/>
        </w:rPr>
        <w:t>The overall message should remain no broader than the approved use and cited evidence support. Claims should include study design, population, comparator, endpoints, limitations, uncertainty, and generalizability close to the claim or visual they qualify.</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78">
        <w:r>
          <w:rPr>
            <w:rFonts w:ascii="Inter" w:hAnsi="Inter" w:eastAsia="Inter"/>
            <w:color w:val="10120F"/>
            <w:u w:val="none"/>
            <w:vertAlign w:val="superscript"/>
            <w:b/>
          </w:rPr>
          <w:t>5</w:t>
        </w:r>
      </w:hyperlink>
      <w:r>
        <w:rPr>
          <w:rFonts w:ascii="Inter" w:hAnsi="Inter" w:eastAsia="Inter"/>
          <w:b/>
          <w:i w:val="0"/>
          <w:color w:val="10120F"/>
          <w:sz w:val="16"/>
          <w:vertAlign w:val="superscript"/>
        </w:rPr>
        <w:t>,</w:t>
      </w:r>
      <w:hyperlink r:id="rId181">
        <w:r>
          <w:rPr>
            <w:rFonts w:ascii="Inter" w:hAnsi="Inter" w:eastAsia="Inter"/>
            <w:color w:val="10120F"/>
            <w:u w:val="none"/>
            <w:vertAlign w:val="superscript"/>
            <w:b/>
          </w:rPr>
          <w:t>10</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spacing w:before="0" w:after="100" w:line="259" w:lineRule="auto"/>
      </w:pPr>
      <w:r>
        <w:rPr>
          <w:rFonts w:ascii="Inter" w:hAnsi="Inter" w:eastAsia="Inter"/>
          <w:b w:val="0"/>
          <w:i w:val="0"/>
          <w:color w:val="10120F"/>
          <w:sz w:val="21"/>
        </w:rPr>
        <w:t>The most reusable operational framework is: anchor every claim to the label, segment evidence by audience, keep limitations proximate, avoid RWE overreach, present quantitative evidence in decision-useful form, and maintain a version-controlled evidence base.</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85">
        <w:r>
          <w:rPr>
            <w:rFonts w:ascii="Inter" w:hAnsi="Inter" w:eastAsia="Inter"/>
            <w:color w:val="10120F"/>
            <w:u w:val="none"/>
            <w:vertAlign w:val="superscript"/>
            <w:b/>
          </w:rPr>
          <w:t>4</w:t>
        </w:r>
      </w:hyperlink>
      <w:r>
        <w:rPr>
          <w:rFonts w:ascii="Inter" w:hAnsi="Inter" w:eastAsia="Inter"/>
          <w:b/>
          <w:i w:val="0"/>
          <w:color w:val="10120F"/>
          <w:sz w:val="16"/>
          <w:vertAlign w:val="superscript"/>
        </w:rPr>
        <w:t>,</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3">
        <w:r>
          <w:rPr>
            <w:rFonts w:ascii="Inter" w:hAnsi="Inter" w:eastAsia="Inter"/>
            <w:color w:val="10120F"/>
            <w:u w:val="none"/>
            <w:vertAlign w:val="superscript"/>
            <w:b/>
          </w:rPr>
          <w:t>11</w:t>
        </w:r>
      </w:hyperlink>
      <w:r>
        <w:rPr>
          <w:rFonts w:ascii="Inter" w:hAnsi="Inter" w:eastAsia="Inter"/>
          <w:b/>
          <w:i w:val="0"/>
          <w:color w:val="10120F"/>
          <w:sz w:val="16"/>
          <w:vertAlign w:val="superscript"/>
        </w:rPr>
        <w:t>,</w:t>
      </w:r>
      <w:hyperlink r:id="rId184">
        <w:r>
          <w:rPr>
            <w:rFonts w:ascii="Inter" w:hAnsi="Inter" w:eastAsia="Inter"/>
            <w:color w:val="10120F"/>
            <w:u w:val="none"/>
            <w:vertAlign w:val="superscript"/>
            <w:b/>
          </w:rPr>
          <w:t>14</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spacing w:before="260" w:after="100"/>
      </w:pPr>
      <w:r>
        <w:rPr>
          <w:rFonts w:ascii="Inter" w:hAnsi="Inter" w:eastAsia="Inter"/>
          <w:b/>
          <w:i w:val="0"/>
          <w:color w:val="10120F"/>
          <w:sz w:val="30"/>
        </w:rPr>
        <w:t>Practical Best Practices</w:t>
      </w:r>
    </w:p>
    <w:p>
      <w:pPr>
        <w:spacing w:before="100" w:after="40" w:line="259" w:lineRule="auto"/>
      </w:pPr>
      <w:r>
        <w:rPr>
          <w:rFonts w:ascii="Inter" w:hAnsi="Inter" w:eastAsia="Inter"/>
          <w:b/>
          <w:i w:val="0"/>
          <w:color w:val="10120F"/>
          <w:sz w:val="21"/>
        </w:rPr>
        <w:t>Anchor every claim to the product label first.</w:t>
      </w:r>
      <w:hyperlink r:id="rId176">
        <w:r>
          <w:rPr>
            <w:rFonts w:ascii="Inter" w:hAnsi="Inter" w:eastAsia="Inter"/>
            <w:color w:val="10120F"/>
            <w:u w:val="none"/>
            <w:vertAlign w:val="superscript"/>
            <w:b/>
          </w:rPr>
          <w:t>1</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Record the approved indication, population, dosing/use regimen, route, limitations of use, safety context, and any label data relevant to the claim.</w:t>
      </w:r>
      <w:hyperlink r:id="rId176">
        <w:r>
          <w:rPr>
            <w:rFonts w:ascii="Inter" w:hAnsi="Inter" w:eastAsia="Inter"/>
            <w:color w:val="10120F"/>
            <w:u w:val="none"/>
            <w:vertAlign w:val="superscript"/>
            <w:b/>
          </w:rPr>
          <w:t>1</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Distinguish direct label-supported claims from supplementary label-consistent evidence, including postmarketing data, RWE, subgroup analyses, adherence data, HCRU, or economic evidence.</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spacing w:before="100" w:after="40" w:line="259" w:lineRule="auto"/>
      </w:pPr>
      <w:r>
        <w:rPr>
          <w:rFonts w:ascii="Inter" w:hAnsi="Inter" w:eastAsia="Inter"/>
          <w:b/>
          <w:i w:val="0"/>
          <w:color w:val="10120F"/>
          <w:sz w:val="21"/>
        </w:rPr>
        <w:t>Use audience-specific evidence packages.</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85">
        <w:r>
          <w:rPr>
            <w:rFonts w:ascii="Inter" w:hAnsi="Inter" w:eastAsia="Inter"/>
            <w:color w:val="10120F"/>
            <w:u w:val="none"/>
            <w:vertAlign w:val="superscript"/>
            <w:b/>
          </w:rPr>
          <w:t>4</w:t>
        </w:r>
      </w:hyperlink>
      <w:r>
        <w:rPr>
          <w:rFonts w:ascii="Inter" w:hAnsi="Inter" w:eastAsia="Inter"/>
          <w:b/>
          <w:i w:val="0"/>
          <w:color w:val="10120F"/>
          <w:sz w:val="16"/>
          <w:vertAlign w:val="superscript"/>
        </w:rPr>
        <w:t>,</w:t>
      </w:r>
      <w:hyperlink r:id="rId183">
        <w:r>
          <w:rPr>
            <w:rFonts w:ascii="Inter" w:hAnsi="Inter" w:eastAsia="Inter"/>
            <w:color w:val="10120F"/>
            <w:u w:val="none"/>
            <w:vertAlign w:val="superscript"/>
            <w:b/>
          </w:rPr>
          <w:t>11</w:t>
        </w:r>
      </w:hyperlink>
      <w:r>
        <w:rPr>
          <w:rFonts w:ascii="Inter" w:hAnsi="Inter" w:eastAsia="Inter"/>
          <w:b/>
          <w:i w:val="0"/>
          <w:color w:val="10120F"/>
          <w:sz w:val="16"/>
          <w:vertAlign w:val="superscript"/>
        </w:rPr>
        <w:t>,</w:t>
      </w:r>
      <w:hyperlink r:id="rId186">
        <w:r>
          <w:rPr>
            <w:rFonts w:ascii="Inter" w:hAnsi="Inter" w:eastAsia="Inter"/>
            <w:color w:val="10120F"/>
            <w:u w:val="none"/>
            <w:vertAlign w:val="superscript"/>
            <w:b/>
          </w:rPr>
          <w:t>12</w:t>
        </w:r>
      </w:hyperlink>
      <w:r>
        <w:rPr>
          <w:rFonts w:ascii="Inter" w:hAnsi="Inter" w:eastAsia="Inter"/>
          <w:b/>
          <w:i w:val="0"/>
          <w:color w:val="10120F"/>
          <w:sz w:val="16"/>
          <w:vertAlign w:val="superscript"/>
        </w:rPr>
        <w:t>,</w:t>
      </w:r>
      <w:hyperlink r:id="rId187">
        <w:r>
          <w:rPr>
            <w:rFonts w:ascii="Inter" w:hAnsi="Inter" w:eastAsia="Inter"/>
            <w:color w:val="10120F"/>
            <w:u w:val="none"/>
            <w:vertAlign w:val="superscript"/>
            <w:b/>
          </w:rPr>
          <w:t>13</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Payers/HCDMs need population-level clinical, economic, budget impact, HCRU, utilization, model assumptions, sensitivity analyses, and generalizability.</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79">
        <w:r>
          <w:rPr>
            <w:rFonts w:ascii="Inter" w:hAnsi="Inter" w:eastAsia="Inter"/>
            <w:color w:val="10120F"/>
            <w:u w:val="none"/>
            <w:vertAlign w:val="superscript"/>
            <w:b/>
          </w:rPr>
          <w:t>7</w:t>
        </w:r>
      </w:hyperlink>
      <w:r>
        <w:rPr>
          <w:rFonts w:ascii="Inter" w:hAnsi="Inter" w:eastAsia="Inter"/>
          <w:b/>
          <w:i w:val="0"/>
          <w:color w:val="10120F"/>
          <w:sz w:val="16"/>
          <w:vertAlign w:val="superscript"/>
        </w:rPr>
        <w:t>,</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8">
        <w:r>
          <w:rPr>
            <w:rFonts w:ascii="Inter" w:hAnsi="Inter" w:eastAsia="Inter"/>
            <w:color w:val="10120F"/>
            <w:u w:val="none"/>
            <w:vertAlign w:val="superscript"/>
            <w:b/>
          </w:rPr>
          <w:t>9</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HCPs need patient-care relevance, study validity, benefits, risks, limitations, and clarity on promotional versus medical/scientific context.</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89">
        <w:r>
          <w:rPr>
            <w:rFonts w:ascii="Inter" w:hAnsi="Inter" w:eastAsia="Inter"/>
            <w:color w:val="10120F"/>
            <w:u w:val="none"/>
            <w:vertAlign w:val="superscript"/>
            <w:b/>
          </w:rPr>
          <w:t>3</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Patients/consumers need clear numeracy, absolute frequencies where possible, and balanced risk information.</w:t>
      </w:r>
      <w:hyperlink r:id="rId185">
        <w:r>
          <w:rPr>
            <w:rFonts w:ascii="Inter" w:hAnsi="Inter" w:eastAsia="Inter"/>
            <w:color w:val="10120F"/>
            <w:u w:val="none"/>
            <w:vertAlign w:val="superscript"/>
            <w:b/>
          </w:rPr>
          <w:t>4</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Social/KOL contexts require implied-claim control and material-connection disclosure.</w:t>
      </w:r>
      <w:hyperlink r:id="rId178">
        <w:r>
          <w:rPr>
            <w:rFonts w:ascii="Inter" w:hAnsi="Inter" w:eastAsia="Inter"/>
            <w:color w:val="10120F"/>
            <w:u w:val="none"/>
            <w:vertAlign w:val="superscript"/>
            <w:b/>
          </w:rPr>
          <w:t>5</w:t>
        </w:r>
      </w:hyperlink>
      <w:r>
        <w:rPr>
          <w:rFonts w:ascii="Inter" w:hAnsi="Inter" w:eastAsia="Inter"/>
          <w:b/>
          <w:i w:val="0"/>
          <w:color w:val="10120F"/>
          <w:sz w:val="16"/>
          <w:vertAlign w:val="superscript"/>
        </w:rPr>
        <w:t>,</w:t>
      </w:r>
      <w:hyperlink r:id="rId190">
        <w:r>
          <w:rPr>
            <w:rFonts w:ascii="Inter" w:hAnsi="Inter" w:eastAsia="Inter"/>
            <w:color w:val="10120F"/>
            <w:u w:val="none"/>
            <w:vertAlign w:val="superscript"/>
            <w:b/>
          </w:rPr>
          <w:t>6</w:t>
        </w:r>
      </w:hyperlink>
    </w:p>
    <w:p>
      <w:pPr>
        <w:spacing w:before="100" w:after="40" w:line="259" w:lineRule="auto"/>
      </w:pPr>
      <w:r>
        <w:rPr>
          <w:rFonts w:ascii="Inter" w:hAnsi="Inter" w:eastAsia="Inter"/>
          <w:b/>
          <w:i w:val="0"/>
          <w:color w:val="10120F"/>
          <w:sz w:val="21"/>
        </w:rPr>
        <w:t>Make limitations prominent and proximate.</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8">
        <w:r>
          <w:rPr>
            <w:rFonts w:ascii="Inter" w:hAnsi="Inter" w:eastAsia="Inter"/>
            <w:color w:val="10120F"/>
            <w:u w:val="none"/>
            <w:vertAlign w:val="superscript"/>
            <w:b/>
          </w:rPr>
          <w:t>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Do not bury limitations in footnotes when they materially qualify a headline, chart, or comparison.</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8">
        <w:r>
          <w:rPr>
            <w:rFonts w:ascii="Inter" w:hAnsi="Inter" w:eastAsia="Inter"/>
            <w:color w:val="10120F"/>
            <w:u w:val="none"/>
            <w:vertAlign w:val="superscript"/>
            <w:b/>
          </w:rPr>
          <w:t>5</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For RWE, observational studies, post hoc analyses, exploratory endpoints, or economic models, keep design, assumptions, limitations, and uncertainty next to the dependent claim.</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8">
        <w:r>
          <w:rPr>
            <w:rFonts w:ascii="Inter" w:hAnsi="Inter" w:eastAsia="Inter"/>
            <w:color w:val="10120F"/>
            <w:u w:val="none"/>
            <w:vertAlign w:val="superscript"/>
            <w:b/>
          </w:rPr>
          <w:t>9</w:t>
        </w:r>
      </w:hyperlink>
      <w:r>
        <w:rPr>
          <w:rFonts w:ascii="Inter" w:hAnsi="Inter" w:eastAsia="Inter"/>
          <w:b/>
          <w:i w:val="0"/>
          <w:color w:val="10120F"/>
          <w:sz w:val="16"/>
          <w:vertAlign w:val="superscript"/>
        </w:rPr>
        <w:t>,</w:t>
      </w:r>
      <w:hyperlink r:id="rId181">
        <w:r>
          <w:rPr>
            <w:rFonts w:ascii="Inter" w:hAnsi="Inter" w:eastAsia="Inter"/>
            <w:color w:val="10120F"/>
            <w:u w:val="none"/>
            <w:vertAlign w:val="superscript"/>
            <w:b/>
          </w:rPr>
          <w:t>10</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Disclosures do not rescue an unsupported, overstated, or misleading claim.</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8">
        <w:r>
          <w:rPr>
            <w:rFonts w:ascii="Inter" w:hAnsi="Inter" w:eastAsia="Inter"/>
            <w:color w:val="10120F"/>
            <w:u w:val="none"/>
            <w:vertAlign w:val="superscript"/>
            <w:b/>
          </w:rPr>
          <w:t>5</w:t>
        </w:r>
      </w:hyperlink>
    </w:p>
    <w:p>
      <w:pPr>
        <w:spacing w:before="100" w:after="40" w:line="259" w:lineRule="auto"/>
      </w:pPr>
      <w:r>
        <w:rPr>
          <w:rFonts w:ascii="Inter" w:hAnsi="Inter" w:eastAsia="Inter"/>
          <w:b/>
          <w:i w:val="0"/>
          <w:color w:val="10120F"/>
          <w:sz w:val="21"/>
        </w:rPr>
        <w:t>Avoid evidence overreach.</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8">
        <w:r>
          <w:rPr>
            <w:rFonts w:ascii="Inter" w:hAnsi="Inter" w:eastAsia="Inter"/>
            <w:color w:val="10120F"/>
            <w:u w:val="none"/>
            <w:vertAlign w:val="superscript"/>
            <w:b/>
          </w:rPr>
          <w:t>5</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Do not present RWE or observational evidence as causal unless the design supports that inference.</w:t>
      </w:r>
      <w:hyperlink r:id="rId180">
        <w:r>
          <w:rPr>
            <w:rFonts w:ascii="Inter" w:hAnsi="Inter" w:eastAsia="Inter"/>
            <w:color w:val="10120F"/>
            <w:u w:val="none"/>
            <w:vertAlign w:val="superscript"/>
            <w:b/>
          </w:rPr>
          <w:t>8</w:t>
        </w:r>
      </w:hyperlink>
      <w:r>
        <w:rPr>
          <w:rFonts w:ascii="Inter" w:hAnsi="Inter" w:eastAsia="Inter"/>
          <w:b/>
          <w:i w:val="0"/>
          <w:color w:val="10120F"/>
          <w:sz w:val="16"/>
          <w:vertAlign w:val="superscript"/>
        </w:rPr>
        <w:t>,</w:t>
      </w:r>
      <w:hyperlink r:id="rId181">
        <w:r>
          <w:rPr>
            <w:rFonts w:ascii="Inter" w:hAnsi="Inter" w:eastAsia="Inter"/>
            <w:color w:val="10120F"/>
            <w:u w:val="none"/>
            <w:vertAlign w:val="superscript"/>
            <w:b/>
          </w:rPr>
          <w:t>10</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Do not imply superiority, broader population applicability, improved safety/effectiveness, or unapproved outcomes unless the exact comparison is supported.</w:t>
      </w:r>
      <w:hyperlink r:id="rId176">
        <w:r>
          <w:rPr>
            <w:rFonts w:ascii="Inter" w:hAnsi="Inter" w:eastAsia="Inter"/>
            <w:color w:val="10120F"/>
            <w:u w:val="none"/>
            <w:vertAlign w:val="superscript"/>
            <w:b/>
          </w:rPr>
          <w:t>1</w:t>
        </w:r>
      </w:hyperlink>
      <w:r>
        <w:rPr>
          <w:rFonts w:ascii="Inter" w:hAnsi="Inter" w:eastAsia="Inter"/>
          <w:b/>
          <w:i w:val="0"/>
          <w:color w:val="10120F"/>
          <w:sz w:val="16"/>
          <w:vertAlign w:val="superscript"/>
        </w:rPr>
        <w:t>,</w:t>
      </w:r>
      <w:hyperlink r:id="rId177">
        <w:r>
          <w:rPr>
            <w:rFonts w:ascii="Inter" w:hAnsi="Inter" w:eastAsia="Inter"/>
            <w:color w:val="10120F"/>
            <w:u w:val="none"/>
            <w:vertAlign w:val="superscript"/>
            <w:b/>
          </w:rPr>
          <w:t>2</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numPr>
          <w:ilvl w:val="0"/>
          <w:numId w:val="3"/>
        </w:numPr>
        <w:spacing w:before="0" w:after="60" w:line="259" w:lineRule="auto"/>
        <w:tabs>
          <w:tab w:val="num" w:pos="720"/>
        </w:tabs>
        <w:ind w:left="720" w:hanging="360"/>
      </w:pPr>
      <w:r>
        <w:rPr>
          <w:rFonts w:ascii="Inter" w:hAnsi="Inter" w:eastAsia="Inter"/>
          <w:b w:val="0"/>
          <w:i w:val="0"/>
          <w:color w:val="10120F"/>
          <w:sz w:val="20"/>
        </w:rPr>
        <w:t>Do not let visuals, testimonials, ordering, icons, or colors imply claims stronger than the text.</w:t>
      </w:r>
      <w:hyperlink r:id="rId178">
        <w:r>
          <w:rPr>
            <w:rFonts w:ascii="Inter" w:hAnsi="Inter" w:eastAsia="Inter"/>
            <w:color w:val="10120F"/>
            <w:u w:val="none"/>
            <w:vertAlign w:val="superscript"/>
            <w:b/>
          </w:rPr>
          <w:t>5</w:t>
        </w:r>
      </w:hyperlink>
      <w:r>
        <w:rPr>
          <w:rFonts w:ascii="Inter" w:hAnsi="Inter" w:eastAsia="Inter"/>
          <w:b/>
          <w:i w:val="0"/>
          <w:color w:val="10120F"/>
          <w:sz w:val="16"/>
          <w:vertAlign w:val="superscript"/>
        </w:rPr>
        <w:t>,</w:t>
      </w:r>
      <w:hyperlink r:id="rId190">
        <w:r>
          <w:rPr>
            <w:rFonts w:ascii="Inter" w:hAnsi="Inter" w:eastAsia="Inter"/>
            <w:color w:val="10120F"/>
            <w:u w:val="none"/>
            <w:vertAlign w:val="superscript"/>
            <w:b/>
          </w:rPr>
          <w:t>6</w:t>
        </w:r>
      </w:hyperlink>
      <w:r>
        <w:rPr>
          <w:rFonts w:ascii="Inter" w:hAnsi="Inter" w:eastAsia="Inter"/>
          <w:b/>
          <w:i w:val="0"/>
          <w:color w:val="10120F"/>
          <w:sz w:val="16"/>
          <w:vertAlign w:val="superscript"/>
        </w:rPr>
        <w:t>,</w:t>
      </w:r>
      <w:hyperlink r:id="rId182">
        <w:r>
          <w:rPr>
            <w:rFonts w:ascii="Inter" w:hAnsi="Inter" w:eastAsia="Inter"/>
            <w:color w:val="10120F"/>
            <w:u w:val="none"/>
            <w:vertAlign w:val="superscript"/>
            <w:b/>
          </w:rPr>
          <w:t>15</w:t>
        </w:r>
      </w:hyperlink>
    </w:p>
    <w:p>
      <w:pPr>
        <w:sectPr>
          <w:headerReference w:type="even" r:id="rId168"/>
          <w:headerReference w:type="default" r:id="rId169"/>
          <w:footerReference w:type="even" r:id="rId170"/>
          <w:footerReference w:type="default" r:id="rId171"/>
          <w:headerReference w:type="first" r:id="rId172"/>
          <w:footerReference w:type="first" r:id="rId173"/>
          <w:pgSz w:w="12240" w:h="15840" w:orient="landscape"/>
          <w:pgMar w:top="1080" w:right="1080" w:bottom="1080" w:left="1080" w:header="706" w:footer="706" w:gutter="0"/>
          <w:cols w:space="720"/>
          <w:docGrid w:linePitch="360"/>
        </w:sectPr>
      </w:pPr>
    </w:p>
    <w:p>
      <w:pPr>
        <w:spacing w:before="0" w:after="100"/>
      </w:pPr>
      <w:r>
        <w:rPr>
          <w:rFonts w:ascii="Inter" w:hAnsi="Inter" w:eastAsia="Inter"/>
          <w:b/>
          <w:i w:val="0"/>
          <w:color w:val="10120F"/>
          <w:sz w:val="30"/>
        </w:rPr>
        <w:t>Operational Guidance Matrix</w:t>
      </w:r>
    </w:p>
    <w:tbl>
      <w:tblPr>
        <w:tblW w:type="dxa" w:w="14111"/>
        <w:jc w:val="center"/>
        <w:tblLook w:firstColumn="1" w:firstRow="1" w:lastColumn="0" w:lastRow="0" w:noHBand="0" w:noVBand="1" w:val="04A0"/>
        <w:tblLayout w:type="fixed"/>
      </w:tblPr>
      <w:tblGrid>
        <w:gridCol w:w="1944"/>
        <w:gridCol w:w="6120"/>
        <w:gridCol w:w="3960"/>
        <w:gridCol w:w="2088"/>
      </w:tblGrid>
      <w:tr>
        <w:tc>
          <w:tcPr>
            <w:tcW w:type="dxa" w:w="1944"/>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B8D8FF"/>
                <w:sz w:val="16"/>
              </w:rPr>
              <w:t>COMPONENT</w:t>
            </w:r>
          </w:p>
        </w:tc>
        <w:tc>
          <w:tcPr>
            <w:tcW w:type="dxa" w:w="6120"/>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B8D8FF"/>
                <w:sz w:val="16"/>
              </w:rPr>
              <w:t>RECOMMENDED OPERATIONALIZATION</w:t>
            </w:r>
          </w:p>
        </w:tc>
        <w:tc>
          <w:tcPr>
            <w:tcW w:type="dxa" w:w="3960"/>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B8D8FF"/>
                <w:sz w:val="16"/>
              </w:rPr>
              <w:t>WHY IT MATTERS</w:t>
            </w:r>
          </w:p>
        </w:tc>
        <w:tc>
          <w:tcPr>
            <w:tcW w:type="dxa" w:w="2088"/>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B8D8FF"/>
                <w:sz w:val="16"/>
              </w:rPr>
              <w:t>SOURCE</w:t>
            </w:r>
          </w:p>
        </w:tc>
      </w:tr>
      <w:tr>
        <w:tc>
          <w:tcPr>
            <w:tcW w:type="dxa" w:w="194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Label anchor</w:t>
            </w:r>
          </w:p>
        </w:tc>
        <w:tc>
          <w:tcPr>
            <w:tcW w:type="dxa" w:w="612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Record indication, population, dose/use conditions, route, limitations of use, and relevant safety context before drafting claims.</w:t>
            </w:r>
            <w:hyperlink r:id="rId176">
              <w:r>
                <w:rPr>
                  <w:rFonts w:ascii="Inter" w:hAnsi="Inter" w:eastAsia="Inter"/>
                  <w:color w:val="10120F"/>
                  <w:u w:val="none"/>
                  <w:vertAlign w:val="superscript"/>
                  <w:b/>
                  <w:sz w:val="16"/>
                  <w:szCs w:val="16"/>
                </w:rPr>
                <w:t>1</w:t>
              </w:r>
            </w:hyperlink>
          </w:p>
        </w:tc>
        <w:tc>
          <w:tcPr>
            <w:tcW w:type="dxa" w:w="39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Prevents supplementary evidence from implying a broader approved use.</w:t>
            </w:r>
          </w:p>
        </w:tc>
        <w:tc>
          <w:tcPr>
            <w:tcW w:type="dxa" w:w="2088"/>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w:t>
            </w:r>
          </w:p>
        </w:tc>
      </w:tr>
      <w:tr>
        <w:tc>
          <w:tcPr>
            <w:tcW w:type="dxa" w:w="194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Payer/HCEI package</w:t>
            </w:r>
          </w:p>
        </w:tc>
        <w:tc>
          <w:tcPr>
            <w:tcW w:type="dxa" w:w="612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Include data source, outcomes, analysis type, assumptions, comparator, time horizon, limitations, generalizability, and risk context.</w:t>
            </w:r>
            <w:hyperlink r:id="rId177">
              <w:r>
                <w:rPr>
                  <w:rFonts w:ascii="Inter" w:hAnsi="Inter" w:eastAsia="Inter"/>
                  <w:color w:val="10120F"/>
                  <w:u w:val="none"/>
                  <w:vertAlign w:val="superscript"/>
                  <w:b/>
                  <w:sz w:val="16"/>
                  <w:szCs w:val="16"/>
                </w:rPr>
                <w:t>2</w:t>
              </w:r>
            </w:hyperlink>
            <w:r>
              <w:rPr>
                <w:rFonts w:ascii="Inter" w:hAnsi="Inter" w:eastAsia="Inter"/>
                <w:b w:val="0"/>
                <w:i w:val="0"/>
                <w:color w:val="10120F"/>
                <w:sz w:val="16"/>
                <w:vertAlign w:val="superscript"/>
                <w:szCs w:val="16"/>
              </w:rPr>
              <w:t>,</w:t>
            </w:r>
            <w:hyperlink r:id="rId179">
              <w:r>
                <w:rPr>
                  <w:rFonts w:ascii="Inter" w:hAnsi="Inter" w:eastAsia="Inter"/>
                  <w:color w:val="10120F"/>
                  <w:u w:val="none"/>
                  <w:vertAlign w:val="superscript"/>
                  <w:b/>
                  <w:sz w:val="16"/>
                  <w:szCs w:val="16"/>
                </w:rPr>
                <w:t>7</w:t>
              </w:r>
            </w:hyperlink>
            <w:r>
              <w:rPr>
                <w:rFonts w:ascii="Inter" w:hAnsi="Inter" w:eastAsia="Inter"/>
                <w:b w:val="0"/>
                <w:i w:val="0"/>
                <w:color w:val="10120F"/>
                <w:sz w:val="16"/>
                <w:vertAlign w:val="superscript"/>
                <w:szCs w:val="16"/>
              </w:rPr>
              <w:t>,</w:t>
            </w:r>
            <w:hyperlink r:id="rId188">
              <w:r>
                <w:rPr>
                  <w:rFonts w:ascii="Inter" w:hAnsi="Inter" w:eastAsia="Inter"/>
                  <w:color w:val="10120F"/>
                  <w:u w:val="none"/>
                  <w:vertAlign w:val="superscript"/>
                  <w:b/>
                  <w:sz w:val="16"/>
                  <w:szCs w:val="16"/>
                </w:rPr>
                <w:t>9</w:t>
              </w:r>
            </w:hyperlink>
          </w:p>
        </w:tc>
        <w:tc>
          <w:tcPr>
            <w:tcW w:type="dxa" w:w="39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Makes economic and population-level evidence decision-useful for HCDMs.</w:t>
            </w:r>
          </w:p>
        </w:tc>
        <w:tc>
          <w:tcPr>
            <w:tcW w:type="dxa" w:w="2088"/>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payer/HCEI; AMCP; CHEERS</w:t>
            </w:r>
          </w:p>
        </w:tc>
      </w:tr>
      <w:tr>
        <w:tc>
          <w:tcPr>
            <w:tcW w:type="dxa" w:w="194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RWE presentation</w:t>
            </w:r>
          </w:p>
        </w:tc>
        <w:tc>
          <w:tcPr>
            <w:tcW w:type="dxa" w:w="612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Identify study design, data provenance, endpoint definitions, confounding controls, uncertainty, and whether findings are hypothesis-evaluating or descriptive.</w:t>
            </w:r>
            <w:hyperlink r:id="rId180">
              <w:r>
                <w:rPr>
                  <w:rFonts w:ascii="Inter" w:hAnsi="Inter" w:eastAsia="Inter"/>
                  <w:color w:val="10120F"/>
                  <w:u w:val="none"/>
                  <w:vertAlign w:val="superscript"/>
                  <w:b/>
                  <w:sz w:val="16"/>
                  <w:szCs w:val="16"/>
                </w:rPr>
                <w:t>8</w:t>
              </w:r>
            </w:hyperlink>
            <w:r>
              <w:rPr>
                <w:rFonts w:ascii="Inter" w:hAnsi="Inter" w:eastAsia="Inter"/>
                <w:b w:val="0"/>
                <w:i w:val="0"/>
                <w:color w:val="10120F"/>
                <w:sz w:val="16"/>
                <w:vertAlign w:val="superscript"/>
                <w:szCs w:val="16"/>
              </w:rPr>
              <w:t>,</w:t>
            </w:r>
            <w:hyperlink r:id="rId181">
              <w:r>
                <w:rPr>
                  <w:rFonts w:ascii="Inter" w:hAnsi="Inter" w:eastAsia="Inter"/>
                  <w:color w:val="10120F"/>
                  <w:u w:val="none"/>
                  <w:vertAlign w:val="superscript"/>
                  <w:b/>
                  <w:sz w:val="16"/>
                  <w:szCs w:val="16"/>
                </w:rPr>
                <w:t>10</w:t>
              </w:r>
            </w:hyperlink>
          </w:p>
        </w:tc>
        <w:tc>
          <w:tcPr>
            <w:tcW w:type="dxa" w:w="39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Keeps observational evidence from being read like randomized causal evidence.</w:t>
            </w:r>
          </w:p>
        </w:tc>
        <w:tc>
          <w:tcPr>
            <w:tcW w:type="dxa" w:w="2088"/>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AMCP RWE; ISPOR RWE</w:t>
            </w:r>
          </w:p>
        </w:tc>
      </w:tr>
      <w:tr>
        <w:tc>
          <w:tcPr>
            <w:tcW w:type="dxa" w:w="194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Consumer numeracy</w:t>
            </w:r>
          </w:p>
        </w:tc>
        <w:tc>
          <w:tcPr>
            <w:tcW w:type="dxa" w:w="612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Use absolute frequencies or percentages, include control-group data where relevant, and pair relative risks with absolute values.</w:t>
            </w:r>
            <w:hyperlink r:id="rId185">
              <w:r>
                <w:rPr>
                  <w:rFonts w:ascii="Inter" w:hAnsi="Inter" w:eastAsia="Inter"/>
                  <w:color w:val="10120F"/>
                  <w:u w:val="none"/>
                  <w:vertAlign w:val="superscript"/>
                  <w:b/>
                  <w:sz w:val="16"/>
                  <w:szCs w:val="16"/>
                </w:rPr>
                <w:t>4</w:t>
              </w:r>
            </w:hyperlink>
          </w:p>
        </w:tc>
        <w:tc>
          <w:tcPr>
            <w:tcW w:type="dxa" w:w="39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Improves comprehension and reduces misleading benefit-risk impressions.</w:t>
            </w:r>
          </w:p>
        </w:tc>
        <w:tc>
          <w:tcPr>
            <w:tcW w:type="dxa" w:w="2088"/>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DTC quantitative guidance</w:t>
            </w:r>
          </w:p>
        </w:tc>
      </w:tr>
      <w:tr>
        <w:tc>
          <w:tcPr>
            <w:tcW w:type="dxa" w:w="194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Disclosure placement</w:t>
            </w:r>
          </w:p>
        </w:tc>
        <w:tc>
          <w:tcPr>
            <w:tcW w:type="dxa" w:w="612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Keep limitations visually proximate to the claim, table, or chart being qualified.</w:t>
            </w:r>
            <w:hyperlink r:id="rId176">
              <w:r>
                <w:rPr>
                  <w:rFonts w:ascii="Inter" w:hAnsi="Inter" w:eastAsia="Inter"/>
                  <w:color w:val="10120F"/>
                  <w:u w:val="none"/>
                  <w:vertAlign w:val="superscript"/>
                  <w:b/>
                  <w:sz w:val="16"/>
                  <w:szCs w:val="16"/>
                </w:rPr>
                <w:t>1</w:t>
              </w:r>
            </w:hyperlink>
            <w:r>
              <w:rPr>
                <w:rFonts w:ascii="Inter" w:hAnsi="Inter" w:eastAsia="Inter"/>
                <w:b w:val="0"/>
                <w:i w:val="0"/>
                <w:color w:val="10120F"/>
                <w:sz w:val="16"/>
                <w:vertAlign w:val="superscript"/>
                <w:szCs w:val="16"/>
              </w:rPr>
              <w:t>,</w:t>
            </w:r>
            <w:hyperlink r:id="rId178">
              <w:r>
                <w:rPr>
                  <w:rFonts w:ascii="Inter" w:hAnsi="Inter" w:eastAsia="Inter"/>
                  <w:color w:val="10120F"/>
                  <w:u w:val="none"/>
                  <w:vertAlign w:val="superscript"/>
                  <w:b/>
                  <w:sz w:val="16"/>
                  <w:szCs w:val="16"/>
                </w:rPr>
                <w:t>5</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39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Disclosures cannot rescue an otherwise unsupported or misleading main claim.</w:t>
            </w:r>
          </w:p>
        </w:tc>
        <w:tc>
          <w:tcPr>
            <w:tcW w:type="dxa" w:w="2088"/>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 FTC; Medicines Australia</w:t>
            </w:r>
          </w:p>
        </w:tc>
      </w:tr>
      <w:tr>
        <w:tc>
          <w:tcPr>
            <w:tcW w:type="dxa" w:w="194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Evidence base</w:t>
            </w:r>
          </w:p>
        </w:tc>
        <w:tc>
          <w:tcPr>
            <w:tcW w:type="dxa" w:w="612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Maintain one reviewed source of truth for claims, studies, model inputs, assumptions, approved variants, local adaptations, and gap plans.</w:t>
            </w:r>
            <w:hyperlink r:id="rId183">
              <w:r>
                <w:rPr>
                  <w:rFonts w:ascii="Inter" w:hAnsi="Inter" w:eastAsia="Inter"/>
                  <w:color w:val="10120F"/>
                  <w:u w:val="none"/>
                  <w:vertAlign w:val="superscript"/>
                  <w:b/>
                  <w:sz w:val="16"/>
                  <w:szCs w:val="16"/>
                </w:rPr>
                <w:t>11</w:t>
              </w:r>
            </w:hyperlink>
            <w:r>
              <w:rPr>
                <w:rFonts w:ascii="Inter" w:hAnsi="Inter" w:eastAsia="Inter"/>
                <w:b w:val="0"/>
                <w:i w:val="0"/>
                <w:color w:val="10120F"/>
                <w:sz w:val="16"/>
                <w:vertAlign w:val="superscript"/>
                <w:szCs w:val="16"/>
              </w:rPr>
              <w:t>,</w:t>
            </w:r>
            <w:hyperlink r:id="rId186">
              <w:r>
                <w:rPr>
                  <w:rFonts w:ascii="Inter" w:hAnsi="Inter" w:eastAsia="Inter"/>
                  <w:color w:val="10120F"/>
                  <w:u w:val="none"/>
                  <w:vertAlign w:val="superscript"/>
                  <w:b/>
                  <w:sz w:val="16"/>
                  <w:szCs w:val="16"/>
                </w:rPr>
                <w:t>12</w:t>
              </w:r>
            </w:hyperlink>
            <w:r>
              <w:rPr>
                <w:rFonts w:ascii="Inter" w:hAnsi="Inter" w:eastAsia="Inter"/>
                <w:b w:val="0"/>
                <w:i w:val="0"/>
                <w:color w:val="10120F"/>
                <w:sz w:val="16"/>
                <w:vertAlign w:val="superscript"/>
                <w:szCs w:val="16"/>
              </w:rPr>
              <w:t>,</w:t>
            </w:r>
            <w:hyperlink r:id="rId187">
              <w:r>
                <w:rPr>
                  <w:rFonts w:ascii="Inter" w:hAnsi="Inter" w:eastAsia="Inter"/>
                  <w:color w:val="10120F"/>
                  <w:u w:val="none"/>
                  <w:vertAlign w:val="superscript"/>
                  <w:b/>
                  <w:sz w:val="16"/>
                  <w:szCs w:val="16"/>
                </w:rPr>
                <w:t>13</w:t>
              </w:r>
            </w:hyperlink>
            <w:r>
              <w:rPr>
                <w:rFonts w:ascii="Inter" w:hAnsi="Inter" w:eastAsia="Inter"/>
                <w:b w:val="0"/>
                <w:i w:val="0"/>
                <w:color w:val="10120F"/>
                <w:sz w:val="16"/>
                <w:vertAlign w:val="superscript"/>
                <w:szCs w:val="16"/>
              </w:rPr>
              <w:t>,</w:t>
            </w:r>
            <w:hyperlink r:id="rId184">
              <w:r>
                <w:rPr>
                  <w:rFonts w:ascii="Inter" w:hAnsi="Inter" w:eastAsia="Inter"/>
                  <w:color w:val="10120F"/>
                  <w:u w:val="none"/>
                  <w:vertAlign w:val="superscript"/>
                  <w:b/>
                  <w:sz w:val="16"/>
                  <w:szCs w:val="16"/>
                </w:rPr>
                <w:t>14</w:t>
              </w:r>
            </w:hyperlink>
          </w:p>
        </w:tc>
        <w:tc>
          <w:tcPr>
            <w:tcW w:type="dxa" w:w="39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Reduces drift across dossiers, tools, field materials, and local market versions.</w:t>
            </w:r>
          </w:p>
        </w:tc>
        <w:tc>
          <w:tcPr>
            <w:tcW w:type="dxa" w:w="2088"/>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Certara; OPEN Health; IQVIA; EVERSANA</w:t>
            </w:r>
          </w:p>
        </w:tc>
      </w:tr>
    </w:tbl>
    <w:p>
      <w:pPr>
        <w:spacing w:before="240" w:after="100"/>
      </w:pPr>
      <w:r>
        <w:rPr>
          <w:rFonts w:ascii="Inter" w:hAnsi="Inter" w:eastAsia="Inter"/>
          <w:b/>
          <w:i w:val="0"/>
          <w:color w:val="10120F"/>
          <w:sz w:val="30"/>
        </w:rPr>
        <w:t>Disclaimer and Limitation Elements</w:t>
      </w:r>
    </w:p>
    <w:tbl>
      <w:tblPr>
        <w:tblW w:type="dxa" w:w="14040"/>
        <w:jc w:val="center"/>
        <w:tblLook w:firstColumn="1" w:firstRow="1" w:lastColumn="0" w:lastRow="0" w:noHBand="0" w:noVBand="1" w:val="04A0"/>
        <w:tblLayout w:type="fixed"/>
      </w:tblPr>
      <w:tblGrid>
        <w:gridCol w:w="3816"/>
        <w:gridCol w:w="7560"/>
        <w:gridCol w:w="2664"/>
      </w:tblGrid>
      <w:tr>
        <w:tc>
          <w:tcPr>
            <w:tcW w:type="dxa" w:w="3816"/>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B86B"/>
                <w:sz w:val="16"/>
              </w:rPr>
              <w:t>ELEMENT</w:t>
            </w:r>
          </w:p>
        </w:tc>
        <w:tc>
          <w:tcPr>
            <w:tcW w:type="dxa" w:w="7560"/>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B86B"/>
                <w:sz w:val="16"/>
              </w:rPr>
              <w:t>WHEN TO INCLUDE</w:t>
            </w:r>
          </w:p>
        </w:tc>
        <w:tc>
          <w:tcPr>
            <w:tcW w:type="dxa" w:w="2664"/>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B86B"/>
                <w:sz w:val="16"/>
              </w:rPr>
              <w:t>SOURCE</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Approved indication and limitations of use</w:t>
            </w:r>
          </w:p>
        </w:tc>
        <w:tc>
          <w:tcPr>
            <w:tcW w:type="dxa" w:w="75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Any product-specific claim or label-context summary.</w:t>
            </w:r>
            <w:hyperlink r:id="rId176">
              <w:r>
                <w:rPr>
                  <w:rFonts w:ascii="Inter" w:hAnsi="Inter" w:eastAsia="Inter"/>
                  <w:color w:val="10120F"/>
                  <w:u w:val="none"/>
                  <w:vertAlign w:val="superscript"/>
                  <w:b/>
                  <w:sz w:val="16"/>
                  <w:szCs w:val="16"/>
                </w:rPr>
                <w:t>1</w:t>
              </w:r>
            </w:hyperlink>
          </w:p>
        </w:tc>
        <w:tc>
          <w:tcPr>
            <w:tcW w:type="dxa" w:w="266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Current prescribing information / FDA-required labeling reference</w:t>
            </w:r>
          </w:p>
        </w:tc>
        <w:tc>
          <w:tcPr>
            <w:tcW w:type="dxa" w:w="75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Any label-anchored efficacy, safety, use, or dosing statement.</w:t>
            </w:r>
            <w:hyperlink r:id="rId176">
              <w:r>
                <w:rPr>
                  <w:rFonts w:ascii="Inter" w:hAnsi="Inter" w:eastAsia="Inter"/>
                  <w:color w:val="10120F"/>
                  <w:u w:val="none"/>
                  <w:vertAlign w:val="superscript"/>
                  <w:b/>
                  <w:sz w:val="16"/>
                  <w:szCs w:val="16"/>
                </w:rPr>
                <w:t>1</w:t>
              </w:r>
            </w:hyperlink>
          </w:p>
        </w:tc>
        <w:tc>
          <w:tcPr>
            <w:tcW w:type="dxa" w:w="266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Unapproved status and safety/effectiveness not established</w:t>
            </w:r>
          </w:p>
        </w:tc>
        <w:tc>
          <w:tcPr>
            <w:tcW w:type="dxa" w:w="75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Payer or HCP scientific information about unapproved products or uses.</w:t>
            </w:r>
            <w:hyperlink r:id="rId177">
              <w:r>
                <w:rPr>
                  <w:rFonts w:ascii="Inter" w:hAnsi="Inter" w:eastAsia="Inter"/>
                  <w:color w:val="10120F"/>
                  <w:u w:val="none"/>
                  <w:vertAlign w:val="superscript"/>
                  <w:b/>
                  <w:sz w:val="16"/>
                  <w:szCs w:val="16"/>
                </w:rPr>
                <w:t>2</w:t>
              </w:r>
            </w:hyperlink>
            <w:r>
              <w:rPr>
                <w:rFonts w:ascii="Inter" w:hAnsi="Inter" w:eastAsia="Inter"/>
                <w:b w:val="0"/>
                <w:i w:val="0"/>
                <w:color w:val="10120F"/>
                <w:sz w:val="16"/>
                <w:vertAlign w:val="superscript"/>
                <w:szCs w:val="16"/>
              </w:rPr>
              <w:t>,</w:t>
            </w:r>
            <w:hyperlink r:id="rId189">
              <w:r>
                <w:rPr>
                  <w:rFonts w:ascii="Inter" w:hAnsi="Inter" w:eastAsia="Inter"/>
                  <w:color w:val="10120F"/>
                  <w:u w:val="none"/>
                  <w:vertAlign w:val="superscript"/>
                  <w:b/>
                  <w:sz w:val="16"/>
                  <w:szCs w:val="16"/>
                </w:rPr>
                <w:t>3</w:t>
              </w:r>
            </w:hyperlink>
          </w:p>
        </w:tc>
        <w:tc>
          <w:tcPr>
            <w:tcW w:type="dxa" w:w="266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payer/HCEI; FDA SIUU</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Data source, design, population, comparator, endpoints, assumptions, model perspective, time horizon, uncertainty, generalizability</w:t>
            </w:r>
          </w:p>
        </w:tc>
        <w:tc>
          <w:tcPr>
            <w:tcW w:type="dxa" w:w="75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Economic analyses, RWE, models, or payer/HCEI evidence.</w:t>
            </w:r>
            <w:hyperlink r:id="rId177">
              <w:r>
                <w:rPr>
                  <w:rFonts w:ascii="Inter" w:hAnsi="Inter" w:eastAsia="Inter"/>
                  <w:color w:val="10120F"/>
                  <w:u w:val="none"/>
                  <w:vertAlign w:val="superscript"/>
                  <w:b/>
                  <w:sz w:val="16"/>
                  <w:szCs w:val="16"/>
                </w:rPr>
                <w:t>2</w:t>
              </w:r>
            </w:hyperlink>
            <w:r>
              <w:rPr>
                <w:rFonts w:ascii="Inter" w:hAnsi="Inter" w:eastAsia="Inter"/>
                <w:b w:val="0"/>
                <w:i w:val="0"/>
                <w:color w:val="10120F"/>
                <w:sz w:val="16"/>
                <w:vertAlign w:val="superscript"/>
                <w:szCs w:val="16"/>
              </w:rPr>
              <w:t>,</w:t>
            </w:r>
            <w:hyperlink r:id="rId180">
              <w:r>
                <w:rPr>
                  <w:rFonts w:ascii="Inter" w:hAnsi="Inter" w:eastAsia="Inter"/>
                  <w:color w:val="10120F"/>
                  <w:u w:val="none"/>
                  <w:vertAlign w:val="superscript"/>
                  <w:b/>
                  <w:sz w:val="16"/>
                  <w:szCs w:val="16"/>
                </w:rPr>
                <w:t>8</w:t>
              </w:r>
            </w:hyperlink>
            <w:r>
              <w:rPr>
                <w:rFonts w:ascii="Inter" w:hAnsi="Inter" w:eastAsia="Inter"/>
                <w:b w:val="0"/>
                <w:i w:val="0"/>
                <w:color w:val="10120F"/>
                <w:sz w:val="16"/>
                <w:vertAlign w:val="superscript"/>
                <w:szCs w:val="16"/>
              </w:rPr>
              <w:t>,</w:t>
            </w:r>
            <w:hyperlink r:id="rId188">
              <w:r>
                <w:rPr>
                  <w:rFonts w:ascii="Inter" w:hAnsi="Inter" w:eastAsia="Inter"/>
                  <w:color w:val="10120F"/>
                  <w:u w:val="none"/>
                  <w:vertAlign w:val="superscript"/>
                  <w:b/>
                  <w:sz w:val="16"/>
                  <w:szCs w:val="16"/>
                </w:rPr>
                <w:t>9</w:t>
              </w:r>
            </w:hyperlink>
            <w:r>
              <w:rPr>
                <w:rFonts w:ascii="Inter" w:hAnsi="Inter" w:eastAsia="Inter"/>
                <w:b w:val="0"/>
                <w:i w:val="0"/>
                <w:color w:val="10120F"/>
                <w:sz w:val="16"/>
                <w:vertAlign w:val="superscript"/>
                <w:szCs w:val="16"/>
              </w:rPr>
              <w:t>,</w:t>
            </w:r>
            <w:hyperlink r:id="rId181">
              <w:r>
                <w:rPr>
                  <w:rFonts w:ascii="Inter" w:hAnsi="Inter" w:eastAsia="Inter"/>
                  <w:color w:val="10120F"/>
                  <w:u w:val="none"/>
                  <w:vertAlign w:val="superscript"/>
                  <w:b/>
                  <w:sz w:val="16"/>
                  <w:szCs w:val="16"/>
                </w:rPr>
                <w:t>10</w:t>
              </w:r>
            </w:hyperlink>
          </w:p>
        </w:tc>
        <w:tc>
          <w:tcPr>
            <w:tcW w:type="dxa" w:w="266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payer/HCEI; AMCP; CHEERS; ISPOR</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Exploratory/descriptive/post hoc caution</w:t>
            </w:r>
          </w:p>
        </w:tc>
        <w:tc>
          <w:tcPr>
            <w:tcW w:type="dxa" w:w="7560"/>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Exploratory, descriptive, post hoc, subgroup, or underpowered findings.</w:t>
            </w:r>
            <w:hyperlink r:id="rId176">
              <w:r>
                <w:rPr>
                  <w:rFonts w:ascii="Inter" w:hAnsi="Inter" w:eastAsia="Inter"/>
                  <w:color w:val="10120F"/>
                  <w:u w:val="none"/>
                  <w:vertAlign w:val="superscript"/>
                  <w:b/>
                  <w:sz w:val="16"/>
                  <w:szCs w:val="16"/>
                </w:rPr>
                <w:t>1</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664"/>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 Medicines Australia</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Material differences from labeling</w:t>
            </w:r>
          </w:p>
        </w:tc>
        <w:tc>
          <w:tcPr>
            <w:tcW w:type="dxa" w:w="7560"/>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Payer/HCEI evidence that differs materially from approved labeling conditions.</w:t>
            </w:r>
            <w:hyperlink r:id="rId177">
              <w:r>
                <w:rPr>
                  <w:rFonts w:ascii="Inter" w:hAnsi="Inter" w:eastAsia="Inter"/>
                  <w:color w:val="10120F"/>
                  <w:u w:val="none"/>
                  <w:vertAlign w:val="superscript"/>
                  <w:b/>
                  <w:sz w:val="16"/>
                  <w:szCs w:val="16"/>
                </w:rPr>
                <w:t>2</w:t>
              </w:r>
            </w:hyperlink>
          </w:p>
        </w:tc>
        <w:tc>
          <w:tcPr>
            <w:tcW w:type="dxa" w:w="2664"/>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payer/HCEI</w:t>
            </w:r>
          </w:p>
        </w:tc>
      </w:tr>
    </w:tbl>
    <w:p>
      <w:pPr>
        <w:sectPr>
          <w:pgSz w:w="15840" w:h="12240" w:orient="landscape"/>
          <w:pgMar w:top="792" w:right="792" w:bottom="792" w:left="792" w:header="706" w:footer="706" w:gutter="0"/>
          <w:cols w:space="720"/>
          <w:docGrid w:linePitch="360"/>
        </w:sectPr>
      </w:pPr>
    </w:p>
    <w:p>
      <w:pPr>
        <w:spacing w:before="0" w:after="100"/>
      </w:pPr>
      <w:r>
        <w:rPr>
          <w:rFonts w:ascii="Inter" w:hAnsi="Inter" w:eastAsia="Inter"/>
          <w:b/>
          <w:i w:val="0"/>
          <w:color w:val="10120F"/>
          <w:sz w:val="30"/>
        </w:rPr>
        <w:t>High-Risk Pitfalls</w:t>
      </w:r>
    </w:p>
    <w:tbl>
      <w:tblPr>
        <w:tblW w:type="dxa" w:w="14112"/>
        <w:jc w:val="center"/>
        <w:tblLook w:firstColumn="1" w:firstRow="1" w:lastColumn="0" w:lastRow="0" w:noHBand="0" w:noVBand="1" w:val="04A0"/>
        <w:tblLayout w:type="fixed"/>
      </w:tblPr>
      <w:tblGrid>
        <w:gridCol w:w="3816"/>
        <w:gridCol w:w="7703"/>
        <w:gridCol w:w="2592"/>
      </w:tblGrid>
      <w:tr>
        <w:tc>
          <w:tcPr>
            <w:tcW w:type="dxa" w:w="3816"/>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D3E0"/>
                <w:sz w:val="16"/>
              </w:rPr>
              <w:t>PITFALL</w:t>
            </w:r>
          </w:p>
        </w:tc>
        <w:tc>
          <w:tcPr>
            <w:tcW w:type="dxa" w:w="7703"/>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D3E0"/>
                <w:sz w:val="16"/>
              </w:rPr>
              <w:t>WHY IT MATTERS</w:t>
            </w:r>
          </w:p>
        </w:tc>
        <w:tc>
          <w:tcPr>
            <w:tcW w:type="dxa" w:w="2592"/>
            <w:shd w:fill="10120F"/>
            <w:tcBorders>
              <w:top w:val="single" w:sz="8" w:color="1B1F17"/>
              <w:left w:val="single" w:sz="8" w:color="1B1F17"/>
              <w:bottom w:val="single" w:sz="8" w:color="1B1F17"/>
              <w:right w:val="single" w:sz="8" w:color="1B1F17"/>
            </w:tcBorders>
            <w:tcMar>
              <w:top w:w="90" w:type="dxa"/>
              <w:start w:w="110" w:type="dxa"/>
              <w:bottom w:w="90" w:type="dxa"/>
              <w:end w:w="110" w:type="dxa"/>
            </w:tcMar>
          </w:tcPr>
          <w:p>
            <w:pPr>
              <w:spacing w:after="0"/>
            </w:pPr>
            <w:r>
              <w:rPr>
                <w:rFonts w:ascii="Inter" w:hAnsi="Inter" w:eastAsia="Inter"/>
                <w:b/>
                <w:i w:val="0"/>
                <w:color w:val="FFD3E0"/>
                <w:sz w:val="16"/>
              </w:rPr>
              <w:t>SOURCE</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Headline claims omit material limitations</w:t>
            </w:r>
          </w:p>
        </w:tc>
        <w:tc>
          <w:tcPr>
            <w:tcW w:type="dxa" w:w="7703"/>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The main claim can mislead even if limitations appear elsewhere.</w:t>
            </w:r>
            <w:hyperlink r:id="rId176">
              <w:r>
                <w:rPr>
                  <w:rFonts w:ascii="Inter" w:hAnsi="Inter" w:eastAsia="Inter"/>
                  <w:color w:val="10120F"/>
                  <w:u w:val="none"/>
                  <w:vertAlign w:val="superscript"/>
                  <w:b/>
                  <w:sz w:val="16"/>
                  <w:szCs w:val="16"/>
                </w:rPr>
                <w:t>1</w:t>
              </w:r>
            </w:hyperlink>
            <w:r>
              <w:rPr>
                <w:rFonts w:ascii="Inter" w:hAnsi="Inter" w:eastAsia="Inter"/>
                <w:b w:val="0"/>
                <w:i w:val="0"/>
                <w:color w:val="10120F"/>
                <w:sz w:val="16"/>
                <w:vertAlign w:val="superscript"/>
                <w:szCs w:val="16"/>
              </w:rPr>
              <w:t>,</w:t>
            </w:r>
            <w:hyperlink r:id="rId178">
              <w:r>
                <w:rPr>
                  <w:rFonts w:ascii="Inter" w:hAnsi="Inter" w:eastAsia="Inter"/>
                  <w:color w:val="10120F"/>
                  <w:u w:val="none"/>
                  <w:vertAlign w:val="superscript"/>
                  <w:b/>
                  <w:sz w:val="16"/>
                  <w:szCs w:val="16"/>
                </w:rPr>
                <w:t>5</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592"/>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 FTC; Medicines Australia</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RWE framed like randomized head-to-head evidence</w:t>
            </w:r>
          </w:p>
        </w:tc>
        <w:tc>
          <w:tcPr>
            <w:tcW w:type="dxa" w:w="7703"/>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Observational designs may not support causal or comparative-effectiveness conclusions.</w:t>
            </w:r>
            <w:hyperlink r:id="rId180">
              <w:r>
                <w:rPr>
                  <w:rFonts w:ascii="Inter" w:hAnsi="Inter" w:eastAsia="Inter"/>
                  <w:color w:val="10120F"/>
                  <w:u w:val="none"/>
                  <w:vertAlign w:val="superscript"/>
                  <w:b/>
                  <w:sz w:val="16"/>
                  <w:szCs w:val="16"/>
                </w:rPr>
                <w:t>8</w:t>
              </w:r>
            </w:hyperlink>
            <w:r>
              <w:rPr>
                <w:rFonts w:ascii="Inter" w:hAnsi="Inter" w:eastAsia="Inter"/>
                <w:b w:val="0"/>
                <w:i w:val="0"/>
                <w:color w:val="10120F"/>
                <w:sz w:val="16"/>
                <w:vertAlign w:val="superscript"/>
                <w:szCs w:val="16"/>
              </w:rPr>
              <w:t>,</w:t>
            </w:r>
            <w:hyperlink r:id="rId181">
              <w:r>
                <w:rPr>
                  <w:rFonts w:ascii="Inter" w:hAnsi="Inter" w:eastAsia="Inter"/>
                  <w:color w:val="10120F"/>
                  <w:u w:val="none"/>
                  <w:vertAlign w:val="superscript"/>
                  <w:b/>
                  <w:sz w:val="16"/>
                  <w:szCs w:val="16"/>
                </w:rPr>
                <w:t>10</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592"/>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AMCP RWE; ISPOR RWE; Medicines Australia</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Selective favorable endpoint presentation</w:t>
            </w:r>
          </w:p>
        </w:tc>
        <w:tc>
          <w:tcPr>
            <w:tcW w:type="dxa" w:w="7703"/>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Can distort the body of evidence and overall message.</w:t>
            </w:r>
            <w:hyperlink r:id="rId176">
              <w:r>
                <w:rPr>
                  <w:rFonts w:ascii="Inter" w:hAnsi="Inter" w:eastAsia="Inter"/>
                  <w:color w:val="10120F"/>
                  <w:u w:val="none"/>
                  <w:vertAlign w:val="superscript"/>
                  <w:b/>
                  <w:sz w:val="16"/>
                  <w:szCs w:val="16"/>
                </w:rPr>
                <w:t>1</w:t>
              </w:r>
            </w:hyperlink>
            <w:r>
              <w:rPr>
                <w:rFonts w:ascii="Inter" w:hAnsi="Inter" w:eastAsia="Inter"/>
                <w:b w:val="0"/>
                <w:i w:val="0"/>
                <w:color w:val="10120F"/>
                <w:sz w:val="16"/>
                <w:vertAlign w:val="superscript"/>
                <w:szCs w:val="16"/>
              </w:rPr>
              <w:t>,</w:t>
            </w:r>
            <w:hyperlink r:id="rId178">
              <w:r>
                <w:rPr>
                  <w:rFonts w:ascii="Inter" w:hAnsi="Inter" w:eastAsia="Inter"/>
                  <w:color w:val="10120F"/>
                  <w:u w:val="none"/>
                  <w:vertAlign w:val="superscript"/>
                  <w:b/>
                  <w:sz w:val="16"/>
                  <w:szCs w:val="16"/>
                </w:rPr>
                <w:t>5</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592"/>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 FTC; Medicines Australia</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Subgroup/post hoc/registry findings promoted as established effects</w:t>
            </w:r>
          </w:p>
        </w:tc>
        <w:tc>
          <w:tcPr>
            <w:tcW w:type="dxa" w:w="7703"/>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Exploratory or nonrandomized results require cautious framing.</w:t>
            </w:r>
            <w:hyperlink r:id="rId176">
              <w:r>
                <w:rPr>
                  <w:rFonts w:ascii="Inter" w:hAnsi="Inter" w:eastAsia="Inter"/>
                  <w:color w:val="10120F"/>
                  <w:u w:val="none"/>
                  <w:vertAlign w:val="superscript"/>
                  <w:b/>
                  <w:sz w:val="16"/>
                  <w:szCs w:val="16"/>
                </w:rPr>
                <w:t>1</w:t>
              </w:r>
            </w:hyperlink>
            <w:r>
              <w:rPr>
                <w:rFonts w:ascii="Inter" w:hAnsi="Inter" w:eastAsia="Inter"/>
                <w:b w:val="0"/>
                <w:i w:val="0"/>
                <w:color w:val="10120F"/>
                <w:sz w:val="16"/>
                <w:vertAlign w:val="superscript"/>
                <w:szCs w:val="16"/>
              </w:rPr>
              <w:t>,</w:t>
            </w:r>
            <w:hyperlink r:id="rId181">
              <w:r>
                <w:rPr>
                  <w:rFonts w:ascii="Inter" w:hAnsi="Inter" w:eastAsia="Inter"/>
                  <w:color w:val="10120F"/>
                  <w:u w:val="none"/>
                  <w:vertAlign w:val="superscript"/>
                  <w:b/>
                  <w:sz w:val="16"/>
                  <w:szCs w:val="16"/>
                </w:rPr>
                <w:t>10</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592"/>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CFL; ISPOR RWE; Medicines Australia</w:t>
            </w:r>
          </w:p>
        </w:tc>
      </w:tr>
      <w:tr>
        <w:tc>
          <w:tcPr>
            <w:tcW w:type="dxa" w:w="3816"/>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Economic models without assumptions or sensitivity analyses</w:t>
            </w:r>
          </w:p>
        </w:tc>
        <w:tc>
          <w:tcPr>
            <w:tcW w:type="dxa" w:w="7703"/>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Payers need methods, perspective, time horizon, uncertainty, and generalizability.</w:t>
            </w:r>
            <w:hyperlink r:id="rId177">
              <w:r>
                <w:rPr>
                  <w:rFonts w:ascii="Inter" w:hAnsi="Inter" w:eastAsia="Inter"/>
                  <w:color w:val="10120F"/>
                  <w:u w:val="none"/>
                  <w:vertAlign w:val="superscript"/>
                  <w:b/>
                  <w:sz w:val="16"/>
                  <w:szCs w:val="16"/>
                </w:rPr>
                <w:t>2</w:t>
              </w:r>
            </w:hyperlink>
            <w:r>
              <w:rPr>
                <w:rFonts w:ascii="Inter" w:hAnsi="Inter" w:eastAsia="Inter"/>
                <w:b w:val="0"/>
                <w:i w:val="0"/>
                <w:color w:val="10120F"/>
                <w:sz w:val="16"/>
                <w:vertAlign w:val="superscript"/>
                <w:szCs w:val="16"/>
              </w:rPr>
              <w:t>,</w:t>
            </w:r>
            <w:hyperlink r:id="rId188">
              <w:r>
                <w:rPr>
                  <w:rFonts w:ascii="Inter" w:hAnsi="Inter" w:eastAsia="Inter"/>
                  <w:color w:val="10120F"/>
                  <w:u w:val="none"/>
                  <w:vertAlign w:val="superscript"/>
                  <w:b/>
                  <w:sz w:val="16"/>
                  <w:szCs w:val="16"/>
                </w:rPr>
                <w:t>9</w:t>
              </w:r>
            </w:hyperlink>
          </w:p>
        </w:tc>
        <w:tc>
          <w:tcPr>
            <w:tcW w:type="dxa" w:w="2592"/>
            <w:shd w:fill="F6F1E8"/>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FDA payer/HCEI; CHEERS</w:t>
            </w:r>
          </w:p>
        </w:tc>
      </w:tr>
      <w:tr>
        <w:tc>
          <w:tcPr>
            <w:tcW w:type="dxa" w:w="3816"/>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i w:val="0"/>
                <w:color w:val="10120F"/>
                <w:sz w:val="16"/>
              </w:rPr>
              <w:t>Visuals or testimonials imply unsubstantiated outcomes</w:t>
            </w:r>
          </w:p>
        </w:tc>
        <w:tc>
          <w:tcPr>
            <w:tcW w:type="dxa" w:w="7703"/>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Non-textual elements can create objective product claims and typicality impressions.</w:t>
            </w:r>
            <w:hyperlink r:id="rId178">
              <w:r>
                <w:rPr>
                  <w:rFonts w:ascii="Inter" w:hAnsi="Inter" w:eastAsia="Inter"/>
                  <w:color w:val="10120F"/>
                  <w:u w:val="none"/>
                  <w:vertAlign w:val="superscript"/>
                  <w:b/>
                  <w:sz w:val="16"/>
                  <w:szCs w:val="16"/>
                </w:rPr>
                <w:t>5</w:t>
              </w:r>
            </w:hyperlink>
            <w:r>
              <w:rPr>
                <w:rFonts w:ascii="Inter" w:hAnsi="Inter" w:eastAsia="Inter"/>
                <w:b w:val="0"/>
                <w:i w:val="0"/>
                <w:color w:val="10120F"/>
                <w:sz w:val="16"/>
                <w:vertAlign w:val="superscript"/>
                <w:szCs w:val="16"/>
              </w:rPr>
              <w:t>,</w:t>
            </w:r>
            <w:hyperlink r:id="rId190">
              <w:r>
                <w:rPr>
                  <w:rFonts w:ascii="Inter" w:hAnsi="Inter" w:eastAsia="Inter"/>
                  <w:color w:val="10120F"/>
                  <w:u w:val="none"/>
                  <w:vertAlign w:val="superscript"/>
                  <w:b/>
                  <w:sz w:val="16"/>
                  <w:szCs w:val="16"/>
                </w:rPr>
                <w:t>6</w:t>
              </w:r>
            </w:hyperlink>
            <w:r>
              <w:rPr>
                <w:rFonts w:ascii="Inter" w:hAnsi="Inter" w:eastAsia="Inter"/>
                <w:b w:val="0"/>
                <w:i w:val="0"/>
                <w:color w:val="10120F"/>
                <w:sz w:val="16"/>
                <w:vertAlign w:val="superscript"/>
                <w:szCs w:val="16"/>
              </w:rPr>
              <w:t>,</w:t>
            </w:r>
            <w:hyperlink r:id="rId182">
              <w:r>
                <w:rPr>
                  <w:rFonts w:ascii="Inter" w:hAnsi="Inter" w:eastAsia="Inter"/>
                  <w:color w:val="10120F"/>
                  <w:u w:val="none"/>
                  <w:vertAlign w:val="superscript"/>
                  <w:b/>
                  <w:sz w:val="16"/>
                  <w:szCs w:val="16"/>
                </w:rPr>
                <w:t>15</w:t>
              </w:r>
            </w:hyperlink>
          </w:p>
        </w:tc>
        <w:tc>
          <w:tcPr>
            <w:tcW w:type="dxa" w:w="2592"/>
            <w:shd w:fill="EBE4D6"/>
            <w:tcBorders>
              <w:top w:val="single" w:sz="6" w:color="1B1F17"/>
              <w:left w:val="single" w:sz="6" w:color="1B1F17"/>
              <w:bottom w:val="single" w:sz="6" w:color="1B1F17"/>
              <w:right w:val="single" w:sz="6" w:color="1B1F17"/>
            </w:tcBorders>
            <w:tcMar>
              <w:top w:w="72" w:type="dxa"/>
              <w:start w:w="95" w:type="dxa"/>
              <w:bottom w:w="72" w:type="dxa"/>
              <w:end w:w="95" w:type="dxa"/>
            </w:tcMar>
            <w:vAlign w:val="top"/>
          </w:tcPr>
          <w:p>
            <w:pPr>
              <w:spacing w:after="0"/>
            </w:pPr>
            <w:r>
              <w:rPr>
                <w:rFonts w:ascii="Inter" w:hAnsi="Inter" w:eastAsia="Inter"/>
                <w:b w:val="0"/>
                <w:i w:val="0"/>
                <w:color w:val="10120F"/>
                <w:sz w:val="16"/>
              </w:rPr>
              <w:t>FTC; FTC endorsements; Medicines Australia</w:t>
            </w:r>
          </w:p>
        </w:tc>
      </w:tr>
    </w:tbl>
    <w:p>
      <w:pPr>
        <w:spacing w:before="120" w:after="120"/>
      </w:pPr>
      <w:r>
        <w:rPr>
          <w:sz w:val="4"/>
        </w:rPr>
        <w:t> </w:t>
      </w:r>
    </w:p>
    <w:tbl>
      <w:tblPr>
        <w:tblW w:type="auto" w:w="0"/>
        <w:jc w:val="center"/>
        <w:tblLook w:firstColumn="1" w:firstRow="1" w:lastColumn="0" w:lastRow="0" w:noHBand="0" w:noVBand="1" w:val="04A0"/>
      </w:tblPr>
      <w:tblGrid>
        <w:gridCol w:w="14256"/>
      </w:tblGrid>
      <w:tr>
        <w:tc>
          <w:tcPr>
            <w:tcW w:type="dxa" w:w="14256"/>
            <w:shd w:fill="10120F"/>
            <w:tcBorders>
              <w:top w:val="single" w:sz="8" w:color="1B1F17"/>
              <w:left w:val="single" w:sz="8" w:color="1B1F17"/>
              <w:bottom w:val="single" w:sz="8" w:color="1B1F17"/>
              <w:right w:val="single" w:sz="8" w:color="1B1F17"/>
            </w:tcBorders>
            <w:tcMar>
              <w:top w:w="130" w:type="dxa"/>
              <w:start w:w="240" w:type="dxa"/>
              <w:bottom w:w="130" w:type="dxa"/>
              <w:end w:w="240" w:type="dxa"/>
            </w:tcMar>
          </w:tcPr>
          <w:p>
            <w:pPr>
              <w:spacing w:after="60"/>
            </w:pPr>
            <w:r>
              <w:rPr>
                <w:rFonts w:ascii="Inter" w:hAnsi="Inter" w:eastAsia="Inter"/>
                <w:b/>
                <w:color w:val="FFB86B"/>
                <w:sz w:val="21"/>
              </w:rPr>
              <w:t>WORKING TAKEAWAY</w:t>
            </w:r>
          </w:p>
          <w:p>
            <w:pPr>
              <w:spacing w:after="0" w:line="259" w:lineRule="auto"/>
            </w:pPr>
            <w:r>
              <w:rPr>
                <w:rFonts w:ascii="Inter" w:hAnsi="Inter" w:eastAsia="Inter"/>
                <w:b w:val="0"/>
                <w:i w:val="0"/>
                <w:color w:val="F6F1E8"/>
                <w:sz w:val="16"/>
              </w:rPr>
              <w:t>The optimal presentation is a transparent, label-anchored evidence narrative: start with approved use and label context, add only fit-for-purpose evidence relevant to the audience decision, show the methods and limitations where the evidence is consumed, and make the overall message no broader than the data and label support.</w:t>
            </w:r>
            <w:hyperlink r:id="rId176">
              <w:r>
                <w:rPr>
                  <w:rFonts w:ascii="Inter" w:hAnsi="Inter" w:eastAsia="Inter"/>
                  <w:color w:val="FFB86B"/>
                  <w:u w:val="none"/>
                  <w:vertAlign w:val="superscript"/>
                  <w:b/>
                  <w:sz w:val="16"/>
                  <w:szCs w:val="16"/>
                </w:rPr>
                <w:t>1</w:t>
              </w:r>
            </w:hyperlink>
            <w:r>
              <w:rPr>
                <w:rFonts w:ascii="Inter" w:hAnsi="Inter" w:eastAsia="Inter"/>
                <w:b w:val="0"/>
                <w:i w:val="0"/>
                <w:color w:val="FFB86B"/>
                <w:sz w:val="16"/>
                <w:vertAlign w:val="superscript"/>
                <w:szCs w:val="16"/>
              </w:rPr>
              <w:t>,</w:t>
            </w:r>
            <w:hyperlink r:id="rId177">
              <w:r>
                <w:rPr>
                  <w:rFonts w:ascii="Inter" w:hAnsi="Inter" w:eastAsia="Inter"/>
                  <w:color w:val="FFB86B"/>
                  <w:u w:val="none"/>
                  <w:vertAlign w:val="superscript"/>
                  <w:b/>
                  <w:sz w:val="16"/>
                  <w:szCs w:val="16"/>
                </w:rPr>
                <w:t>2</w:t>
              </w:r>
            </w:hyperlink>
            <w:r>
              <w:rPr>
                <w:rFonts w:ascii="Inter" w:hAnsi="Inter" w:eastAsia="Inter"/>
                <w:b w:val="0"/>
                <w:i w:val="0"/>
                <w:color w:val="FFB86B"/>
                <w:sz w:val="16"/>
                <w:vertAlign w:val="superscript"/>
                <w:szCs w:val="16"/>
              </w:rPr>
              <w:t>,</w:t>
            </w:r>
            <w:hyperlink r:id="rId179">
              <w:r>
                <w:rPr>
                  <w:rFonts w:ascii="Inter" w:hAnsi="Inter" w:eastAsia="Inter"/>
                  <w:color w:val="FFB86B"/>
                  <w:u w:val="none"/>
                  <w:vertAlign w:val="superscript"/>
                  <w:b/>
                  <w:sz w:val="16"/>
                  <w:szCs w:val="16"/>
                </w:rPr>
                <w:t>7</w:t>
              </w:r>
            </w:hyperlink>
            <w:r>
              <w:rPr>
                <w:rFonts w:ascii="Inter" w:hAnsi="Inter" w:eastAsia="Inter"/>
                <w:b w:val="0"/>
                <w:i w:val="0"/>
                <w:color w:val="FFB86B"/>
                <w:sz w:val="16"/>
                <w:vertAlign w:val="superscript"/>
                <w:szCs w:val="16"/>
              </w:rPr>
              <w:t>,</w:t>
            </w:r>
            <w:hyperlink r:id="rId180">
              <w:r>
                <w:rPr>
                  <w:rFonts w:ascii="Inter" w:hAnsi="Inter" w:eastAsia="Inter"/>
                  <w:color w:val="FFB86B"/>
                  <w:u w:val="none"/>
                  <w:vertAlign w:val="superscript"/>
                  <w:b/>
                  <w:sz w:val="16"/>
                  <w:szCs w:val="16"/>
                </w:rPr>
                <w:t>8</w:t>
              </w:r>
            </w:hyperlink>
            <w:r>
              <w:rPr>
                <w:rFonts w:ascii="Inter" w:hAnsi="Inter" w:eastAsia="Inter"/>
                <w:b w:val="0"/>
                <w:i w:val="0"/>
                <w:color w:val="FFB86B"/>
                <w:sz w:val="16"/>
                <w:vertAlign w:val="superscript"/>
                <w:szCs w:val="16"/>
              </w:rPr>
              <w:t>,</w:t>
            </w:r>
            <w:hyperlink r:id="rId181">
              <w:r>
                <w:rPr>
                  <w:rFonts w:ascii="Inter" w:hAnsi="Inter" w:eastAsia="Inter"/>
                  <w:color w:val="FFB86B"/>
                  <w:u w:val="none"/>
                  <w:vertAlign w:val="superscript"/>
                  <w:b/>
                  <w:sz w:val="16"/>
                  <w:szCs w:val="16"/>
                </w:rPr>
                <w:t>10</w:t>
              </w:r>
            </w:hyperlink>
            <w:r>
              <w:rPr>
                <w:rFonts w:ascii="Inter" w:hAnsi="Inter" w:eastAsia="Inter"/>
                <w:b w:val="0"/>
                <w:i w:val="0"/>
                <w:color w:val="FFB86B"/>
                <w:sz w:val="16"/>
                <w:vertAlign w:val="superscript"/>
                <w:szCs w:val="16"/>
              </w:rPr>
              <w:t>,</w:t>
            </w:r>
            <w:hyperlink r:id="rId183">
              <w:r>
                <w:rPr>
                  <w:rFonts w:ascii="Inter" w:hAnsi="Inter" w:eastAsia="Inter"/>
                  <w:color w:val="FFB86B"/>
                  <w:u w:val="none"/>
                  <w:vertAlign w:val="superscript"/>
                  <w:b/>
                  <w:sz w:val="16"/>
                  <w:szCs w:val="16"/>
                </w:rPr>
                <w:t>11</w:t>
              </w:r>
            </w:hyperlink>
            <w:r>
              <w:rPr>
                <w:rFonts w:ascii="Inter" w:hAnsi="Inter" w:eastAsia="Inter"/>
                <w:b w:val="0"/>
                <w:i w:val="0"/>
                <w:color w:val="FFB86B"/>
                <w:sz w:val="16"/>
                <w:vertAlign w:val="superscript"/>
                <w:szCs w:val="16"/>
              </w:rPr>
              <w:t>,</w:t>
            </w:r>
            <w:hyperlink r:id="rId184">
              <w:r>
                <w:rPr>
                  <w:rFonts w:ascii="Inter" w:hAnsi="Inter" w:eastAsia="Inter"/>
                  <w:color w:val="FFB86B"/>
                  <w:u w:val="none"/>
                  <w:vertAlign w:val="superscript"/>
                  <w:b/>
                  <w:sz w:val="16"/>
                  <w:szCs w:val="16"/>
                </w:rPr>
                <w:t>14</w:t>
              </w:r>
            </w:hyperlink>
          </w:p>
        </w:tc>
      </w:tr>
    </w:tbl>
    <w:p>
      <w:pPr>
        <w:sectPr>
          <w:pgSz w:w="15840" w:h="12240" w:orient="landscape"/>
          <w:pgMar w:top="792" w:right="792" w:bottom="792" w:left="792" w:header="706" w:footer="706" w:gutter="0"/>
          <w:cols w:space="720"/>
          <w:docGrid w:linePitch="360"/>
        </w:sectPr>
      </w:pPr>
    </w:p>
    <w:p>
      <w:pPr>
        <w:spacing w:before="0" w:after="100"/>
      </w:pPr>
      <w:r>
        <w:rPr>
          <w:rFonts w:ascii="Inter" w:hAnsi="Inter" w:eastAsia="Inter"/>
          <w:b/>
          <w:i w:val="0"/>
          <w:color w:val="10120F"/>
          <w:sz w:val="30"/>
        </w:rPr>
        <w:t>Citation Register</w:t>
      </w:r>
    </w:p>
    <w:tbl>
      <w:tblPr>
        <w:tblW w:type="dxa" w:w="14112"/>
        <w:jc w:val="center"/>
        <w:tblLook w:firstColumn="1" w:firstRow="1" w:lastColumn="0" w:lastRow="0" w:noHBand="0" w:noVBand="1" w:val="04A0"/>
        <w:tblLayout w:type="fixed"/>
      </w:tblPr>
      <w:tblGrid>
        <w:gridCol w:w="792"/>
        <w:gridCol w:w="3096"/>
        <w:gridCol w:w="3528"/>
        <w:gridCol w:w="6696"/>
      </w:tblGrid>
      <w:tr>
        <w:tc>
          <w:tcPr>
            <w:tcW w:type="dxa" w:w="792"/>
            <w:shd w:fill="10120F"/>
            <w:tcBorders>
              <w:top w:val="single" w:sz="8" w:color="1B1F17"/>
              <w:left w:val="single" w:sz="8" w:color="1B1F17"/>
              <w:bottom w:val="single" w:sz="8" w:color="1B1F17"/>
              <w:right w:val="single" w:sz="8" w:color="1B1F17"/>
            </w:tcBorders>
            <w:tcMar>
              <w:top w:w="90" w:type="dxa"/>
              <w:start w:w="90" w:type="dxa"/>
              <w:bottom w:w="90" w:type="dxa"/>
              <w:end w:w="90" w:type="dxa"/>
            </w:tcMar>
          </w:tcPr>
          <w:p>
            <w:pPr>
              <w:spacing w:after="0"/>
            </w:pPr>
            <w:r>
              <w:rPr>
                <w:rFonts w:ascii="Inter" w:hAnsi="Inter" w:eastAsia="Inter"/>
                <w:b/>
                <w:i w:val="0"/>
                <w:color w:val="D7FF5F"/>
                <w:sz w:val="16"/>
              </w:rPr>
              <w:t>CITATION</w:t>
            </w:r>
          </w:p>
        </w:tc>
        <w:tc>
          <w:tcPr>
            <w:tcW w:type="dxa" w:w="3096"/>
            <w:shd w:fill="10120F"/>
            <w:tcBorders>
              <w:top w:val="single" w:sz="8" w:color="1B1F17"/>
              <w:left w:val="single" w:sz="8" w:color="1B1F17"/>
              <w:bottom w:val="single" w:sz="8" w:color="1B1F17"/>
              <w:right w:val="single" w:sz="8" w:color="1B1F17"/>
            </w:tcBorders>
            <w:tcMar>
              <w:top w:w="90" w:type="dxa"/>
              <w:start w:w="90" w:type="dxa"/>
              <w:bottom w:w="90" w:type="dxa"/>
              <w:end w:w="90" w:type="dxa"/>
            </w:tcMar>
          </w:tcPr>
          <w:p>
            <w:pPr>
              <w:spacing w:after="0"/>
            </w:pPr>
            <w:r>
              <w:rPr>
                <w:rFonts w:ascii="Inter" w:hAnsi="Inter" w:eastAsia="Inter"/>
                <w:b/>
                <w:i w:val="0"/>
                <w:color w:val="D7FF5F"/>
                <w:sz w:val="16"/>
              </w:rPr>
              <w:t>SOURCE</w:t>
            </w:r>
          </w:p>
        </w:tc>
        <w:tc>
          <w:tcPr>
            <w:tcW w:type="dxa" w:w="3528"/>
            <w:shd w:fill="10120F"/>
            <w:tcBorders>
              <w:top w:val="single" w:sz="8" w:color="1B1F17"/>
              <w:left w:val="single" w:sz="8" w:color="1B1F17"/>
              <w:bottom w:val="single" w:sz="8" w:color="1B1F17"/>
              <w:right w:val="single" w:sz="8" w:color="1B1F17"/>
            </w:tcBorders>
            <w:tcMar>
              <w:top w:w="90" w:type="dxa"/>
              <w:start w:w="90" w:type="dxa"/>
              <w:bottom w:w="90" w:type="dxa"/>
              <w:end w:w="90" w:type="dxa"/>
            </w:tcMar>
          </w:tcPr>
          <w:p>
            <w:pPr>
              <w:spacing w:after="0"/>
            </w:pPr>
            <w:r>
              <w:rPr>
                <w:rFonts w:ascii="Inter" w:hAnsi="Inter" w:eastAsia="Inter"/>
                <w:b/>
                <w:i w:val="0"/>
                <w:color w:val="D7FF5F"/>
                <w:sz w:val="16"/>
              </w:rPr>
              <w:t>DATE / OWNER</w:t>
            </w:r>
          </w:p>
        </w:tc>
        <w:tc>
          <w:tcPr>
            <w:tcW w:type="dxa" w:w="6696"/>
            <w:shd w:fill="10120F"/>
            <w:tcBorders>
              <w:top w:val="single" w:sz="8" w:color="1B1F17"/>
              <w:left w:val="single" w:sz="8" w:color="1B1F17"/>
              <w:bottom w:val="single" w:sz="8" w:color="1B1F17"/>
              <w:right w:val="single" w:sz="8" w:color="1B1F17"/>
            </w:tcBorders>
            <w:tcMar>
              <w:top w:w="90" w:type="dxa"/>
              <w:start w:w="90" w:type="dxa"/>
              <w:bottom w:w="90" w:type="dxa"/>
              <w:end w:w="90" w:type="dxa"/>
            </w:tcMar>
          </w:tcPr>
          <w:p>
            <w:pPr>
              <w:spacing w:after="0"/>
            </w:pPr>
            <w:r>
              <w:rPr>
                <w:rFonts w:ascii="Inter" w:hAnsi="Inter" w:eastAsia="Inter"/>
                <w:b/>
                <w:i w:val="0"/>
                <w:color w:val="D7FF5F"/>
                <w:sz w:val="16"/>
              </w:rPr>
              <w:t>USE IN REPORT</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76">
              <w:r>
                <w:rPr>
                  <w:rFonts w:ascii="Inter" w:hAnsi="Inter" w:eastAsia="Inter"/>
                  <w:color w:val="10120F"/>
                  <w:u w:val="single"/>
                  <w:sz w:val="16"/>
                  <w:szCs w:val="16"/>
                </w:rPr>
                <w:t>FDA CFL guidance</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FDA | June 2018; FDA page current as of 2024-11-12</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Core source for label-consistent product communications and truthful/non-misleading presentation expectations.</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2</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77">
              <w:r>
                <w:rPr>
                  <w:rFonts w:ascii="Inter" w:hAnsi="Inter" w:eastAsia="Inter"/>
                  <w:color w:val="10120F"/>
                  <w:u w:val="single"/>
                  <w:sz w:val="16"/>
                  <w:szCs w:val="16"/>
                </w:rPr>
                <w:t>FDA payer/HCEI guidance</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FDA | June 2018</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Core final payer/HCEI source for HCDM communications.</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3</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9">
              <w:r>
                <w:rPr>
                  <w:rFonts w:ascii="Inter" w:hAnsi="Inter" w:eastAsia="Inter"/>
                  <w:color w:val="10120F"/>
                  <w:u w:val="single"/>
                  <w:sz w:val="16"/>
                  <w:szCs w:val="16"/>
                </w:rPr>
                <w:t>FDA SIUU guidance</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FDA | January 2025; not for current implementation pending OMB</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Boundary source for distinguishing approved-use promotion from unapproved-use scientific exchange.</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4</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5">
              <w:r>
                <w:rPr>
                  <w:rFonts w:ascii="Inter" w:hAnsi="Inter" w:eastAsia="Inter"/>
                  <w:color w:val="10120F"/>
                  <w:u w:val="single"/>
                  <w:sz w:val="16"/>
                  <w:szCs w:val="16"/>
                </w:rPr>
                <w:t>FDA DTC quantitative guidance</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FDA | December 2023</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Consumer-facing numeracy and risk/benefit presentation principles.</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5</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78">
              <w:r>
                <w:rPr>
                  <w:rFonts w:ascii="Inter" w:hAnsi="Inter" w:eastAsia="Inter"/>
                  <w:color w:val="10120F"/>
                  <w:u w:val="single"/>
                  <w:sz w:val="16"/>
                  <w:szCs w:val="16"/>
                </w:rPr>
                <w:t>FTC health-products guidance</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FTC | December 2022</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Truthful/not misleading standard; competent and reliable scientific evidence; implied-claim and disclosure principles.</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6</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90">
              <w:r>
                <w:rPr>
                  <w:rFonts w:ascii="Inter" w:hAnsi="Inter" w:eastAsia="Inter"/>
                  <w:color w:val="10120F"/>
                  <w:u w:val="single"/>
                  <w:sz w:val="16"/>
                  <w:szCs w:val="16"/>
                </w:rPr>
                <w:t>FTC endorsement guides</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FTC | revised 2023; current webpage</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Material connection and influencer/endorser claim responsibility.</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7</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79">
              <w:r>
                <w:rPr>
                  <w:rFonts w:ascii="Inter" w:hAnsi="Inter" w:eastAsia="Inter"/>
                  <w:color w:val="10120F"/>
                  <w:u w:val="single"/>
                  <w:sz w:val="16"/>
                  <w:szCs w:val="16"/>
                </w:rPr>
                <w:t>AMCP Format 5.0</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AMCP | April 2024</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Core payer dossier format for clinical/economic evidence and models.</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8</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0">
              <w:r>
                <w:rPr>
                  <w:rFonts w:ascii="Inter" w:hAnsi="Inter" w:eastAsia="Inter"/>
                  <w:color w:val="10120F"/>
                  <w:u w:val="single"/>
                  <w:sz w:val="16"/>
                  <w:szCs w:val="16"/>
                </w:rPr>
                <w:t>AMCP RWE payer standards</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AMCP | resource page references September 2025 JMCP standards</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Payer-focused RWE standards and checklist concept.</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9</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8">
              <w:r>
                <w:rPr>
                  <w:rFonts w:ascii="Inter" w:hAnsi="Inter" w:eastAsia="Inter"/>
                  <w:color w:val="10120F"/>
                  <w:u w:val="single"/>
                  <w:sz w:val="16"/>
                  <w:szCs w:val="16"/>
                </w:rPr>
                <w:t>CHEERS 2022</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ISPOR/CHEERS Task Force | 2022</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Reporting standard for economic evaluations.</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10</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1">
              <w:r>
                <w:rPr>
                  <w:rFonts w:ascii="Inter" w:hAnsi="Inter" w:eastAsia="Inter"/>
                  <w:color w:val="10120F"/>
                  <w:u w:val="single"/>
                  <w:sz w:val="16"/>
                  <w:szCs w:val="16"/>
                </w:rPr>
                <w:t>ISPOR RWE good practices</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ISPOR/ISPE | 2017</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RWE study transparency</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11</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3">
              <w:r>
                <w:rPr>
                  <w:rFonts w:ascii="Inter" w:hAnsi="Inter" w:eastAsia="Inter"/>
                  <w:color w:val="10120F"/>
                  <w:u w:val="single"/>
                  <w:sz w:val="16"/>
                  <w:szCs w:val="16"/>
                </w:rPr>
                <w:t>Certara GVD guidance</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Certara/BaseCase | March 25 2026</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Practical guidance on single evidence base tailored by audience/geography/channel.</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12</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6">
              <w:r>
                <w:rPr>
                  <w:rFonts w:ascii="Inter" w:hAnsi="Inter" w:eastAsia="Inter"/>
                  <w:color w:val="10120F"/>
                  <w:u w:val="single"/>
                  <w:sz w:val="16"/>
                  <w:szCs w:val="16"/>
                </w:rPr>
                <w:t>OPEN Health HEOR writing</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OPEN Health | January 26 2023</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Audience-specific value writing and data-linked narrative principles.</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13</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7">
              <w:r>
                <w:rPr>
                  <w:rFonts w:ascii="Inter" w:hAnsi="Inter" w:eastAsia="Inter"/>
                  <w:color w:val="10120F"/>
                  <w:u w:val="single"/>
                  <w:sz w:val="16"/>
                  <w:szCs w:val="16"/>
                </w:rPr>
                <w:t>IQVIA RWE dissemination</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IQVIA | October 22 2021</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RWE communication planning by stakeholder decision and channel.</w:t>
            </w:r>
          </w:p>
        </w:tc>
      </w:tr>
      <w:tr>
        <w:tc>
          <w:tcPr>
            <w:tcW w:type="dxa" w:w="792"/>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14</w:t>
            </w:r>
          </w:p>
        </w:tc>
        <w:tc>
          <w:tcPr>
            <w:tcW w:type="dxa" w:w="30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4">
              <w:r>
                <w:rPr>
                  <w:rFonts w:ascii="Inter" w:hAnsi="Inter" w:eastAsia="Inter"/>
                  <w:color w:val="10120F"/>
                  <w:u w:val="single"/>
                  <w:sz w:val="16"/>
                  <w:szCs w:val="16"/>
                </w:rPr>
                <w:t>EVERSANA integrated value propositions</w:t>
              </w:r>
            </w:hyperlink>
          </w:p>
        </w:tc>
        <w:tc>
          <w:tcPr>
            <w:tcW w:type="dxa" w:w="3528"/>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EVERSANA | 2021</w:t>
            </w:r>
          </w:p>
        </w:tc>
        <w:tc>
          <w:tcPr>
            <w:tcW w:type="dxa" w:w="6696"/>
            <w:shd w:fill="EBE4D6"/>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Value/evidence base and message-source roadmap framework.</w:t>
            </w:r>
          </w:p>
        </w:tc>
      </w:tr>
      <w:tr>
        <w:tc>
          <w:tcPr>
            <w:tcW w:type="dxa" w:w="792"/>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jc w:val="center"/>
            </w:pPr>
            <w:r>
              <w:rPr>
                <w:rFonts w:ascii="Inter" w:hAnsi="Inter" w:eastAsia="Inter"/>
                <w:b/>
                <w:i w:val="0"/>
                <w:color w:val="10120F"/>
                <w:sz w:val="16"/>
              </w:rPr>
              <w:t>15</w:t>
            </w:r>
          </w:p>
        </w:tc>
        <w:tc>
          <w:tcPr>
            <w:tcW w:type="dxa" w:w="30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hyperlink r:id="rId182">
              <w:r>
                <w:rPr>
                  <w:rFonts w:ascii="Inter" w:hAnsi="Inter" w:eastAsia="Inter"/>
                  <w:color w:val="10120F"/>
                  <w:u w:val="single"/>
                  <w:sz w:val="16"/>
                  <w:szCs w:val="16"/>
                </w:rPr>
                <w:t>Medicines Australia promotional claims guidance</w:t>
              </w:r>
            </w:hyperlink>
          </w:p>
        </w:tc>
        <w:tc>
          <w:tcPr>
            <w:tcW w:type="dxa" w:w="3528"/>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Medicines Australia | March 2025; revised February 2026</w:t>
            </w:r>
          </w:p>
        </w:tc>
        <w:tc>
          <w:tcPr>
            <w:tcW w:type="dxa" w:w="6696"/>
            <w:shd w:fill="F6F1E8"/>
            <w:tcBorders>
              <w:top w:val="single" w:sz="6" w:color="1B1F17"/>
              <w:left w:val="single" w:sz="6" w:color="1B1F17"/>
              <w:bottom w:val="single" w:sz="6" w:color="1B1F17"/>
              <w:right w:val="single" w:sz="6" w:color="1B1F17"/>
            </w:tcBorders>
            <w:tcMar>
              <w:top w:w="62" w:type="dxa"/>
              <w:start w:w="70" w:type="dxa"/>
              <w:bottom w:w="62" w:type="dxa"/>
              <w:end w:w="70" w:type="dxa"/>
            </w:tcMar>
            <w:vAlign w:val="top"/>
          </w:tcPr>
          <w:p>
            <w:pPr>
              <w:spacing w:after="0"/>
            </w:pPr>
            <w:r>
              <w:rPr>
                <w:rFonts w:ascii="Inter" w:hAnsi="Inter" w:eastAsia="Inter"/>
                <w:b w:val="0"/>
                <w:i w:val="0"/>
                <w:color w:val="10120F"/>
                <w:sz w:val="16"/>
              </w:rPr>
              <w:t>Recent practical non-US industry guidance on claim substantiation</w:t>
            </w:r>
          </w:p>
        </w:tc>
      </w:tr>
    </w:tbl>
    <w:p>
      <w:pPr>
        <w:spacing w:before="160" w:after="0"/>
      </w:pPr>
      <w:r>
        <w:rPr>
          <w:rFonts w:ascii="Inter" w:hAnsi="Inter" w:eastAsia="Inter"/>
          <w:b w:val="0"/>
          <w:i/>
          <w:color w:val="5C6257"/>
          <w:sz w:val="14"/>
        </w:rPr>
        <w:t>Generated from consensus-summary.md and source-log.csv in the label-consistent product evidence archive. Base template: IRIS_Registry_wet_AMD_methods_cohere_report.docx.</w:t>
      </w:r>
    </w:p>
    <w:sectPr w:rsidR="004F7239">
      <w:pgSz w:w="15840" w:h="12240" w:orient="landscape"/>
      <w:pgMar w:top="792" w:right="792" w:bottom="792" w:left="79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64C6" w14:textId="77777777" w:rsidR="004F7239" w:rsidRDefault="004F7239">
      <w:r>
        <w:separator/>
      </w:r>
    </w:p>
  </w:endnote>
  <w:endnote w:type="continuationSeparator" w:id="0">
    <w:p w14:paraId="65FA58B9" w14:textId="77777777" w:rsidR="004F7239" w:rsidRDefault="004F7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altName w:val="Calibri"/>
    <w:panose1 w:val="02000503000000020004"/>
    <w:charset w:val="00"/>
    <w:family w:val="auto"/>
    <w:pitch w:val="variable"/>
    <w:sig w:usb0="E0000AFF" w:usb1="5200A1FF" w:usb2="00000021" w:usb3="00000000" w:csb0="0000019F" w:csb1="00000000"/>
  </w:font>
  <w:font w:name="Space Grotesk">
    <w:panose1 w:val="00000000000000000000"/>
    <w:charset w:val="00"/>
    <w:family w:val="auto"/>
    <w:pitch w:val="variable"/>
    <w:sig w:usb0="A10000FF" w:usb1="5000207B" w:usb2="00000000" w:usb3="00000000" w:csb0="000001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1F8D" w14:textId="77777777" w:rsidR="00707F1A" w:rsidRDefault="00707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279" w14:textId="77777777" w:rsidR="00592533" w:rsidRDefault="00592533">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6AA7" w14:textId="77777777" w:rsidR="00707F1A" w:rsidRDefault="00707F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A5FC" w14:textId="77777777" w:rsidR="00A16061" w:rsidRDefault="00A160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ADAD" w14:textId="77777777" w:rsidR="00A16061" w:rsidRDefault="00A160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BA6D" w14:textId="77777777" w:rsidR="00A16061" w:rsidRDefault="00A160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8FEB" w14:textId="77777777" w:rsidR="00A16061" w:rsidRDefault="00A1606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EF48" w14:textId="77777777" w:rsidR="00A16061" w:rsidRDefault="00A1606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900E" w14:textId="77777777" w:rsidR="00A16061" w:rsidRDefault="00A1606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87DA" w14:textId="77777777" w:rsidR="00A16061" w:rsidRDefault="00A1606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DB63" w14:textId="77777777" w:rsidR="00A16061" w:rsidRDefault="00A1606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BCE5" w14:textId="77777777" w:rsidR="00A16061" w:rsidRDefault="00A1606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C8C2" w14:textId="77777777" w:rsidR="00A16061" w:rsidRDefault="00A1606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9F71" w14:textId="77777777" w:rsidR="00A16061" w:rsidRDefault="00A1606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21DC" w14:textId="77777777" w:rsidR="00A16061" w:rsidRDefault="00A1606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59F" w14:textId="77777777" w:rsidR="00A16061" w:rsidRDefault="00A1606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D754" w14:textId="77777777" w:rsidR="00A16061" w:rsidRDefault="00A1606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2C18" w14:textId="77777777" w:rsidR="00A16061" w:rsidRDefault="00A16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B4EC" w14:textId="77777777" w:rsidR="004F7239" w:rsidRDefault="004F7239">
      <w:r>
        <w:separator/>
      </w:r>
    </w:p>
  </w:footnote>
  <w:footnote w:type="continuationSeparator" w:id="0">
    <w:p w14:paraId="34D7A36B" w14:textId="77777777" w:rsidR="004F7239" w:rsidRDefault="004F7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4A8C" w14:textId="77777777" w:rsidR="00707F1A" w:rsidRDefault="00707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DECD" w14:textId="77777777" w:rsidR="00592533" w:rsidRDefault="005925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57EB" w14:textId="77777777" w:rsidR="00707F1A" w:rsidRDefault="00707F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4E79" w14:textId="77777777" w:rsidR="00A16061" w:rsidRDefault="00A160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DA19" w14:textId="77777777" w:rsidR="00A16061" w:rsidRDefault="00A160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9E91" w14:textId="77777777" w:rsidR="00A16061" w:rsidRDefault="00A1606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CB04" w14:textId="77777777" w:rsidR="00A16061" w:rsidRDefault="00A1606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E3F8" w14:textId="77777777" w:rsidR="00A16061" w:rsidRDefault="00A1606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E01B" w14:textId="77777777" w:rsidR="00A16061" w:rsidRDefault="00A1606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8EFF" w14:textId="77777777" w:rsidR="00A16061" w:rsidRDefault="00A1606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9372" w14:textId="77777777" w:rsidR="00A16061" w:rsidRDefault="00A1606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8540" w14:textId="77777777" w:rsidR="00A16061" w:rsidRDefault="00A1606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0163" w14:textId="77777777" w:rsidR="00A16061" w:rsidRDefault="00A1606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6BFD" w14:textId="77777777" w:rsidR="00A16061" w:rsidRDefault="00A1606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4799" w14:textId="77777777" w:rsidR="00A16061" w:rsidRDefault="00A1606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8214" w14:textId="77777777" w:rsidR="00A16061" w:rsidRDefault="00A1606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C6C1" w14:textId="77777777" w:rsidR="00A16061" w:rsidRDefault="00A1606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E027" w14:textId="77777777" w:rsidR="00A16061" w:rsidRDefault="00A16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351"/>
    <w:multiLevelType w:val="hybridMultilevel"/>
    <w:tmpl w:val="944A5FC2"/>
    <w:lvl w:ilvl="0" w:tplc="273A52A4">
      <w:start w:val="1"/>
      <w:numFmt w:val="bullet"/>
      <w:lvlText w:val="—"/>
      <w:lvlJc w:val="left"/>
      <w:pPr>
        <w:ind w:left="460" w:hanging="280"/>
      </w:pPr>
    </w:lvl>
    <w:lvl w:ilvl="1" w:tplc="C482269E">
      <w:numFmt w:val="decimal"/>
      <w:lvlText w:val=""/>
      <w:lvlJc w:val="left"/>
    </w:lvl>
    <w:lvl w:ilvl="2" w:tplc="DB90CE4E">
      <w:numFmt w:val="decimal"/>
      <w:lvlText w:val=""/>
      <w:lvlJc w:val="left"/>
    </w:lvl>
    <w:lvl w:ilvl="3" w:tplc="FD9AAA5A">
      <w:numFmt w:val="decimal"/>
      <w:lvlText w:val=""/>
      <w:lvlJc w:val="left"/>
    </w:lvl>
    <w:lvl w:ilvl="4" w:tplc="F3882856">
      <w:numFmt w:val="decimal"/>
      <w:lvlText w:val=""/>
      <w:lvlJc w:val="left"/>
    </w:lvl>
    <w:lvl w:ilvl="5" w:tplc="E3024EA2">
      <w:numFmt w:val="decimal"/>
      <w:lvlText w:val=""/>
      <w:lvlJc w:val="left"/>
    </w:lvl>
    <w:lvl w:ilvl="6" w:tplc="301E6EEA">
      <w:numFmt w:val="decimal"/>
      <w:lvlText w:val=""/>
      <w:lvlJc w:val="left"/>
    </w:lvl>
    <w:lvl w:ilvl="7" w:tplc="6016A02E">
      <w:numFmt w:val="decimal"/>
      <w:lvlText w:val=""/>
      <w:lvlJc w:val="left"/>
    </w:lvl>
    <w:lvl w:ilvl="8" w:tplc="6F5E0494">
      <w:numFmt w:val="decimal"/>
      <w:lvlText w:val=""/>
      <w:lvlJc w:val="left"/>
    </w:lvl>
  </w:abstractNum>
  <w:abstractNum w:abstractNumId="1" w15:restartNumberingAfterBreak="0">
    <w:nsid w:val="17AB405F"/>
    <w:multiLevelType w:val="hybridMultilevel"/>
    <w:tmpl w:val="4E84AB3A"/>
    <w:lvl w:ilvl="0" w:tplc="4BDA47C6">
      <w:start w:val="1"/>
      <w:numFmt w:val="bullet"/>
      <w:lvlText w:val="●"/>
      <w:lvlJc w:val="left"/>
      <w:pPr>
        <w:ind w:left="720" w:hanging="360"/>
      </w:pPr>
    </w:lvl>
    <w:lvl w:ilvl="1" w:tplc="EC20398E">
      <w:start w:val="1"/>
      <w:numFmt w:val="bullet"/>
      <w:lvlText w:val="○"/>
      <w:lvlJc w:val="left"/>
      <w:pPr>
        <w:ind w:left="1440" w:hanging="360"/>
      </w:pPr>
    </w:lvl>
    <w:lvl w:ilvl="2" w:tplc="678CEA7A">
      <w:start w:val="1"/>
      <w:numFmt w:val="bullet"/>
      <w:lvlText w:val="■"/>
      <w:lvlJc w:val="left"/>
      <w:pPr>
        <w:ind w:left="2160" w:hanging="360"/>
      </w:pPr>
    </w:lvl>
    <w:lvl w:ilvl="3" w:tplc="E140EE96">
      <w:start w:val="1"/>
      <w:numFmt w:val="bullet"/>
      <w:lvlText w:val="●"/>
      <w:lvlJc w:val="left"/>
      <w:pPr>
        <w:ind w:left="2880" w:hanging="360"/>
      </w:pPr>
    </w:lvl>
    <w:lvl w:ilvl="4" w:tplc="A30C8984">
      <w:start w:val="1"/>
      <w:numFmt w:val="bullet"/>
      <w:lvlText w:val="○"/>
      <w:lvlJc w:val="left"/>
      <w:pPr>
        <w:ind w:left="3600" w:hanging="360"/>
      </w:pPr>
    </w:lvl>
    <w:lvl w:ilvl="5" w:tplc="0C766288">
      <w:start w:val="1"/>
      <w:numFmt w:val="bullet"/>
      <w:lvlText w:val="■"/>
      <w:lvlJc w:val="left"/>
      <w:pPr>
        <w:ind w:left="4320" w:hanging="360"/>
      </w:pPr>
    </w:lvl>
    <w:lvl w:ilvl="6" w:tplc="6D68A91E">
      <w:start w:val="1"/>
      <w:numFmt w:val="bullet"/>
      <w:lvlText w:val="●"/>
      <w:lvlJc w:val="left"/>
      <w:pPr>
        <w:ind w:left="5040" w:hanging="360"/>
      </w:pPr>
    </w:lvl>
    <w:lvl w:ilvl="7" w:tplc="667656AC">
      <w:start w:val="1"/>
      <w:numFmt w:val="bullet"/>
      <w:lvlText w:val="●"/>
      <w:lvlJc w:val="left"/>
      <w:pPr>
        <w:ind w:left="5760" w:hanging="360"/>
      </w:pPr>
    </w:lvl>
    <w:lvl w:ilvl="8" w:tplc="81D666A6">
      <w:start w:val="1"/>
      <w:numFmt w:val="bullet"/>
      <w:lvlText w:val="●"/>
      <w:lvlJc w:val="left"/>
      <w:pPr>
        <w:ind w:left="6480" w:hanging="360"/>
      </w:pPr>
    </w:lvl>
  </w:abstractNum>
  <w:abstractNum w:abstractNumId="2" w15:restartNumberingAfterBreak="0">
    <w:nsid w:val="27E81794"/>
    <w:multiLevelType w:val="hybridMultilevel"/>
    <w:tmpl w:val="81B212BC"/>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4B9E277F"/>
    <w:multiLevelType w:val="singleLevel"/>
    <w:tmpl w:val="D228F868"/>
    <w:lvl w:ilvl="0">
      <w:start w:val="1"/>
      <w:numFmt w:val="bullet"/>
      <w:lvlText w:val="•"/>
      <w:lvlJc w:val="left"/>
      <w:pPr>
        <w:tabs>
          <w:tab w:val="num" w:pos="360"/>
        </w:tabs>
        <w:ind w:left="360" w:hanging="180"/>
      </w:pPr>
      <w:rPr>
        <w:rFonts w:ascii="Symbol" w:hAnsi="Symbol"/>
      </w:rPr>
    </w:lvl>
  </w:abstractNum>
  <w:num w:numId="1" w16cid:durableId="960069017">
    <w:abstractNumId w:val="3"/>
  </w:num>
  <w:num w:numId="2" w16cid:durableId="1323581878">
    <w:abstractNumId w:val="2"/>
  </w:num>
  <w:abstractNum w:abstractNumId="4">
    <w:multiLevelType w:val="singleLevel"/>
    <w:lvl w:ilvl="0">
      <w:start w:val="1"/>
      <w:numFmt w:val="bullet"/>
      <w:lvlText w:val="•"/>
      <w:lvlJc w:val="left"/>
      <w:pPr>
        <w:tabs>
          <w:tab w:val="num" w:pos="720"/>
        </w:tabs>
        <w:ind w:left="720" w:hanging="360"/>
      </w:pPr>
      <w:rPr>
        <w:rFonts w:ascii="Inter" w:hAnsi="Inter"/>
        <w:color w:val="10120F"/>
      </w:rPr>
    </w:lvl>
  </w:abstractNum>
  <w:num w:numId="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33"/>
    <w:rsid w:val="0022477B"/>
    <w:rsid w:val="002537A4"/>
    <w:rsid w:val="003A3A9E"/>
    <w:rsid w:val="00437172"/>
    <w:rsid w:val="00472417"/>
    <w:rsid w:val="004F7239"/>
    <w:rsid w:val="0058356B"/>
    <w:rsid w:val="00592533"/>
    <w:rsid w:val="00707F1A"/>
    <w:rsid w:val="00715A81"/>
    <w:rsid w:val="0073024C"/>
    <w:rsid w:val="007454B4"/>
    <w:rsid w:val="00A16061"/>
    <w:rsid w:val="00AB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639F"/>
  <w15:docId w15:val="{8F18C187-5D52-4D7F-9EAA-74916A27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B1F1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7F1A"/>
    <w:pPr>
      <w:tabs>
        <w:tab w:val="center" w:pos="4680"/>
        <w:tab w:val="right" w:pos="9360"/>
      </w:tabs>
    </w:pPr>
  </w:style>
  <w:style w:type="character" w:customStyle="1" w:styleId="HeaderChar">
    <w:name w:val="Header Char"/>
    <w:basedOn w:val="DefaultParagraphFont"/>
    <w:link w:val="Header"/>
    <w:uiPriority w:val="99"/>
    <w:rsid w:val="00707F1A"/>
  </w:style>
  <w:style w:type="paragraph" w:styleId="Footer">
    <w:name w:val="footer"/>
    <w:basedOn w:val="Normal"/>
    <w:link w:val="FooterChar"/>
    <w:uiPriority w:val="99"/>
    <w:unhideWhenUsed/>
    <w:rsid w:val="00707F1A"/>
    <w:pPr>
      <w:tabs>
        <w:tab w:val="center" w:pos="4680"/>
        <w:tab w:val="right" w:pos="9360"/>
      </w:tabs>
    </w:pPr>
  </w:style>
  <w:style w:type="character" w:customStyle="1" w:styleId="FooterChar">
    <w:name w:val="Footer Char"/>
    <w:basedOn w:val="DefaultParagraphFont"/>
    <w:link w:val="Footer"/>
    <w:uiPriority w:val="99"/>
    <w:rsid w:val="0070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header" Target="header3.xml"/><Relationship Id="rId138" Type="http://schemas.openxmlformats.org/officeDocument/2006/relationships/header" Target="header13.xml"/><Relationship Id="rId170" Type="http://schemas.openxmlformats.org/officeDocument/2006/relationships/footer" Target="footer16.xml"/><Relationship Id="rId74" Type="http://schemas.openxmlformats.org/officeDocument/2006/relationships/header" Target="header6.xml"/><Relationship Id="rId5" Type="http://schemas.openxmlformats.org/officeDocument/2006/relationships/footnotes" Target="footnotes.xml"/><Relationship Id="rId95" Type="http://schemas.openxmlformats.org/officeDocument/2006/relationships/footer" Target="footer7.xml"/><Relationship Id="rId43" Type="http://schemas.openxmlformats.org/officeDocument/2006/relationships/footer" Target="footer3.xml"/><Relationship Id="rId139" Type="http://schemas.openxmlformats.org/officeDocument/2006/relationships/header" Target="header14.xml"/><Relationship Id="rId171" Type="http://schemas.openxmlformats.org/officeDocument/2006/relationships/footer" Target="footer17.xml"/><Relationship Id="rId75" Type="http://schemas.openxmlformats.org/officeDocument/2006/relationships/footer" Target="footer6.xml"/><Relationship Id="rId96" Type="http://schemas.openxmlformats.org/officeDocument/2006/relationships/footer" Target="footer8.xml"/><Relationship Id="rId140"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72" Type="http://schemas.openxmlformats.org/officeDocument/2006/relationships/header" Target="header18.xml"/><Relationship Id="rId39" Type="http://schemas.openxmlformats.org/officeDocument/2006/relationships/header" Target="header2.xml"/><Relationship Id="rId97" Type="http://schemas.openxmlformats.org/officeDocument/2006/relationships/header" Target="header9.xml"/><Relationship Id="rId120" Type="http://schemas.openxmlformats.org/officeDocument/2006/relationships/header" Target="header10.xml"/><Relationship Id="rId125" Type="http://schemas.openxmlformats.org/officeDocument/2006/relationships/footer" Target="footer12.xml"/><Relationship Id="rId141" Type="http://schemas.openxmlformats.org/officeDocument/2006/relationships/footer" Target="footer14.xml"/><Relationship Id="rId71" Type="http://schemas.openxmlformats.org/officeDocument/2006/relationships/header" Target="header5.xml"/><Relationship Id="rId2" Type="http://schemas.openxmlformats.org/officeDocument/2006/relationships/styles" Target="styles.xml"/><Relationship Id="rId40" Type="http://schemas.openxmlformats.org/officeDocument/2006/relationships/footer" Target="footer1.xml"/><Relationship Id="rId173" Type="http://schemas.openxmlformats.org/officeDocument/2006/relationships/footer" Target="footer18.xml"/><Relationship Id="rId168" Type="http://schemas.openxmlformats.org/officeDocument/2006/relationships/header" Target="header16.xml"/><Relationship Id="rId72" Type="http://schemas.openxmlformats.org/officeDocument/2006/relationships/footer" Target="footer4.xml"/><Relationship Id="rId93" Type="http://schemas.openxmlformats.org/officeDocument/2006/relationships/header" Target="header7.xml"/><Relationship Id="rId98" Type="http://schemas.openxmlformats.org/officeDocument/2006/relationships/footer" Target="footer9.xml"/><Relationship Id="rId121" Type="http://schemas.openxmlformats.org/officeDocument/2006/relationships/header" Target="header11.xml"/><Relationship Id="rId142" Type="http://schemas.openxmlformats.org/officeDocument/2006/relationships/header" Target="header15.xml"/><Relationship Id="rId3" Type="http://schemas.openxmlformats.org/officeDocument/2006/relationships/settings" Target="settings.xml"/><Relationship Id="rId41" Type="http://schemas.openxmlformats.org/officeDocument/2006/relationships/footer" Target="footer2.xml"/><Relationship Id="rId174" Type="http://schemas.openxmlformats.org/officeDocument/2006/relationships/fontTable" Target="fontTable.xml"/><Relationship Id="rId73" Type="http://schemas.openxmlformats.org/officeDocument/2006/relationships/footer" Target="footer5.xml"/><Relationship Id="rId94" Type="http://schemas.openxmlformats.org/officeDocument/2006/relationships/header" Target="header8.xml"/><Relationship Id="rId122" Type="http://schemas.openxmlformats.org/officeDocument/2006/relationships/footer" Target="footer10.xml"/><Relationship Id="rId143" Type="http://schemas.openxmlformats.org/officeDocument/2006/relationships/footer" Target="footer15.xml"/><Relationship Id="rId169" Type="http://schemas.openxmlformats.org/officeDocument/2006/relationships/header" Target="header17.xml"/><Relationship Id="rId4" Type="http://schemas.openxmlformats.org/officeDocument/2006/relationships/webSettings" Target="webSettings.xml"/><Relationship Id="rId175" Type="http://schemas.openxmlformats.org/officeDocument/2006/relationships/theme" Target="theme/theme1.xml"/><Relationship Id="rId123" Type="http://schemas.openxmlformats.org/officeDocument/2006/relationships/footer" Target="footer11.xml"/><Relationship Id="rId38" Type="http://schemas.openxmlformats.org/officeDocument/2006/relationships/header" Target="header1.xml"/><Relationship Id="rId124" Type="http://schemas.openxmlformats.org/officeDocument/2006/relationships/header" Target="header12.xml"/><Relationship Id="rId70" Type="http://schemas.openxmlformats.org/officeDocument/2006/relationships/header" Target="header4.xml"/><Relationship Id="rId176" Type="http://schemas.openxmlformats.org/officeDocument/2006/relationships/hyperlink" Target="https://www.fda.gov/media/133619/download" TargetMode="External"/><Relationship Id="rId177" Type="http://schemas.openxmlformats.org/officeDocument/2006/relationships/hyperlink" Target="https://www.fda.gov/media/102683/download" TargetMode="External"/><Relationship Id="rId178" Type="http://schemas.openxmlformats.org/officeDocument/2006/relationships/hyperlink" Target="https://www.ftc.gov/system/files/ftc_gov/pdf/Health-Products-Compliance-Guidance.pdf" TargetMode="External"/><Relationship Id="rId179" Type="http://schemas.openxmlformats.org/officeDocument/2006/relationships/hyperlink" Target="https://www.amcp.org/sites/default/files/2024-04/AMCP-Format-5.0-JMCP-web_0.pdf" TargetMode="External"/><Relationship Id="rId180" Type="http://schemas.openxmlformats.org/officeDocument/2006/relationships/hyperlink" Target="https://www.amcp.org/resource/amcp-real-world-evidence-standards-support-payer-decision-making" TargetMode="External"/><Relationship Id="rId181" Type="http://schemas.openxmlformats.org/officeDocument/2006/relationships/hyperlink" Target="https://www.ispor.org/docs/default-source/strategic-initiatives/rwe-data-treatment-comparative-effectiveness-guideline.pdf?sfvrsn=b4b98f3b_2" TargetMode="External"/><Relationship Id="rId182" Type="http://schemas.openxmlformats.org/officeDocument/2006/relationships/hyperlink" Target="https://code.medicinesaustralia.com.au/wp-content/uploads/sites/68/2026/02/Promotional-Claims-Guidance.pdf" TargetMode="External"/><Relationship Id="rId183" Type="http://schemas.openxmlformats.org/officeDocument/2006/relationships/hyperlink" Target="https://www.certara.com/blog/navigating-market-access-for-healthcare-products-the-power-of-the-global-value-dossier/" TargetMode="External"/><Relationship Id="rId184" Type="http://schemas.openxmlformats.org/officeDocument/2006/relationships/hyperlink" Target="https://www.eversana.com/wp-content/uploads/2021/11/WP_Integrated-Value-Props_EVERSANA.pdf" TargetMode="External"/><Relationship Id="rId185" Type="http://schemas.openxmlformats.org/officeDocument/2006/relationships/hyperlink" Target="https://www.fda.gov/media/169803/download" TargetMode="External"/><Relationship Id="rId186" Type="http://schemas.openxmlformats.org/officeDocument/2006/relationships/hyperlink" Target="https://www.openhealthgroup.com/news/26-01-2023/harness-the-power-of-heor-writing/" TargetMode="External"/><Relationship Id="rId187" Type="http://schemas.openxmlformats.org/officeDocument/2006/relationships/hyperlink" Target="https://www.iqvia.com/locations/united-states/blogs/2021/10/evidence-dissemination-how-to-make-the-most-of-your-real-world-evidence" TargetMode="External"/><Relationship Id="rId188" Type="http://schemas.openxmlformats.org/officeDocument/2006/relationships/hyperlink" Target="https://pmc.ncbi.nlm.nih.gov/articles/PMC9550741/" TargetMode="External"/><Relationship Id="rId189" Type="http://schemas.openxmlformats.org/officeDocument/2006/relationships/hyperlink" Target="https://www.fda.gov/media/184871/download" TargetMode="External"/><Relationship Id="rId190" Type="http://schemas.openxmlformats.org/officeDocument/2006/relationships/hyperlink" Target="https://www.ftc.gov/business-guidance/resources/ftcs-endorsement-gu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087F6-09E8-4547-BF53-446491A34146}">
  <we:reference id="wa200010453" version="1.0.0.1" store="en-US" storeType="OMEX"/>
  <we:alternateReferences>
    <we:reference id="wa200010453" version="1.0.0.1" store="WA200010453" storeType="OMEX"/>
  </we:alternateReferences>
  <we:properties>
    <we:property name="claude.fileId" value="&quot;89923693-bc1a-4411-bccd-ea7159a9b0f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167</TotalTime>
  <Pages>11</Pages>
  <Words>5331</Words>
  <Characters>30393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Patients with Wet Age-related Macular Degeneration Using the IRIS Registry</dc:title>
  <dc:subject>Methods review with inline citations</dc:subject>
  <dc:creator>OpenAI Codex</dc:creator>
  <cp:lastModifiedBy>Justin Yu</cp:lastModifiedBy>
  <cp:revision>5</cp:revision>
  <dcterms:created xsi:type="dcterms:W3CDTF">2026-05-23T18:04:00Z</dcterms:created>
  <dcterms:modified xsi:type="dcterms:W3CDTF">2026-06-04T12:43:00Z</dcterms:modified>
</cp:coreProperties>
</file>