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6F1E8"/>
  <w:body>
    <w:p>
      <w:pPr>
        <w:spacing w:after="80"/>
      </w:pPr>
      <w:r>
        <w:rPr>
          <w:rFonts w:ascii="Space Grotesk" w:hAnsi="Space Grotesk" w:eastAsia="Space Grotesk"/>
          <w:b/>
          <w:i w:val="0"/>
          <w:color w:val="10120F"/>
          <w:sz w:val="21"/>
        </w:rPr>
        <w:t xml:space="preserve">LABEL-CONSISTENT </w:t>
      </w:r>
      <w:r>
        <w:rPr>
          <w:rFonts w:ascii="Aptos" w:hAnsi="Aptos" w:eastAsia="Aptos"/>
          <w:b/>
          <w:i w:val="0"/>
          <w:color w:val="10120F"/>
          <w:sz w:val="21"/>
        </w:rPr>
        <w:t>PRODUCT EVIDENCE  ?  CONSENSUS REVIEW</w:t>
      </w:r>
    </w:p>
    <w:p>
      <w:pPr>
        <w:spacing w:after="60"/>
      </w:pPr>
      <w:r>
        <w:rPr>
          <w:rFonts w:ascii="Aptos Display" w:hAnsi="Aptos Display" w:eastAsia="Aptos Display"/>
          <w:b/>
          <w:i w:val="0"/>
          <w:color w:val="10120F"/>
          <w:sz w:val="52"/>
        </w:rPr>
        <w:t>Communicating Product Evidence Consistent With Labeling</w:t>
      </w:r>
    </w:p>
    <w:p>
      <w:pPr>
        <w:spacing w:after="240"/>
      </w:pPr>
      <w:r>
        <w:rPr>
          <w:rFonts w:ascii="Aptos" w:hAnsi="Aptos" w:eastAsia="Aptos"/>
          <w:b w:val="0"/>
          <w:i w:val="0"/>
          <w:color w:val="5C6257"/>
          <w:sz w:val="27"/>
        </w:rPr>
        <w:t>Best practices, disclaimer elements, and evidence-presentation guardrails synthesized from FDA/OPDP, FTC, AMCP, ISPOR, PhRMA, and HEOR/vendor sources.</w:t>
      </w:r>
    </w:p>
    <w:tbl>
      <w:tblPr>
        <w:tblW w:type="auto" w:w="0"/>
        <w:jc w:val="center"/>
        <w:tblLook w:firstColumn="1" w:firstRow="1" w:lastColumn="0" w:lastRow="0" w:noHBand="0" w:noVBand="1" w:val="04A0"/>
      </w:tblPr>
      <w:tblGrid>
        <w:gridCol w:w="10080"/>
      </w:tblGrid>
      <w:tr>
        <w:tc>
          <w:tcPr>
            <w:tcW w:type="dxa" w:w="10080"/>
            <w:shd w:fill="EBE4D6"/>
            <w:tcBorders>
              <w:top w:val="single" w:sz="8" w:color="1B1F17"/>
              <w:left w:val="single" w:sz="8" w:color="1B1F17"/>
              <w:bottom w:val="single" w:sz="8" w:color="1B1F17"/>
              <w:right w:val="single" w:sz="8" w:color="1B1F17"/>
            </w:tcBorders>
            <w:tcMar>
              <w:top w:w="130" w:type="dxa"/>
              <w:start w:w="150" w:type="dxa"/>
              <w:bottom w:w="130" w:type="dxa"/>
              <w:end w:w="150" w:type="dxa"/>
            </w:tcMar>
          </w:tcPr>
          <w:p>
            <w:pPr>
              <w:spacing w:after="80"/>
            </w:pPr>
            <w:r>
              <w:rPr>
                <w:rFonts w:ascii="Aptos" w:hAnsi="Aptos" w:eastAsia="Aptos"/>
                <w:b/>
                <w:i w:val="0"/>
                <w:color w:val="10120F"/>
                <w:sz w:val="21"/>
              </w:rPr>
              <w:t>Evidence base</w:t>
            </w:r>
          </w:p>
          <w:p>
            <w:pPr>
              <w:spacing w:after="0" w:line="259" w:lineRule="auto"/>
            </w:pPr>
            <w:r>
              <w:rPr>
                <w:rFonts w:ascii="Aptos" w:hAnsi="Aptos" w:eastAsia="Aptos"/>
                <w:b w:val="0"/>
                <w:i w:val="0"/>
                <w:color w:val="10120F"/>
                <w:sz w:val="19"/>
              </w:rPr>
              <w:t>This report converts the consensus-summary markdown into a label-consistent evidence communication brief, with inline citations linked to the archived source set and styled to match the IRIS Registry wet AMD Cohere report.</w:t>
            </w:r>
            <w:hyperlink r:id="rId9">
              <w:r>
                <w:rPr>
                  <w:rFonts w:ascii="Aptos" w:hAnsi="Aptos"/>
                  <w:color w:val="10120F"/>
                  <w:u w:val="none"/>
                  <w:vertAlign w:val="superscript"/>
                  <w:b/>
                </w:rPr>
                <w:t>[1]</w:t>
              </w:r>
            </w:hyperlink>
            <w:hyperlink r:id="rId10">
              <w:r>
                <w:rPr>
                  <w:rFonts w:ascii="Aptos" w:hAnsi="Aptos"/>
                  <w:color w:val="10120F"/>
                  <w:u w:val="none"/>
                  <w:vertAlign w:val="superscript"/>
                  <w:b/>
                </w:rPr>
                <w:t>[2]</w:t>
              </w:r>
            </w:hyperlink>
            <w:hyperlink r:id="rId11">
              <w:r>
                <w:rPr>
                  <w:rFonts w:ascii="Aptos" w:hAnsi="Aptos"/>
                  <w:color w:val="10120F"/>
                  <w:u w:val="none"/>
                  <w:vertAlign w:val="superscript"/>
                  <w:b/>
                </w:rPr>
                <w:t>[7]</w:t>
              </w:r>
            </w:hyperlink>
            <w:hyperlink r:id="rId12">
              <w:r>
                <w:rPr>
                  <w:rFonts w:ascii="Aptos" w:hAnsi="Aptos"/>
                  <w:color w:val="10120F"/>
                  <w:u w:val="none"/>
                  <w:vertAlign w:val="superscript"/>
                  <w:b/>
                </w:rPr>
                <w:t>[8]</w:t>
              </w:r>
            </w:hyperlink>
            <w:hyperlink r:id="rId13">
              <w:r>
                <w:rPr>
                  <w:rFonts w:ascii="Aptos" w:hAnsi="Aptos"/>
                  <w:color w:val="10120F"/>
                  <w:u w:val="none"/>
                  <w:vertAlign w:val="superscript"/>
                  <w:b/>
                </w:rPr>
                <w:t>[10]</w:t>
              </w:r>
            </w:hyperlink>
            <w:hyperlink r:id="rId14">
              <w:r>
                <w:rPr>
                  <w:rFonts w:ascii="Aptos" w:hAnsi="Aptos"/>
                  <w:color w:val="10120F"/>
                  <w:u w:val="none"/>
                  <w:vertAlign w:val="superscript"/>
                  <w:b/>
                </w:rPr>
                <w:t>[15]</w:t>
              </w:r>
            </w:hyperlink>
          </w:p>
        </w:tc>
      </w:tr>
    </w:tbl>
    <w:p>
      <w:pPr>
        <w:spacing w:before="260" w:after="100"/>
      </w:pPr>
      <w:r>
        <w:rPr>
          <w:rFonts w:ascii="Aptos Display" w:hAnsi="Aptos Display" w:eastAsia="Aptos Display"/>
          <w:b/>
          <w:i w:val="0"/>
          <w:color w:val="10120F"/>
          <w:sz w:val="34"/>
        </w:rPr>
        <w:t>Executive Readout</w:t>
      </w:r>
    </w:p>
    <w:p>
      <w:pPr>
        <w:spacing w:before="0" w:after="100" w:line="259" w:lineRule="auto"/>
      </w:pPr>
      <w:r>
        <w:rPr>
          <w:rFonts w:ascii="Aptos" w:hAnsi="Aptos" w:eastAsia="Aptos"/>
          <w:b w:val="0"/>
          <w:i w:val="0"/>
          <w:color w:val="10120F"/>
          <w:sz w:val="20"/>
        </w:rPr>
        <w:t>Across regulatory, payer, HEOR, and vendor sources, the dominant communication pattern is a reviewed evidence platform: separate FDA-required label content from supplementary label-consistent evidence, then tailor expression by audience and decision context.</w:t>
      </w:r>
      <w:hyperlink r:id="rId9">
        <w:r>
          <w:rPr>
            <w:rFonts w:ascii="Aptos" w:hAnsi="Aptos"/>
            <w:color w:val="10120F"/>
            <w:u w:val="none"/>
            <w:vertAlign w:val="superscript"/>
            <w:b/>
          </w:rPr>
          <w:t>[1]</w:t>
        </w:r>
      </w:hyperlink>
      <w:hyperlink r:id="rId10">
        <w:r>
          <w:rPr>
            <w:rFonts w:ascii="Aptos" w:hAnsi="Aptos"/>
            <w:color w:val="10120F"/>
            <w:u w:val="none"/>
            <w:vertAlign w:val="superscript"/>
            <w:b/>
          </w:rPr>
          <w:t>[2]</w:t>
        </w:r>
      </w:hyperlink>
      <w:hyperlink r:id="rId11">
        <w:r>
          <w:rPr>
            <w:rFonts w:ascii="Aptos" w:hAnsi="Aptos"/>
            <w:color w:val="10120F"/>
            <w:u w:val="none"/>
            <w:vertAlign w:val="superscript"/>
            <w:b/>
          </w:rPr>
          <w:t>[7]</w:t>
        </w:r>
      </w:hyperlink>
      <w:hyperlink r:id="rId12">
        <w:r>
          <w:rPr>
            <w:rFonts w:ascii="Aptos" w:hAnsi="Aptos"/>
            <w:color w:val="10120F"/>
            <w:u w:val="none"/>
            <w:vertAlign w:val="superscript"/>
            <w:b/>
          </w:rPr>
          <w:t>[8]</w:t>
        </w:r>
      </w:hyperlink>
      <w:hyperlink r:id="rId15">
        <w:r>
          <w:rPr>
            <w:rFonts w:ascii="Aptos" w:hAnsi="Aptos"/>
            <w:color w:val="10120F"/>
            <w:u w:val="none"/>
            <w:vertAlign w:val="superscript"/>
            <w:b/>
          </w:rPr>
          <w:t>[11]</w:t>
        </w:r>
      </w:hyperlink>
      <w:hyperlink r:id="rId16">
        <w:r>
          <w:rPr>
            <w:rFonts w:ascii="Aptos" w:hAnsi="Aptos"/>
            <w:color w:val="10120F"/>
            <w:u w:val="none"/>
            <w:vertAlign w:val="superscript"/>
            <w:b/>
          </w:rPr>
          <w:t>[14]</w:t>
        </w:r>
      </w:hyperlink>
    </w:p>
    <w:p>
      <w:pPr>
        <w:spacing w:before="0" w:after="100" w:line="259" w:lineRule="auto"/>
      </w:pPr>
      <w:r>
        <w:rPr>
          <w:rFonts w:ascii="Aptos" w:hAnsi="Aptos" w:eastAsia="Aptos"/>
          <w:b w:val="0"/>
          <w:i w:val="0"/>
          <w:color w:val="10120F"/>
          <w:sz w:val="20"/>
        </w:rPr>
        <w:t>The net impression should remain no broader than the approved use and cited evidence support. Claims should include study design, population, comparator, endpoints, limitations, uncertainty, and generalizability close to the claim or visual they qualify.</w:t>
      </w:r>
      <w:hyperlink r:id="rId9">
        <w:r>
          <w:rPr>
            <w:rFonts w:ascii="Aptos" w:hAnsi="Aptos"/>
            <w:color w:val="10120F"/>
            <w:u w:val="none"/>
            <w:vertAlign w:val="superscript"/>
            <w:b/>
          </w:rPr>
          <w:t>[1]</w:t>
        </w:r>
      </w:hyperlink>
      <w:hyperlink r:id="rId10">
        <w:r>
          <w:rPr>
            <w:rFonts w:ascii="Aptos" w:hAnsi="Aptos"/>
            <w:color w:val="10120F"/>
            <w:u w:val="none"/>
            <w:vertAlign w:val="superscript"/>
            <w:b/>
          </w:rPr>
          <w:t>[2]</w:t>
        </w:r>
      </w:hyperlink>
      <w:hyperlink r:id="rId17">
        <w:r>
          <w:rPr>
            <w:rFonts w:ascii="Aptos" w:hAnsi="Aptos"/>
            <w:color w:val="10120F"/>
            <w:u w:val="none"/>
            <w:vertAlign w:val="superscript"/>
            <w:b/>
          </w:rPr>
          <w:t>[5]</w:t>
        </w:r>
      </w:hyperlink>
      <w:hyperlink r:id="rId13">
        <w:r>
          <w:rPr>
            <w:rFonts w:ascii="Aptos" w:hAnsi="Aptos"/>
            <w:color w:val="10120F"/>
            <w:u w:val="none"/>
            <w:vertAlign w:val="superscript"/>
            <w:b/>
          </w:rPr>
          <w:t>[10]</w:t>
        </w:r>
      </w:hyperlink>
      <w:hyperlink r:id="rId14">
        <w:r>
          <w:rPr>
            <w:rFonts w:ascii="Aptos" w:hAnsi="Aptos"/>
            <w:color w:val="10120F"/>
            <w:u w:val="none"/>
            <w:vertAlign w:val="superscript"/>
            <w:b/>
          </w:rPr>
          <w:t>[15]</w:t>
        </w:r>
      </w:hyperlink>
    </w:p>
    <w:p>
      <w:pPr>
        <w:spacing w:before="260" w:after="100"/>
      </w:pPr>
      <w:r>
        <w:rPr>
          <w:rFonts w:ascii="Aptos Display" w:hAnsi="Aptos Display" w:eastAsia="Aptos Display"/>
          <w:b/>
          <w:i w:val="0"/>
          <w:color w:val="10120F"/>
          <w:sz w:val="34"/>
        </w:rPr>
        <w:t>Practical Best Practices</w:t>
      </w:r>
    </w:p>
    <w:p>
      <w:pPr>
        <w:spacing w:before="120" w:after="40"/>
      </w:pPr>
      <w:r>
        <w:rPr>
          <w:rFonts w:ascii="Aptos" w:hAnsi="Aptos" w:eastAsia="Aptos"/>
          <w:b/>
          <w:i w:val="0"/>
          <w:color w:val="10120F"/>
          <w:sz w:val="21"/>
        </w:rPr>
        <w:t>1. Anchor every claim to the product label first.</w:t>
      </w:r>
      <w:hyperlink r:id="rId9">
        <w:r>
          <w:rPr>
            <w:rFonts w:ascii="Aptos" w:hAnsi="Aptos"/>
            <w:color w:val="10120F"/>
            <w:u w:val="none"/>
            <w:vertAlign w:val="superscript"/>
            <w:b/>
          </w:rPr>
          <w:t>[1]</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Record the approved indication, population, dosing/use regimen, route, limitations of use, safety context, and any label data relevant to the claim.</w:t>
      </w:r>
      <w:hyperlink r:id="rId9">
        <w:r>
          <w:rPr>
            <w:rFonts w:ascii="Aptos" w:hAnsi="Aptos"/>
            <w:color w:val="10120F"/>
            <w:u w:val="none"/>
            <w:vertAlign w:val="superscript"/>
            <w:b/>
          </w:rPr>
          <w:t>[1]</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Distinguish direct label-supported claims from supplementary label-consistent evidence, including postmarketing data, RWE, subgroup analyses, adherence data, onset data, HCRU, or economic evidence.</w:t>
      </w:r>
      <w:hyperlink r:id="rId9">
        <w:r>
          <w:rPr>
            <w:rFonts w:ascii="Aptos" w:hAnsi="Aptos"/>
            <w:color w:val="10120F"/>
            <w:u w:val="none"/>
            <w:vertAlign w:val="superscript"/>
            <w:b/>
          </w:rPr>
          <w:t>[1]</w:t>
        </w:r>
      </w:hyperlink>
      <w:hyperlink r:id="rId10">
        <w:r>
          <w:rPr>
            <w:rFonts w:ascii="Aptos" w:hAnsi="Aptos"/>
            <w:color w:val="10120F"/>
            <w:u w:val="none"/>
            <w:vertAlign w:val="superscript"/>
            <w:b/>
          </w:rPr>
          <w:t>[2]</w:t>
        </w:r>
      </w:hyperlink>
      <w:hyperlink r:id="rId12">
        <w:r>
          <w:rPr>
            <w:rFonts w:ascii="Aptos" w:hAnsi="Aptos"/>
            <w:color w:val="10120F"/>
            <w:u w:val="none"/>
            <w:vertAlign w:val="superscript"/>
            <w:b/>
          </w:rPr>
          <w:t>[8]</w:t>
        </w:r>
      </w:hyperlink>
      <w:hyperlink r:id="rId14">
        <w:r>
          <w:rPr>
            <w:rFonts w:ascii="Aptos" w:hAnsi="Aptos"/>
            <w:color w:val="10120F"/>
            <w:u w:val="none"/>
            <w:vertAlign w:val="superscript"/>
            <w:b/>
          </w:rPr>
          <w:t>[15]</w:t>
        </w:r>
      </w:hyperlink>
    </w:p>
    <w:p>
      <w:pPr>
        <w:spacing w:before="120" w:after="40"/>
      </w:pPr>
      <w:r>
        <w:rPr>
          <w:rFonts w:ascii="Aptos" w:hAnsi="Aptos" w:eastAsia="Aptos"/>
          <w:b/>
          <w:i w:val="0"/>
          <w:color w:val="10120F"/>
          <w:sz w:val="21"/>
        </w:rPr>
        <w:t>2. Use audience-specific evidence packages.</w:t>
      </w:r>
      <w:hyperlink r:id="rId10">
        <w:r>
          <w:rPr>
            <w:rFonts w:ascii="Aptos" w:hAnsi="Aptos"/>
            <w:color w:val="10120F"/>
            <w:u w:val="none"/>
            <w:vertAlign w:val="superscript"/>
            <w:b/>
          </w:rPr>
          <w:t>[2]</w:t>
        </w:r>
      </w:hyperlink>
      <w:hyperlink r:id="rId18">
        <w:r>
          <w:rPr>
            <w:rFonts w:ascii="Aptos" w:hAnsi="Aptos"/>
            <w:color w:val="10120F"/>
            <w:u w:val="none"/>
            <w:vertAlign w:val="superscript"/>
            <w:b/>
          </w:rPr>
          <w:t>[4]</w:t>
        </w:r>
      </w:hyperlink>
      <w:hyperlink r:id="rId15">
        <w:r>
          <w:rPr>
            <w:rFonts w:ascii="Aptos" w:hAnsi="Aptos"/>
            <w:color w:val="10120F"/>
            <w:u w:val="none"/>
            <w:vertAlign w:val="superscript"/>
            <w:b/>
          </w:rPr>
          <w:t>[11]</w:t>
        </w:r>
      </w:hyperlink>
      <w:hyperlink r:id="rId19">
        <w:r>
          <w:rPr>
            <w:rFonts w:ascii="Aptos" w:hAnsi="Aptos"/>
            <w:color w:val="10120F"/>
            <w:u w:val="none"/>
            <w:vertAlign w:val="superscript"/>
            <w:b/>
          </w:rPr>
          <w:t>[12]</w:t>
        </w:r>
      </w:hyperlink>
      <w:hyperlink r:id="rId20">
        <w:r>
          <w:rPr>
            <w:rFonts w:ascii="Aptos" w:hAnsi="Aptos"/>
            <w:color w:val="10120F"/>
            <w:u w:val="none"/>
            <w:vertAlign w:val="superscript"/>
            <w:b/>
          </w:rPr>
          <w:t>[13]</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Payers/HCDMs need population-level clinical, economic, budget impact, HCRU, utilization, model assumptions, sensitivity analyses, and generalizability.</w:t>
      </w:r>
      <w:hyperlink r:id="rId10">
        <w:r>
          <w:rPr>
            <w:rFonts w:ascii="Aptos" w:hAnsi="Aptos"/>
            <w:color w:val="10120F"/>
            <w:u w:val="none"/>
            <w:vertAlign w:val="superscript"/>
            <w:b/>
          </w:rPr>
          <w:t>[2]</w:t>
        </w:r>
      </w:hyperlink>
      <w:hyperlink r:id="rId11">
        <w:r>
          <w:rPr>
            <w:rFonts w:ascii="Aptos" w:hAnsi="Aptos"/>
            <w:color w:val="10120F"/>
            <w:u w:val="none"/>
            <w:vertAlign w:val="superscript"/>
            <w:b/>
          </w:rPr>
          <w:t>[7]</w:t>
        </w:r>
      </w:hyperlink>
      <w:hyperlink r:id="rId12">
        <w:r>
          <w:rPr>
            <w:rFonts w:ascii="Aptos" w:hAnsi="Aptos"/>
            <w:color w:val="10120F"/>
            <w:u w:val="none"/>
            <w:vertAlign w:val="superscript"/>
            <w:b/>
          </w:rPr>
          <w:t>[8]</w:t>
        </w:r>
      </w:hyperlink>
      <w:hyperlink r:id="rId21">
        <w:r>
          <w:rPr>
            <w:rFonts w:ascii="Aptos" w:hAnsi="Aptos"/>
            <w:color w:val="10120F"/>
            <w:u w:val="none"/>
            <w:vertAlign w:val="superscript"/>
            <w:b/>
          </w:rPr>
          <w:t>[9]</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HCPs need patient-care relevance, study validity, benefits, risks, limitations, and clarity on promotional versus medical/scientific context.</w:t>
      </w:r>
      <w:hyperlink r:id="rId9">
        <w:r>
          <w:rPr>
            <w:rFonts w:ascii="Aptos" w:hAnsi="Aptos"/>
            <w:color w:val="10120F"/>
            <w:u w:val="none"/>
            <w:vertAlign w:val="superscript"/>
            <w:b/>
          </w:rPr>
          <w:t>[1]</w:t>
        </w:r>
      </w:hyperlink>
      <w:hyperlink r:id="rId22">
        <w:r>
          <w:rPr>
            <w:rFonts w:ascii="Aptos" w:hAnsi="Aptos"/>
            <w:color w:val="10120F"/>
            <w:u w:val="none"/>
            <w:vertAlign w:val="superscript"/>
            <w:b/>
          </w:rPr>
          <w:t>[3]</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Patients/consumers need clear numeracy, absolute frequencies where possible, and balanced risk information.</w:t>
      </w:r>
      <w:hyperlink r:id="rId18">
        <w:r>
          <w:rPr>
            <w:rFonts w:ascii="Aptos" w:hAnsi="Aptos"/>
            <w:color w:val="10120F"/>
            <w:u w:val="none"/>
            <w:vertAlign w:val="superscript"/>
            <w:b/>
          </w:rPr>
          <w:t>[4]</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Social/KOL contexts require implied-claim control and material-connection disclosure.</w:t>
      </w:r>
      <w:hyperlink r:id="rId17">
        <w:r>
          <w:rPr>
            <w:rFonts w:ascii="Aptos" w:hAnsi="Aptos"/>
            <w:color w:val="10120F"/>
            <w:u w:val="none"/>
            <w:vertAlign w:val="superscript"/>
            <w:b/>
          </w:rPr>
          <w:t>[5]</w:t>
        </w:r>
      </w:hyperlink>
      <w:hyperlink r:id="rId23">
        <w:r>
          <w:rPr>
            <w:rFonts w:ascii="Aptos" w:hAnsi="Aptos"/>
            <w:color w:val="10120F"/>
            <w:u w:val="none"/>
            <w:vertAlign w:val="superscript"/>
            <w:b/>
          </w:rPr>
          <w:t>[6]</w:t>
        </w:r>
      </w:hyperlink>
    </w:p>
    <w:p>
      <w:pPr>
        <w:spacing w:before="120" w:after="40"/>
      </w:pPr>
      <w:r>
        <w:rPr>
          <w:rFonts w:ascii="Aptos" w:hAnsi="Aptos" w:eastAsia="Aptos"/>
          <w:b/>
          <w:i w:val="0"/>
          <w:color w:val="10120F"/>
          <w:sz w:val="21"/>
        </w:rPr>
        <w:t>3. Make limitations prominent and proximate.</w:t>
      </w:r>
      <w:hyperlink r:id="rId9">
        <w:r>
          <w:rPr>
            <w:rFonts w:ascii="Aptos" w:hAnsi="Aptos"/>
            <w:color w:val="10120F"/>
            <w:u w:val="none"/>
            <w:vertAlign w:val="superscript"/>
            <w:b/>
          </w:rPr>
          <w:t>[1]</w:t>
        </w:r>
      </w:hyperlink>
      <w:hyperlink r:id="rId17">
        <w:r>
          <w:rPr>
            <w:rFonts w:ascii="Aptos" w:hAnsi="Aptos"/>
            <w:color w:val="10120F"/>
            <w:u w:val="none"/>
            <w:vertAlign w:val="superscript"/>
            <w:b/>
          </w:rPr>
          <w:t>[5]</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Do not bury limitations in footnotes when they materially qualify a headline, chart, or comparison.</w:t>
      </w:r>
      <w:hyperlink r:id="rId9">
        <w:r>
          <w:rPr>
            <w:rFonts w:ascii="Aptos" w:hAnsi="Aptos"/>
            <w:color w:val="10120F"/>
            <w:u w:val="none"/>
            <w:vertAlign w:val="superscript"/>
            <w:b/>
          </w:rPr>
          <w:t>[1]</w:t>
        </w:r>
      </w:hyperlink>
      <w:hyperlink r:id="rId17">
        <w:r>
          <w:rPr>
            <w:rFonts w:ascii="Aptos" w:hAnsi="Aptos"/>
            <w:color w:val="10120F"/>
            <w:u w:val="none"/>
            <w:vertAlign w:val="superscript"/>
            <w:b/>
          </w:rPr>
          <w:t>[5]</w:t>
        </w:r>
      </w:hyperlink>
      <w:hyperlink r:id="rId14">
        <w:r>
          <w:rPr>
            <w:rFonts w:ascii="Aptos" w:hAnsi="Aptos"/>
            <w:color w:val="10120F"/>
            <w:u w:val="none"/>
            <w:vertAlign w:val="superscript"/>
            <w:b/>
          </w:rPr>
          <w:t>[15]</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For RWE, observational studies, post hoc analyses, exploratory endpoints, or economic models, keep design, assumptions, limitations, and uncertainty next to the dependent claim.</w:t>
      </w:r>
      <w:hyperlink r:id="rId12">
        <w:r>
          <w:rPr>
            <w:rFonts w:ascii="Aptos" w:hAnsi="Aptos"/>
            <w:color w:val="10120F"/>
            <w:u w:val="none"/>
            <w:vertAlign w:val="superscript"/>
            <w:b/>
          </w:rPr>
          <w:t>[8]</w:t>
        </w:r>
      </w:hyperlink>
      <w:hyperlink r:id="rId21">
        <w:r>
          <w:rPr>
            <w:rFonts w:ascii="Aptos" w:hAnsi="Aptos"/>
            <w:color w:val="10120F"/>
            <w:u w:val="none"/>
            <w:vertAlign w:val="superscript"/>
            <w:b/>
          </w:rPr>
          <w:t>[9]</w:t>
        </w:r>
      </w:hyperlink>
      <w:hyperlink r:id="rId13">
        <w:r>
          <w:rPr>
            <w:rFonts w:ascii="Aptos" w:hAnsi="Aptos"/>
            <w:color w:val="10120F"/>
            <w:u w:val="none"/>
            <w:vertAlign w:val="superscript"/>
            <w:b/>
          </w:rPr>
          <w:t>[10]</w:t>
        </w:r>
      </w:hyperlink>
      <w:hyperlink r:id="rId14">
        <w:r>
          <w:rPr>
            <w:rFonts w:ascii="Aptos" w:hAnsi="Aptos"/>
            <w:color w:val="10120F"/>
            <w:u w:val="none"/>
            <w:vertAlign w:val="superscript"/>
            <w:b/>
          </w:rPr>
          <w:t>[15]</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Disclosures do not rescue an unsupported, overstated, or misleading claim.</w:t>
      </w:r>
      <w:hyperlink r:id="rId9">
        <w:r>
          <w:rPr>
            <w:rFonts w:ascii="Aptos" w:hAnsi="Aptos"/>
            <w:color w:val="10120F"/>
            <w:u w:val="none"/>
            <w:vertAlign w:val="superscript"/>
            <w:b/>
          </w:rPr>
          <w:t>[1]</w:t>
        </w:r>
      </w:hyperlink>
      <w:hyperlink r:id="rId17">
        <w:r>
          <w:rPr>
            <w:rFonts w:ascii="Aptos" w:hAnsi="Aptos"/>
            <w:color w:val="10120F"/>
            <w:u w:val="none"/>
            <w:vertAlign w:val="superscript"/>
            <w:b/>
          </w:rPr>
          <w:t>[5]</w:t>
        </w:r>
      </w:hyperlink>
    </w:p>
    <w:p>
      <w:pPr>
        <w:spacing w:before="120" w:after="40"/>
      </w:pPr>
      <w:r>
        <w:rPr>
          <w:rFonts w:ascii="Aptos" w:hAnsi="Aptos" w:eastAsia="Aptos"/>
          <w:b/>
          <w:i w:val="0"/>
          <w:color w:val="10120F"/>
          <w:sz w:val="21"/>
        </w:rPr>
        <w:t>4. Avoid evidence overreach.</w:t>
      </w:r>
      <w:hyperlink r:id="rId9">
        <w:r>
          <w:rPr>
            <w:rFonts w:ascii="Aptos" w:hAnsi="Aptos"/>
            <w:color w:val="10120F"/>
            <w:u w:val="none"/>
            <w:vertAlign w:val="superscript"/>
            <w:b/>
          </w:rPr>
          <w:t>[1]</w:t>
        </w:r>
      </w:hyperlink>
      <w:hyperlink r:id="rId17">
        <w:r>
          <w:rPr>
            <w:rFonts w:ascii="Aptos" w:hAnsi="Aptos"/>
            <w:color w:val="10120F"/>
            <w:u w:val="none"/>
            <w:vertAlign w:val="superscript"/>
            <w:b/>
          </w:rPr>
          <w:t>[5]</w:t>
        </w:r>
      </w:hyperlink>
      <w:hyperlink r:id="rId14">
        <w:r>
          <w:rPr>
            <w:rFonts w:ascii="Aptos" w:hAnsi="Aptos"/>
            <w:color w:val="10120F"/>
            <w:u w:val="none"/>
            <w:vertAlign w:val="superscript"/>
            <w:b/>
          </w:rPr>
          <w:t>[15]</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Do not present RWE or observational evidence as causal unless the design supports that inference.</w:t>
      </w:r>
      <w:hyperlink r:id="rId12">
        <w:r>
          <w:rPr>
            <w:rFonts w:ascii="Aptos" w:hAnsi="Aptos"/>
            <w:color w:val="10120F"/>
            <w:u w:val="none"/>
            <w:vertAlign w:val="superscript"/>
            <w:b/>
          </w:rPr>
          <w:t>[8]</w:t>
        </w:r>
      </w:hyperlink>
      <w:hyperlink r:id="rId13">
        <w:r>
          <w:rPr>
            <w:rFonts w:ascii="Aptos" w:hAnsi="Aptos"/>
            <w:color w:val="10120F"/>
            <w:u w:val="none"/>
            <w:vertAlign w:val="superscript"/>
            <w:b/>
          </w:rPr>
          <w:t>[10]</w:t>
        </w:r>
      </w:hyperlink>
      <w:hyperlink r:id="rId14">
        <w:r>
          <w:rPr>
            <w:rFonts w:ascii="Aptos" w:hAnsi="Aptos"/>
            <w:color w:val="10120F"/>
            <w:u w:val="none"/>
            <w:vertAlign w:val="superscript"/>
            <w:b/>
          </w:rPr>
          <w:t>[15]</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Do not imply superiority, broader population applicability, improved safety/effectiveness, or unapproved outcomes unless the exact comparison is supported.</w:t>
      </w:r>
      <w:hyperlink r:id="rId9">
        <w:r>
          <w:rPr>
            <w:rFonts w:ascii="Aptos" w:hAnsi="Aptos"/>
            <w:color w:val="10120F"/>
            <w:u w:val="none"/>
            <w:vertAlign w:val="superscript"/>
            <w:b/>
          </w:rPr>
          <w:t>[1]</w:t>
        </w:r>
      </w:hyperlink>
      <w:hyperlink r:id="rId10">
        <w:r>
          <w:rPr>
            <w:rFonts w:ascii="Aptos" w:hAnsi="Aptos"/>
            <w:color w:val="10120F"/>
            <w:u w:val="none"/>
            <w:vertAlign w:val="superscript"/>
            <w:b/>
          </w:rPr>
          <w:t>[2]</w:t>
        </w:r>
      </w:hyperlink>
      <w:hyperlink r:id="rId14">
        <w:r>
          <w:rPr>
            <w:rFonts w:ascii="Aptos" w:hAnsi="Aptos"/>
            <w:color w:val="10120F"/>
            <w:u w:val="none"/>
            <w:vertAlign w:val="superscript"/>
            <w:b/>
          </w:rPr>
          <w:t>[15]</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Do not let visuals, testimonials, ordering, icons, or colors imply claims stronger than the text.</w:t>
      </w:r>
      <w:hyperlink r:id="rId17">
        <w:r>
          <w:rPr>
            <w:rFonts w:ascii="Aptos" w:hAnsi="Aptos"/>
            <w:color w:val="10120F"/>
            <w:u w:val="none"/>
            <w:vertAlign w:val="superscript"/>
            <w:b/>
          </w:rPr>
          <w:t>[5]</w:t>
        </w:r>
      </w:hyperlink>
      <w:hyperlink r:id="rId23">
        <w:r>
          <w:rPr>
            <w:rFonts w:ascii="Aptos" w:hAnsi="Aptos"/>
            <w:color w:val="10120F"/>
            <w:u w:val="none"/>
            <w:vertAlign w:val="superscript"/>
            <w:b/>
          </w:rPr>
          <w:t>[6]</w:t>
        </w:r>
      </w:hyperlink>
      <w:hyperlink r:id="rId14">
        <w:r>
          <w:rPr>
            <w:rFonts w:ascii="Aptos" w:hAnsi="Aptos"/>
            <w:color w:val="10120F"/>
            <w:u w:val="none"/>
            <w:vertAlign w:val="superscript"/>
            <w:b/>
          </w:rPr>
          <w:t>[15]</w:t>
        </w:r>
      </w:hyperlink>
    </w:p>
    <w:p>
      <w:pPr>
        <w:spacing w:before="120" w:after="40"/>
      </w:pPr>
      <w:r>
        <w:rPr>
          <w:rFonts w:ascii="Aptos" w:hAnsi="Aptos" w:eastAsia="Aptos"/>
          <w:b/>
          <w:i w:val="0"/>
          <w:color w:val="10120F"/>
          <w:sz w:val="21"/>
        </w:rPr>
        <w:t>5. Present quantitative evidence in decision-useful form.</w:t>
      </w:r>
      <w:hyperlink r:id="rId18">
        <w:r>
          <w:rPr>
            <w:rFonts w:ascii="Aptos" w:hAnsi="Aptos"/>
            <w:color w:val="10120F"/>
            <w:u w:val="none"/>
            <w:vertAlign w:val="superscript"/>
            <w:b/>
          </w:rPr>
          <w:t>[4]</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Include control-group or comparator data when relevant.</w:t>
      </w:r>
      <w:hyperlink r:id="rId18">
        <w:r>
          <w:rPr>
            <w:rFonts w:ascii="Aptos" w:hAnsi="Aptos"/>
            <w:color w:val="10120F"/>
            <w:u w:val="none"/>
            <w:vertAlign w:val="superscript"/>
            <w:b/>
          </w:rPr>
          <w:t>[4]</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Prefer absolute frequencies or percentages for consumer-facing probability statements.</w:t>
      </w:r>
      <w:hyperlink r:id="rId18">
        <w:r>
          <w:rPr>
            <w:rFonts w:ascii="Aptos" w:hAnsi="Aptos"/>
            <w:color w:val="10120F"/>
            <w:u w:val="none"/>
            <w:vertAlign w:val="superscript"/>
            <w:b/>
          </w:rPr>
          <w:t>[4]</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If using relative risk reductions, present corresponding absolute values with comparable prominence.</w:t>
      </w:r>
      <w:hyperlink r:id="rId18">
        <w:r>
          <w:rPr>
            <w:rFonts w:ascii="Aptos" w:hAnsi="Aptos"/>
            <w:color w:val="10120F"/>
            <w:u w:val="none"/>
            <w:vertAlign w:val="superscript"/>
            <w:b/>
          </w:rPr>
          <w:t>[4]</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Use consistent denominators and numerical formats.</w:t>
      </w:r>
      <w:hyperlink r:id="rId18">
        <w:r>
          <w:rPr>
            <w:rFonts w:ascii="Aptos" w:hAnsi="Aptos"/>
            <w:color w:val="10120F"/>
            <w:u w:val="none"/>
            <w:vertAlign w:val="superscript"/>
            <w:b/>
          </w:rPr>
          <w:t>[4]</w:t>
        </w:r>
      </w:hyperlink>
    </w:p>
    <w:p>
      <w:pPr>
        <w:spacing w:before="120" w:after="40"/>
      </w:pPr>
      <w:r>
        <w:rPr>
          <w:rFonts w:ascii="Aptos" w:hAnsi="Aptos" w:eastAsia="Aptos"/>
          <w:b/>
          <w:i w:val="0"/>
          <w:color w:val="10120F"/>
          <w:sz w:val="21"/>
        </w:rPr>
        <w:t>6. Maintain a living evidence platform.</w:t>
      </w:r>
      <w:hyperlink r:id="rId15">
        <w:r>
          <w:rPr>
            <w:rFonts w:ascii="Aptos" w:hAnsi="Aptos"/>
            <w:color w:val="10120F"/>
            <w:u w:val="none"/>
            <w:vertAlign w:val="superscript"/>
            <w:b/>
          </w:rPr>
          <w:t>[11]</w:t>
        </w:r>
      </w:hyperlink>
      <w:hyperlink r:id="rId16">
        <w:r>
          <w:rPr>
            <w:rFonts w:ascii="Aptos" w:hAnsi="Aptos"/>
            <w:color w:val="10120F"/>
            <w:u w:val="none"/>
            <w:vertAlign w:val="superscript"/>
            <w:b/>
          </w:rPr>
          <w:t>[14]</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Keep one reviewed source of truth for claims, studies, model inputs, assumptions, and approved variants.</w:t>
      </w:r>
      <w:hyperlink r:id="rId15">
        <w:r>
          <w:rPr>
            <w:rFonts w:ascii="Aptos" w:hAnsi="Aptos"/>
            <w:color w:val="10120F"/>
            <w:u w:val="none"/>
            <w:vertAlign w:val="superscript"/>
            <w:b/>
          </w:rPr>
          <w:t>[11]</w:t>
        </w:r>
      </w:hyperlink>
      <w:hyperlink r:id="rId16">
        <w:r>
          <w:rPr>
            <w:rFonts w:ascii="Aptos" w:hAnsi="Aptos"/>
            <w:color w:val="10120F"/>
            <w:u w:val="none"/>
            <w:vertAlign w:val="superscript"/>
            <w:b/>
          </w:rPr>
          <w:t>[14]</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Version control claims and local adaptations.</w:t>
      </w:r>
      <w:hyperlink r:id="rId15">
        <w:r>
          <w:rPr>
            <w:rFonts w:ascii="Aptos" w:hAnsi="Aptos"/>
            <w:color w:val="10120F"/>
            <w:u w:val="none"/>
            <w:vertAlign w:val="superscript"/>
            <w:b/>
          </w:rPr>
          <w:t>[11]</w:t>
        </w:r>
      </w:hyperlink>
      <w:hyperlink r:id="rId16">
        <w:r>
          <w:rPr>
            <w:rFonts w:ascii="Aptos" w:hAnsi="Aptos"/>
            <w:color w:val="10120F"/>
            <w:u w:val="none"/>
            <w:vertAlign w:val="superscript"/>
            <w:b/>
          </w:rPr>
          <w:t>[14]</w:t>
        </w:r>
      </w:hyperlink>
    </w:p>
    <w:p>
      <w:pPr>
        <w:spacing w:after="60"/>
        <w:ind w:left="518" w:hanging="173"/>
      </w:pPr>
      <w:r>
        <w:rPr>
          <w:rFonts w:ascii="Aptos" w:hAnsi="Aptos" w:eastAsia="Aptos"/>
          <w:b/>
          <w:i w:val="0"/>
          <w:color w:val="10120F"/>
          <w:sz w:val="20"/>
        </w:rPr>
        <w:t xml:space="preserve">? </w:t>
      </w:r>
      <w:r>
        <w:rPr>
          <w:rFonts w:ascii="Aptos" w:hAnsi="Aptos" w:eastAsia="Aptos"/>
          <w:b w:val="0"/>
          <w:i w:val="0"/>
          <w:color w:val="10120F"/>
          <w:sz w:val="19"/>
        </w:rPr>
        <w:t>Use evidence gap assessments and update plans so old or local materials do not drift from the current label, evidence base, or payer requirements.</w:t>
      </w:r>
      <w:hyperlink r:id="rId15">
        <w:r>
          <w:rPr>
            <w:rFonts w:ascii="Aptos" w:hAnsi="Aptos"/>
            <w:color w:val="10120F"/>
            <w:u w:val="none"/>
            <w:vertAlign w:val="superscript"/>
            <w:b/>
          </w:rPr>
          <w:t>[11]</w:t>
        </w:r>
      </w:hyperlink>
      <w:hyperlink r:id="rId19">
        <w:r>
          <w:rPr>
            <w:rFonts w:ascii="Aptos" w:hAnsi="Aptos"/>
            <w:color w:val="10120F"/>
            <w:u w:val="none"/>
            <w:vertAlign w:val="superscript"/>
            <w:b/>
          </w:rPr>
          <w:t>[12]</w:t>
        </w:r>
      </w:hyperlink>
      <w:hyperlink r:id="rId20">
        <w:r>
          <w:rPr>
            <w:rFonts w:ascii="Aptos" w:hAnsi="Aptos"/>
            <w:color w:val="10120F"/>
            <w:u w:val="none"/>
            <w:vertAlign w:val="superscript"/>
            <w:b/>
          </w:rPr>
          <w:t>[13]</w:t>
        </w:r>
      </w:hyperlink>
      <w:hyperlink r:id="rId16">
        <w:r>
          <w:rPr>
            <w:rFonts w:ascii="Aptos" w:hAnsi="Aptos"/>
            <w:color w:val="10120F"/>
            <w:u w:val="none"/>
            <w:vertAlign w:val="superscript"/>
            <w:b/>
          </w:rPr>
          <w:t>[14]</w:t>
        </w:r>
      </w:hyperlink>
    </w:p>
    <w:p>
      <w:pPr>
        <w:sectPr>
          <w:pgSz w:w="12240" w:h="15840"/>
          <w:pgMar w:top="1080" w:right="1080" w:bottom="1080" w:left="1080" w:header="720" w:footer="720" w:gutter="0"/>
          <w:cols w:space="720"/>
          <w:docGrid w:linePitch="360"/>
        </w:sectPr>
      </w:pPr>
    </w:p>
    <w:p>
      <w:pPr>
        <w:spacing w:before="0" w:after="100"/>
      </w:pPr>
      <w:r>
        <w:rPr>
          <w:rFonts w:ascii="Aptos Display" w:hAnsi="Aptos Display" w:eastAsia="Aptos Display"/>
          <w:b/>
          <w:i w:val="0"/>
          <w:color w:val="10120F"/>
          <w:sz w:val="32"/>
        </w:rPr>
        <w:t>Disclaimer and Limitation Elements</w:t>
      </w:r>
    </w:p>
    <w:tbl>
      <w:tblPr>
        <w:tblW w:type="auto" w:w="0"/>
        <w:jc w:val="center"/>
        <w:tblLook w:firstColumn="1" w:firstRow="1" w:lastColumn="0" w:lastRow="0" w:noHBand="0" w:noVBand="1" w:val="04A0"/>
      </w:tblPr>
      <w:tblGrid>
        <w:gridCol w:w="4752"/>
        <w:gridCol w:w="4752"/>
        <w:gridCol w:w="4752"/>
      </w:tblGrid>
      <w:tr>
        <w:tc>
          <w:tcPr>
            <w:tcW w:type="dxa" w:w="4896"/>
            <w:shd w:fill="10120F"/>
            <w:tcBorders>
              <w:top w:val="single" w:sz="8" w:color="1B1F17"/>
              <w:left w:val="single" w:sz="8" w:color="1B1F17"/>
              <w:bottom w:val="single" w:sz="8" w:color="1B1F17"/>
              <w:right w:val="single" w:sz="8" w:color="1B1F17"/>
            </w:tcBorders>
            <w:tcMar>
              <w:top w:w="80" w:type="dxa"/>
              <w:start w:w="90" w:type="dxa"/>
              <w:bottom w:w="80" w:type="dxa"/>
              <w:end w:w="90" w:type="dxa"/>
            </w:tcMar>
          </w:tcPr>
          <w:p>
            <w:pPr>
              <w:spacing w:after="0"/>
            </w:pPr>
            <w:r>
              <w:rPr>
                <w:rFonts w:ascii="Aptos" w:hAnsi="Aptos" w:eastAsia="Aptos"/>
                <w:b/>
                <w:i w:val="0"/>
                <w:color w:val="FFFFFF"/>
                <w:sz w:val="17"/>
              </w:rPr>
              <w:t>Element</w:t>
            </w:r>
          </w:p>
        </w:tc>
        <w:tc>
          <w:tcPr>
            <w:tcW w:type="dxa" w:w="7344"/>
            <w:shd w:fill="10120F"/>
            <w:tcBorders>
              <w:top w:val="single" w:sz="8" w:color="1B1F17"/>
              <w:left w:val="single" w:sz="8" w:color="1B1F17"/>
              <w:bottom w:val="single" w:sz="8" w:color="1B1F17"/>
              <w:right w:val="single" w:sz="8" w:color="1B1F17"/>
            </w:tcBorders>
            <w:tcMar>
              <w:top w:w="80" w:type="dxa"/>
              <w:start w:w="90" w:type="dxa"/>
              <w:bottom w:w="80" w:type="dxa"/>
              <w:end w:w="90" w:type="dxa"/>
            </w:tcMar>
          </w:tcPr>
          <w:p>
            <w:pPr>
              <w:spacing w:after="0"/>
            </w:pPr>
            <w:r>
              <w:rPr>
                <w:rFonts w:ascii="Aptos" w:hAnsi="Aptos" w:eastAsia="Aptos"/>
                <w:b/>
                <w:i w:val="0"/>
                <w:color w:val="FFFFFF"/>
                <w:sz w:val="17"/>
              </w:rPr>
              <w:t>When to include</w:t>
            </w:r>
          </w:p>
        </w:tc>
        <w:tc>
          <w:tcPr>
            <w:tcW w:type="dxa" w:w="2016"/>
            <w:shd w:fill="10120F"/>
            <w:tcBorders>
              <w:top w:val="single" w:sz="8" w:color="1B1F17"/>
              <w:left w:val="single" w:sz="8" w:color="1B1F17"/>
              <w:bottom w:val="single" w:sz="8" w:color="1B1F17"/>
              <w:right w:val="single" w:sz="8" w:color="1B1F17"/>
            </w:tcBorders>
            <w:tcMar>
              <w:top w:w="80" w:type="dxa"/>
              <w:start w:w="90" w:type="dxa"/>
              <w:bottom w:w="80" w:type="dxa"/>
              <w:end w:w="90" w:type="dxa"/>
            </w:tcMar>
          </w:tcPr>
          <w:p>
            <w:pPr>
              <w:spacing w:after="0"/>
            </w:pPr>
            <w:r>
              <w:rPr>
                <w:rFonts w:ascii="Aptos" w:hAnsi="Aptos" w:eastAsia="Aptos"/>
                <w:b/>
                <w:i w:val="0"/>
                <w:color w:val="FFFFFF"/>
                <w:sz w:val="17"/>
              </w:rPr>
              <w:t>Primary source</w:t>
            </w:r>
          </w:p>
        </w:tc>
      </w:tr>
      <w:tr>
        <w:tc>
          <w:tcPr>
            <w:tcW w:type="dxa" w:w="4896"/>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i w:val="0"/>
                <w:color w:val="10120F"/>
                <w:sz w:val="16"/>
              </w:rPr>
              <w:t>Approved indication and limitations of use</w:t>
            </w:r>
          </w:p>
        </w:tc>
        <w:tc>
          <w:tcPr>
            <w:tcW w:type="dxa" w:w="7344"/>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val="0"/>
                <w:i w:val="0"/>
                <w:color w:val="10120F"/>
                <w:sz w:val="16"/>
              </w:rPr>
              <w:t>When making any product-specific claim or summarizing label context</w:t>
            </w:r>
          </w:p>
        </w:tc>
        <w:tc>
          <w:tcPr>
            <w:tcW w:type="dxa" w:w="2016"/>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hyperlink r:id="rId9">
              <w:r>
                <w:rPr>
                  <w:rFonts w:ascii="Aptos" w:hAnsi="Aptos"/>
                  <w:color w:val="10120F"/>
                  <w:u w:val="single"/>
                  <w:b/>
                </w:rPr>
                <w:t>[1]</w:t>
              </w:r>
            </w:hyperlink>
          </w:p>
        </w:tc>
      </w:tr>
      <w:tr>
        <w:tc>
          <w:tcPr>
            <w:tcW w:type="dxa" w:w="4896"/>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i w:val="0"/>
                <w:color w:val="10120F"/>
                <w:sz w:val="16"/>
              </w:rPr>
              <w:t>Current prescribing information / FDA-required labeling reference</w:t>
            </w:r>
          </w:p>
        </w:tc>
        <w:tc>
          <w:tcPr>
            <w:tcW w:type="dxa" w:w="7344"/>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val="0"/>
                <w:i w:val="0"/>
                <w:color w:val="10120F"/>
                <w:sz w:val="16"/>
              </w:rPr>
              <w:t>When anchoring a claim to approved use or safety context</w:t>
            </w:r>
          </w:p>
        </w:tc>
        <w:tc>
          <w:tcPr>
            <w:tcW w:type="dxa" w:w="2016"/>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hyperlink r:id="rId9">
              <w:r>
                <w:rPr>
                  <w:rFonts w:ascii="Aptos" w:hAnsi="Aptos"/>
                  <w:color w:val="10120F"/>
                  <w:u w:val="single"/>
                  <w:b/>
                </w:rPr>
                <w:t>[1]</w:t>
              </w:r>
            </w:hyperlink>
          </w:p>
        </w:tc>
      </w:tr>
      <w:tr>
        <w:tc>
          <w:tcPr>
            <w:tcW w:type="dxa" w:w="4896"/>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i w:val="0"/>
                <w:color w:val="10120F"/>
                <w:sz w:val="16"/>
              </w:rPr>
              <w:t>Unapproved product/use not approved; safety/effectiveness not established</w:t>
            </w:r>
          </w:p>
        </w:tc>
        <w:tc>
          <w:tcPr>
            <w:tcW w:type="dxa" w:w="7344"/>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val="0"/>
                <w:i w:val="0"/>
                <w:color w:val="10120F"/>
                <w:sz w:val="16"/>
              </w:rPr>
              <w:t>When sharing payer or HCP scientific information about unapproved products or uses</w:t>
            </w:r>
          </w:p>
        </w:tc>
        <w:tc>
          <w:tcPr>
            <w:tcW w:type="dxa" w:w="2016"/>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hyperlink r:id="rId10">
              <w:r>
                <w:rPr>
                  <w:rFonts w:ascii="Aptos" w:hAnsi="Aptos"/>
                  <w:color w:val="10120F"/>
                  <w:u w:val="single"/>
                  <w:b/>
                </w:rPr>
                <w:t>[2]</w:t>
              </w:r>
            </w:hyperlink>
            <w:hyperlink r:id="rId22">
              <w:r>
                <w:rPr>
                  <w:rFonts w:ascii="Aptos" w:hAnsi="Aptos"/>
                  <w:color w:val="10120F"/>
                  <w:u w:val="single"/>
                  <w:b/>
                </w:rPr>
                <w:t>[3]</w:t>
              </w:r>
            </w:hyperlink>
          </w:p>
        </w:tc>
      </w:tr>
      <w:tr>
        <w:tc>
          <w:tcPr>
            <w:tcW w:type="dxa" w:w="4896"/>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i w:val="0"/>
                <w:color w:val="10120F"/>
                <w:sz w:val="16"/>
              </w:rPr>
              <w:t>Data source, design, population, comparator, endpoints, assumptions, model perspective, time horizon, uncertainty, and generalizability</w:t>
            </w:r>
          </w:p>
        </w:tc>
        <w:tc>
          <w:tcPr>
            <w:tcW w:type="dxa" w:w="7344"/>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val="0"/>
                <w:i w:val="0"/>
                <w:color w:val="10120F"/>
                <w:sz w:val="16"/>
              </w:rPr>
              <w:t>When presenting economic analyses, RWE, models, or payer/HCEI evidence</w:t>
            </w:r>
          </w:p>
        </w:tc>
        <w:tc>
          <w:tcPr>
            <w:tcW w:type="dxa" w:w="2016"/>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hyperlink r:id="rId10">
              <w:r>
                <w:rPr>
                  <w:rFonts w:ascii="Aptos" w:hAnsi="Aptos"/>
                  <w:color w:val="10120F"/>
                  <w:u w:val="single"/>
                  <w:b/>
                </w:rPr>
                <w:t>[2]</w:t>
              </w:r>
            </w:hyperlink>
            <w:hyperlink r:id="rId12">
              <w:r>
                <w:rPr>
                  <w:rFonts w:ascii="Aptos" w:hAnsi="Aptos"/>
                  <w:color w:val="10120F"/>
                  <w:u w:val="single"/>
                  <w:b/>
                </w:rPr>
                <w:t>[8]</w:t>
              </w:r>
            </w:hyperlink>
            <w:hyperlink r:id="rId21">
              <w:r>
                <w:rPr>
                  <w:rFonts w:ascii="Aptos" w:hAnsi="Aptos"/>
                  <w:color w:val="10120F"/>
                  <w:u w:val="single"/>
                  <w:b/>
                </w:rPr>
                <w:t>[9]</w:t>
              </w:r>
            </w:hyperlink>
            <w:hyperlink r:id="rId13">
              <w:r>
                <w:rPr>
                  <w:rFonts w:ascii="Aptos" w:hAnsi="Aptos"/>
                  <w:color w:val="10120F"/>
                  <w:u w:val="single"/>
                  <w:b/>
                </w:rPr>
                <w:t>[10]</w:t>
              </w:r>
            </w:hyperlink>
          </w:p>
        </w:tc>
      </w:tr>
      <w:tr>
        <w:tc>
          <w:tcPr>
            <w:tcW w:type="dxa" w:w="4896"/>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i w:val="0"/>
                <w:color w:val="10120F"/>
                <w:sz w:val="16"/>
              </w:rPr>
              <w:t>Exploratory/descriptive/post hoc caution</w:t>
            </w:r>
          </w:p>
        </w:tc>
        <w:tc>
          <w:tcPr>
            <w:tcW w:type="dxa" w:w="7344"/>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val="0"/>
                <w:i w:val="0"/>
                <w:color w:val="10120F"/>
                <w:sz w:val="16"/>
              </w:rPr>
              <w:t>When findings are exploratory, descriptive, post hoc, or underpowered</w:t>
            </w:r>
          </w:p>
        </w:tc>
        <w:tc>
          <w:tcPr>
            <w:tcW w:type="dxa" w:w="2016"/>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hyperlink r:id="rId9">
              <w:r>
                <w:rPr>
                  <w:rFonts w:ascii="Aptos" w:hAnsi="Aptos"/>
                  <w:color w:val="10120F"/>
                  <w:u w:val="single"/>
                  <w:b/>
                </w:rPr>
                <w:t>[1]</w:t>
              </w:r>
            </w:hyperlink>
            <w:hyperlink r:id="rId14">
              <w:r>
                <w:rPr>
                  <w:rFonts w:ascii="Aptos" w:hAnsi="Aptos"/>
                  <w:color w:val="10120F"/>
                  <w:u w:val="single"/>
                  <w:b/>
                </w:rPr>
                <w:t>[15]</w:t>
              </w:r>
            </w:hyperlink>
          </w:p>
        </w:tc>
      </w:tr>
      <w:tr>
        <w:tc>
          <w:tcPr>
            <w:tcW w:type="dxa" w:w="4896"/>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i w:val="0"/>
                <w:color w:val="10120F"/>
                <w:sz w:val="16"/>
              </w:rPr>
              <w:t>Material differences from labeling</w:t>
            </w:r>
          </w:p>
        </w:tc>
        <w:tc>
          <w:tcPr>
            <w:tcW w:type="dxa" w:w="7344"/>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val="0"/>
                <w:i w:val="0"/>
                <w:color w:val="10120F"/>
                <w:sz w:val="16"/>
              </w:rPr>
              <w:t>When payer/HCEI evidence differs materially from approved labeling conditions</w:t>
            </w:r>
          </w:p>
        </w:tc>
        <w:tc>
          <w:tcPr>
            <w:tcW w:type="dxa" w:w="2016"/>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hyperlink r:id="rId10">
              <w:r>
                <w:rPr>
                  <w:rFonts w:ascii="Aptos" w:hAnsi="Aptos"/>
                  <w:color w:val="10120F"/>
                  <w:u w:val="single"/>
                  <w:b/>
                </w:rPr>
                <w:t>[2]</w:t>
              </w:r>
            </w:hyperlink>
          </w:p>
        </w:tc>
      </w:tr>
    </w:tbl>
    <w:p>
      <w:pPr>
        <w:spacing w:before="200" w:after="100"/>
      </w:pPr>
      <w:r>
        <w:rPr>
          <w:rFonts w:ascii="Aptos Display" w:hAnsi="Aptos Display" w:eastAsia="Aptos Display"/>
          <w:b/>
          <w:i w:val="0"/>
          <w:color w:val="10120F"/>
          <w:sz w:val="32"/>
        </w:rPr>
        <w:t>High-Risk Pitfalls</w:t>
      </w:r>
    </w:p>
    <w:tbl>
      <w:tblPr>
        <w:tblW w:type="auto" w:w="0"/>
        <w:jc w:val="center"/>
        <w:tblLook w:firstColumn="1" w:firstRow="1" w:lastColumn="0" w:lastRow="0" w:noHBand="0" w:noVBand="1" w:val="04A0"/>
      </w:tblPr>
      <w:tblGrid>
        <w:gridCol w:w="4752"/>
        <w:gridCol w:w="4752"/>
        <w:gridCol w:w="4752"/>
      </w:tblGrid>
      <w:tr>
        <w:tc>
          <w:tcPr>
            <w:tcW w:type="dxa" w:w="4464"/>
            <w:shd w:fill="10120F"/>
            <w:tcBorders>
              <w:top w:val="single" w:sz="8" w:color="1B1F17"/>
              <w:left w:val="single" w:sz="8" w:color="1B1F17"/>
              <w:bottom w:val="single" w:sz="8" w:color="1B1F17"/>
              <w:right w:val="single" w:sz="8" w:color="1B1F17"/>
            </w:tcBorders>
            <w:tcMar>
              <w:top w:w="80" w:type="dxa"/>
              <w:start w:w="90" w:type="dxa"/>
              <w:bottom w:w="80" w:type="dxa"/>
              <w:end w:w="90" w:type="dxa"/>
            </w:tcMar>
          </w:tcPr>
          <w:p>
            <w:pPr>
              <w:spacing w:after="0"/>
            </w:pPr>
            <w:r>
              <w:rPr>
                <w:rFonts w:ascii="Aptos" w:hAnsi="Aptos" w:eastAsia="Aptos"/>
                <w:b/>
                <w:i w:val="0"/>
                <w:color w:val="FFFFFF"/>
                <w:sz w:val="17"/>
              </w:rPr>
              <w:t>Pitfall</w:t>
            </w:r>
          </w:p>
        </w:tc>
        <w:tc>
          <w:tcPr>
            <w:tcW w:type="dxa" w:w="7488"/>
            <w:shd w:fill="10120F"/>
            <w:tcBorders>
              <w:top w:val="single" w:sz="8" w:color="1B1F17"/>
              <w:left w:val="single" w:sz="8" w:color="1B1F17"/>
              <w:bottom w:val="single" w:sz="8" w:color="1B1F17"/>
              <w:right w:val="single" w:sz="8" w:color="1B1F17"/>
            </w:tcBorders>
            <w:tcMar>
              <w:top w:w="80" w:type="dxa"/>
              <w:start w:w="90" w:type="dxa"/>
              <w:bottom w:w="80" w:type="dxa"/>
              <w:end w:w="90" w:type="dxa"/>
            </w:tcMar>
          </w:tcPr>
          <w:p>
            <w:pPr>
              <w:spacing w:after="0"/>
            </w:pPr>
            <w:r>
              <w:rPr>
                <w:rFonts w:ascii="Aptos" w:hAnsi="Aptos" w:eastAsia="Aptos"/>
                <w:b/>
                <w:i w:val="0"/>
                <w:color w:val="FFFFFF"/>
                <w:sz w:val="17"/>
              </w:rPr>
              <w:t>Why it matters</w:t>
            </w:r>
          </w:p>
        </w:tc>
        <w:tc>
          <w:tcPr>
            <w:tcW w:type="dxa" w:w="2016"/>
            <w:shd w:fill="10120F"/>
            <w:tcBorders>
              <w:top w:val="single" w:sz="8" w:color="1B1F17"/>
              <w:left w:val="single" w:sz="8" w:color="1B1F17"/>
              <w:bottom w:val="single" w:sz="8" w:color="1B1F17"/>
              <w:right w:val="single" w:sz="8" w:color="1B1F17"/>
            </w:tcBorders>
            <w:tcMar>
              <w:top w:w="80" w:type="dxa"/>
              <w:start w:w="90" w:type="dxa"/>
              <w:bottom w:w="80" w:type="dxa"/>
              <w:end w:w="90" w:type="dxa"/>
            </w:tcMar>
          </w:tcPr>
          <w:p>
            <w:pPr>
              <w:spacing w:after="0"/>
            </w:pPr>
            <w:r>
              <w:rPr>
                <w:rFonts w:ascii="Aptos" w:hAnsi="Aptos" w:eastAsia="Aptos"/>
                <w:b/>
                <w:i w:val="0"/>
                <w:color w:val="FFFFFF"/>
                <w:sz w:val="17"/>
              </w:rPr>
              <w:t>Primary source</w:t>
            </w:r>
          </w:p>
        </w:tc>
      </w:tr>
      <w:tr>
        <w:tc>
          <w:tcPr>
            <w:tcW w:type="dxa" w:w="4464"/>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i w:val="0"/>
                <w:color w:val="10120F"/>
                <w:sz w:val="16"/>
              </w:rPr>
              <w:t>Headline claims omit material limitations</w:t>
            </w:r>
          </w:p>
        </w:tc>
        <w:tc>
          <w:tcPr>
            <w:tcW w:type="dxa" w:w="7488"/>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val="0"/>
                <w:i w:val="0"/>
                <w:color w:val="10120F"/>
                <w:sz w:val="16"/>
              </w:rPr>
              <w:t>The main claim can mislead even if limitations appear elsewhere.</w:t>
            </w:r>
          </w:p>
        </w:tc>
        <w:tc>
          <w:tcPr>
            <w:tcW w:type="dxa" w:w="2016"/>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hyperlink r:id="rId9">
              <w:r>
                <w:rPr>
                  <w:rFonts w:ascii="Aptos" w:hAnsi="Aptos"/>
                  <w:color w:val="10120F"/>
                  <w:u w:val="single"/>
                  <w:b/>
                </w:rPr>
                <w:t>[1]</w:t>
              </w:r>
            </w:hyperlink>
            <w:hyperlink r:id="rId17">
              <w:r>
                <w:rPr>
                  <w:rFonts w:ascii="Aptos" w:hAnsi="Aptos"/>
                  <w:color w:val="10120F"/>
                  <w:u w:val="single"/>
                  <w:b/>
                </w:rPr>
                <w:t>[5]</w:t>
              </w:r>
            </w:hyperlink>
            <w:hyperlink r:id="rId14">
              <w:r>
                <w:rPr>
                  <w:rFonts w:ascii="Aptos" w:hAnsi="Aptos"/>
                  <w:color w:val="10120F"/>
                  <w:u w:val="single"/>
                  <w:b/>
                </w:rPr>
                <w:t>[15]</w:t>
              </w:r>
            </w:hyperlink>
          </w:p>
        </w:tc>
      </w:tr>
      <w:tr>
        <w:tc>
          <w:tcPr>
            <w:tcW w:type="dxa" w:w="4464"/>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i w:val="0"/>
                <w:color w:val="10120F"/>
                <w:sz w:val="16"/>
              </w:rPr>
              <w:t>RWE framed like randomized head-to-head evidence</w:t>
            </w:r>
          </w:p>
        </w:tc>
        <w:tc>
          <w:tcPr>
            <w:tcW w:type="dxa" w:w="7488"/>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val="0"/>
                <w:i w:val="0"/>
                <w:color w:val="10120F"/>
                <w:sz w:val="16"/>
              </w:rPr>
              <w:t>Observational designs may not support causal or comparative-effectiveness conclusions.</w:t>
            </w:r>
          </w:p>
        </w:tc>
        <w:tc>
          <w:tcPr>
            <w:tcW w:type="dxa" w:w="2016"/>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hyperlink r:id="rId12">
              <w:r>
                <w:rPr>
                  <w:rFonts w:ascii="Aptos" w:hAnsi="Aptos"/>
                  <w:color w:val="10120F"/>
                  <w:u w:val="single"/>
                  <w:b/>
                </w:rPr>
                <w:t>[8]</w:t>
              </w:r>
            </w:hyperlink>
            <w:hyperlink r:id="rId13">
              <w:r>
                <w:rPr>
                  <w:rFonts w:ascii="Aptos" w:hAnsi="Aptos"/>
                  <w:color w:val="10120F"/>
                  <w:u w:val="single"/>
                  <w:b/>
                </w:rPr>
                <w:t>[10]</w:t>
              </w:r>
            </w:hyperlink>
            <w:hyperlink r:id="rId14">
              <w:r>
                <w:rPr>
                  <w:rFonts w:ascii="Aptos" w:hAnsi="Aptos"/>
                  <w:color w:val="10120F"/>
                  <w:u w:val="single"/>
                  <w:b/>
                </w:rPr>
                <w:t>[15]</w:t>
              </w:r>
            </w:hyperlink>
          </w:p>
        </w:tc>
      </w:tr>
      <w:tr>
        <w:tc>
          <w:tcPr>
            <w:tcW w:type="dxa" w:w="4464"/>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i w:val="0"/>
                <w:color w:val="10120F"/>
                <w:sz w:val="16"/>
              </w:rPr>
              <w:t>Selective favorable endpoint presentation</w:t>
            </w:r>
          </w:p>
        </w:tc>
        <w:tc>
          <w:tcPr>
            <w:tcW w:type="dxa" w:w="7488"/>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val="0"/>
                <w:i w:val="0"/>
                <w:color w:val="10120F"/>
                <w:sz w:val="16"/>
              </w:rPr>
              <w:t>Can distort the body of evidence and net impression.</w:t>
            </w:r>
          </w:p>
        </w:tc>
        <w:tc>
          <w:tcPr>
            <w:tcW w:type="dxa" w:w="2016"/>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hyperlink r:id="rId9">
              <w:r>
                <w:rPr>
                  <w:rFonts w:ascii="Aptos" w:hAnsi="Aptos"/>
                  <w:color w:val="10120F"/>
                  <w:u w:val="single"/>
                  <w:b/>
                </w:rPr>
                <w:t>[1]</w:t>
              </w:r>
            </w:hyperlink>
            <w:hyperlink r:id="rId17">
              <w:r>
                <w:rPr>
                  <w:rFonts w:ascii="Aptos" w:hAnsi="Aptos"/>
                  <w:color w:val="10120F"/>
                  <w:u w:val="single"/>
                  <w:b/>
                </w:rPr>
                <w:t>[5]</w:t>
              </w:r>
            </w:hyperlink>
            <w:hyperlink r:id="rId14">
              <w:r>
                <w:rPr>
                  <w:rFonts w:ascii="Aptos" w:hAnsi="Aptos"/>
                  <w:color w:val="10120F"/>
                  <w:u w:val="single"/>
                  <w:b/>
                </w:rPr>
                <w:t>[15]</w:t>
              </w:r>
            </w:hyperlink>
          </w:p>
        </w:tc>
      </w:tr>
      <w:tr>
        <w:tc>
          <w:tcPr>
            <w:tcW w:type="dxa" w:w="4464"/>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i w:val="0"/>
                <w:color w:val="10120F"/>
                <w:sz w:val="16"/>
              </w:rPr>
              <w:t>Subgroup/post hoc/registry findings promoted as established effects</w:t>
            </w:r>
          </w:p>
        </w:tc>
        <w:tc>
          <w:tcPr>
            <w:tcW w:type="dxa" w:w="7488"/>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val="0"/>
                <w:i w:val="0"/>
                <w:color w:val="10120F"/>
                <w:sz w:val="16"/>
              </w:rPr>
              <w:t>Exploratory or nonrandomized results require cautious framing.</w:t>
            </w:r>
          </w:p>
        </w:tc>
        <w:tc>
          <w:tcPr>
            <w:tcW w:type="dxa" w:w="2016"/>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hyperlink r:id="rId9">
              <w:r>
                <w:rPr>
                  <w:rFonts w:ascii="Aptos" w:hAnsi="Aptos"/>
                  <w:color w:val="10120F"/>
                  <w:u w:val="single"/>
                  <w:b/>
                </w:rPr>
                <w:t>[1]</w:t>
              </w:r>
            </w:hyperlink>
            <w:hyperlink r:id="rId13">
              <w:r>
                <w:rPr>
                  <w:rFonts w:ascii="Aptos" w:hAnsi="Aptos"/>
                  <w:color w:val="10120F"/>
                  <w:u w:val="single"/>
                  <w:b/>
                </w:rPr>
                <w:t>[10]</w:t>
              </w:r>
            </w:hyperlink>
            <w:hyperlink r:id="rId14">
              <w:r>
                <w:rPr>
                  <w:rFonts w:ascii="Aptos" w:hAnsi="Aptos"/>
                  <w:color w:val="10120F"/>
                  <w:u w:val="single"/>
                  <w:b/>
                </w:rPr>
                <w:t>[15]</w:t>
              </w:r>
            </w:hyperlink>
          </w:p>
        </w:tc>
      </w:tr>
      <w:tr>
        <w:tc>
          <w:tcPr>
            <w:tcW w:type="dxa" w:w="4464"/>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i w:val="0"/>
                <w:color w:val="10120F"/>
                <w:sz w:val="16"/>
              </w:rPr>
              <w:t>Economic models without assumptions or sensitivity analyses</w:t>
            </w:r>
          </w:p>
        </w:tc>
        <w:tc>
          <w:tcPr>
            <w:tcW w:type="dxa" w:w="7488"/>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val="0"/>
                <w:i w:val="0"/>
                <w:color w:val="10120F"/>
                <w:sz w:val="16"/>
              </w:rPr>
              <w:t>Payers need methods, perspective, time horizon, uncertainty, and generalizability.</w:t>
            </w:r>
          </w:p>
        </w:tc>
        <w:tc>
          <w:tcPr>
            <w:tcW w:type="dxa" w:w="2016"/>
            <w:shd w:fill="F6F1E8"/>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hyperlink r:id="rId10">
              <w:r>
                <w:rPr>
                  <w:rFonts w:ascii="Aptos" w:hAnsi="Aptos"/>
                  <w:color w:val="10120F"/>
                  <w:u w:val="single"/>
                  <w:b/>
                </w:rPr>
                <w:t>[2]</w:t>
              </w:r>
            </w:hyperlink>
            <w:hyperlink r:id="rId21">
              <w:r>
                <w:rPr>
                  <w:rFonts w:ascii="Aptos" w:hAnsi="Aptos"/>
                  <w:color w:val="10120F"/>
                  <w:u w:val="single"/>
                  <w:b/>
                </w:rPr>
                <w:t>[9]</w:t>
              </w:r>
            </w:hyperlink>
          </w:p>
        </w:tc>
      </w:tr>
      <w:tr>
        <w:tc>
          <w:tcPr>
            <w:tcW w:type="dxa" w:w="4464"/>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i w:val="0"/>
                <w:color w:val="10120F"/>
                <w:sz w:val="16"/>
              </w:rPr>
              <w:t>Visuals or testimonials imply unsubstantiated outcomes</w:t>
            </w:r>
          </w:p>
        </w:tc>
        <w:tc>
          <w:tcPr>
            <w:tcW w:type="dxa" w:w="7488"/>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r>
              <w:rPr>
                <w:rFonts w:ascii="Aptos" w:hAnsi="Aptos" w:eastAsia="Aptos"/>
                <w:b w:val="0"/>
                <w:i w:val="0"/>
                <w:color w:val="10120F"/>
                <w:sz w:val="16"/>
              </w:rPr>
              <w:t>Non-textual elements can create objective product claims.</w:t>
            </w:r>
          </w:p>
        </w:tc>
        <w:tc>
          <w:tcPr>
            <w:tcW w:type="dxa" w:w="2016"/>
            <w:shd w:fill="EBE4D6"/>
            <w:tcBorders>
              <w:top w:val="single" w:sz="6" w:color="1B1F17"/>
              <w:left w:val="single" w:sz="6" w:color="1B1F17"/>
              <w:bottom w:val="single" w:sz="6" w:color="1B1F17"/>
              <w:right w:val="single" w:sz="6" w:color="1B1F17"/>
            </w:tcBorders>
            <w:tcMar>
              <w:top w:w="70" w:type="dxa"/>
              <w:start w:w="80" w:type="dxa"/>
              <w:bottom w:w="70" w:type="dxa"/>
              <w:end w:w="80" w:type="dxa"/>
            </w:tcMar>
            <w:vAlign w:val="top"/>
          </w:tcPr>
          <w:p>
            <w:pPr>
              <w:spacing w:after="0"/>
            </w:pPr>
            <w:hyperlink r:id="rId17">
              <w:r>
                <w:rPr>
                  <w:rFonts w:ascii="Aptos" w:hAnsi="Aptos"/>
                  <w:color w:val="10120F"/>
                  <w:u w:val="single"/>
                  <w:b/>
                </w:rPr>
                <w:t>[5]</w:t>
              </w:r>
            </w:hyperlink>
            <w:hyperlink r:id="rId23">
              <w:r>
                <w:rPr>
                  <w:rFonts w:ascii="Aptos" w:hAnsi="Aptos"/>
                  <w:color w:val="10120F"/>
                  <w:u w:val="single"/>
                  <w:b/>
                </w:rPr>
                <w:t>[6]</w:t>
              </w:r>
            </w:hyperlink>
            <w:hyperlink r:id="rId14">
              <w:r>
                <w:rPr>
                  <w:rFonts w:ascii="Aptos" w:hAnsi="Aptos"/>
                  <w:color w:val="10120F"/>
                  <w:u w:val="single"/>
                  <w:b/>
                </w:rPr>
                <w:t>[15]</w:t>
              </w:r>
            </w:hyperlink>
          </w:p>
        </w:tc>
      </w:tr>
    </w:tbl>
    <w:p>
      <w:pPr>
        <w:sectPr>
          <w:pgSz w:w="15840" w:h="12240"/>
          <w:pgMar w:top="792" w:right="792" w:bottom="792" w:left="792" w:header="720" w:footer="720" w:gutter="0"/>
          <w:cols w:space="720"/>
          <w:docGrid w:linePitch="360"/>
        </w:sectPr>
      </w:pPr>
    </w:p>
    <w:p>
      <w:pPr>
        <w:spacing w:before="0" w:after="100"/>
      </w:pPr>
      <w:r>
        <w:rPr>
          <w:rFonts w:ascii="Aptos Display" w:hAnsi="Aptos Display" w:eastAsia="Aptos Display"/>
          <w:b/>
          <w:i w:val="0"/>
          <w:color w:val="10120F"/>
          <w:sz w:val="32"/>
        </w:rPr>
        <w:t>References</w:t>
      </w:r>
    </w:p>
    <w:tbl>
      <w:tblPr>
        <w:tblW w:type="auto" w:w="0"/>
        <w:jc w:val="center"/>
        <w:tblLook w:firstColumn="1" w:firstRow="1" w:lastColumn="0" w:lastRow="0" w:noHBand="0" w:noVBand="1" w:val="04A0"/>
      </w:tblPr>
      <w:tblGrid>
        <w:gridCol w:w="3564"/>
        <w:gridCol w:w="3564"/>
        <w:gridCol w:w="3564"/>
        <w:gridCol w:w="3564"/>
      </w:tblGrid>
      <w:tr>
        <w:tc>
          <w:tcPr>
            <w:tcW w:type="dxa" w:w="792"/>
            <w:shd w:fill="10120F"/>
            <w:tcBorders>
              <w:top w:val="single" w:sz="8" w:color="1B1F17"/>
              <w:left w:val="single" w:sz="8" w:color="1B1F17"/>
              <w:bottom w:val="single" w:sz="8" w:color="1B1F17"/>
              <w:right w:val="single" w:sz="8" w:color="1B1F17"/>
            </w:tcBorders>
            <w:tcMar>
              <w:top w:w="75" w:type="dxa"/>
              <w:start w:w="80" w:type="dxa"/>
              <w:bottom w:w="75" w:type="dxa"/>
              <w:end w:w="80" w:type="dxa"/>
            </w:tcMar>
          </w:tcPr>
          <w:p>
            <w:pPr>
              <w:spacing w:after="0"/>
            </w:pPr>
            <w:r>
              <w:rPr>
                <w:rFonts w:ascii="Aptos" w:hAnsi="Aptos" w:eastAsia="Aptos"/>
                <w:b/>
                <w:i w:val="0"/>
                <w:color w:val="FFFFFF"/>
                <w:sz w:val="16"/>
              </w:rPr>
              <w:t>Citation</w:t>
            </w:r>
          </w:p>
        </w:tc>
        <w:tc>
          <w:tcPr>
            <w:tcW w:type="dxa" w:w="3600"/>
            <w:shd w:fill="10120F"/>
            <w:tcBorders>
              <w:top w:val="single" w:sz="8" w:color="1B1F17"/>
              <w:left w:val="single" w:sz="8" w:color="1B1F17"/>
              <w:bottom w:val="single" w:sz="8" w:color="1B1F17"/>
              <w:right w:val="single" w:sz="8" w:color="1B1F17"/>
            </w:tcBorders>
            <w:tcMar>
              <w:top w:w="75" w:type="dxa"/>
              <w:start w:w="80" w:type="dxa"/>
              <w:bottom w:w="75" w:type="dxa"/>
              <w:end w:w="80" w:type="dxa"/>
            </w:tcMar>
          </w:tcPr>
          <w:p>
            <w:pPr>
              <w:spacing w:after="0"/>
            </w:pPr>
            <w:r>
              <w:rPr>
                <w:rFonts w:ascii="Aptos" w:hAnsi="Aptos" w:eastAsia="Aptos"/>
                <w:b/>
                <w:i w:val="0"/>
                <w:color w:val="FFFFFF"/>
                <w:sz w:val="16"/>
              </w:rPr>
              <w:t>Source</w:t>
            </w:r>
          </w:p>
        </w:tc>
        <w:tc>
          <w:tcPr>
            <w:tcW w:type="dxa" w:w="3744"/>
            <w:shd w:fill="10120F"/>
            <w:tcBorders>
              <w:top w:val="single" w:sz="8" w:color="1B1F17"/>
              <w:left w:val="single" w:sz="8" w:color="1B1F17"/>
              <w:bottom w:val="single" w:sz="8" w:color="1B1F17"/>
              <w:right w:val="single" w:sz="8" w:color="1B1F17"/>
            </w:tcBorders>
            <w:tcMar>
              <w:top w:w="75" w:type="dxa"/>
              <w:start w:w="80" w:type="dxa"/>
              <w:bottom w:w="75" w:type="dxa"/>
              <w:end w:w="80" w:type="dxa"/>
            </w:tcMar>
          </w:tcPr>
          <w:p>
            <w:pPr>
              <w:spacing w:after="0"/>
            </w:pPr>
            <w:r>
              <w:rPr>
                <w:rFonts w:ascii="Aptos" w:hAnsi="Aptos" w:eastAsia="Aptos"/>
                <w:b/>
                <w:i w:val="0"/>
                <w:color w:val="FFFFFF"/>
                <w:sz w:val="16"/>
              </w:rPr>
              <w:t>Date / owner</w:t>
            </w:r>
          </w:p>
        </w:tc>
        <w:tc>
          <w:tcPr>
            <w:tcW w:type="dxa" w:w="5760"/>
            <w:shd w:fill="10120F"/>
            <w:tcBorders>
              <w:top w:val="single" w:sz="8" w:color="1B1F17"/>
              <w:left w:val="single" w:sz="8" w:color="1B1F17"/>
              <w:bottom w:val="single" w:sz="8" w:color="1B1F17"/>
              <w:right w:val="single" w:sz="8" w:color="1B1F17"/>
            </w:tcBorders>
            <w:tcMar>
              <w:top w:w="75" w:type="dxa"/>
              <w:start w:w="80" w:type="dxa"/>
              <w:bottom w:w="75" w:type="dxa"/>
              <w:end w:w="80" w:type="dxa"/>
            </w:tcMar>
          </w:tcPr>
          <w:p>
            <w:pPr>
              <w:spacing w:after="0"/>
            </w:pPr>
            <w:r>
              <w:rPr>
                <w:rFonts w:ascii="Aptos" w:hAnsi="Aptos" w:eastAsia="Aptos"/>
                <w:b/>
                <w:i w:val="0"/>
                <w:color w:val="FFFFFF"/>
                <w:sz w:val="16"/>
              </w:rPr>
              <w:t>Use in report</w:t>
            </w:r>
          </w:p>
        </w:tc>
      </w:tr>
      <w:tr>
        <w:tc>
          <w:tcPr>
            <w:tcW w:type="dxa" w:w="792"/>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1</w:t>
            </w:r>
          </w:p>
        </w:tc>
        <w:tc>
          <w:tcPr>
            <w:tcW w:type="dxa" w:w="360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9">
              <w:r>
                <w:rPr>
                  <w:rFonts w:ascii="Aptos" w:hAnsi="Aptos"/>
                  <w:color w:val="10120F"/>
                  <w:u w:val="single"/>
                </w:rPr>
                <w:t>FDA CFL guidance</w:t>
              </w:r>
            </w:hyperlink>
          </w:p>
        </w:tc>
        <w:tc>
          <w:tcPr>
            <w:tcW w:type="dxa" w:w="3744"/>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FDA | June 2018; FDA page current as of 2024-11-12</w:t>
            </w:r>
          </w:p>
        </w:tc>
        <w:tc>
          <w:tcPr>
            <w:tcW w:type="dxa" w:w="576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Core source for label-consistent product communications and truthful/non-misleading presentation expectations.</w:t>
            </w:r>
          </w:p>
        </w:tc>
      </w:tr>
      <w:tr>
        <w:tc>
          <w:tcPr>
            <w:tcW w:type="dxa" w:w="792"/>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2</w:t>
            </w:r>
          </w:p>
        </w:tc>
        <w:tc>
          <w:tcPr>
            <w:tcW w:type="dxa" w:w="360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10">
              <w:r>
                <w:rPr>
                  <w:rFonts w:ascii="Aptos" w:hAnsi="Aptos"/>
                  <w:color w:val="10120F"/>
                  <w:u w:val="single"/>
                </w:rPr>
                <w:t>FDA payer/HCEI guidance</w:t>
              </w:r>
            </w:hyperlink>
          </w:p>
        </w:tc>
        <w:tc>
          <w:tcPr>
            <w:tcW w:type="dxa" w:w="3744"/>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FDA | June 2018</w:t>
            </w:r>
          </w:p>
        </w:tc>
        <w:tc>
          <w:tcPr>
            <w:tcW w:type="dxa" w:w="576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Core final payer/HCEI source for HCDM communications.</w:t>
            </w:r>
          </w:p>
        </w:tc>
      </w:tr>
      <w:tr>
        <w:tc>
          <w:tcPr>
            <w:tcW w:type="dxa" w:w="792"/>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3</w:t>
            </w:r>
          </w:p>
        </w:tc>
        <w:tc>
          <w:tcPr>
            <w:tcW w:type="dxa" w:w="360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22">
              <w:r>
                <w:rPr>
                  <w:rFonts w:ascii="Aptos" w:hAnsi="Aptos"/>
                  <w:color w:val="10120F"/>
                  <w:u w:val="single"/>
                </w:rPr>
                <w:t>FDA SIUU guidance</w:t>
              </w:r>
            </w:hyperlink>
          </w:p>
        </w:tc>
        <w:tc>
          <w:tcPr>
            <w:tcW w:type="dxa" w:w="3744"/>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FDA | January 2025; not for current implementation pending OMB</w:t>
            </w:r>
          </w:p>
        </w:tc>
        <w:tc>
          <w:tcPr>
            <w:tcW w:type="dxa" w:w="576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Boundary source for distinguishing approved-use promotion from unapproved-use scientific exchange.</w:t>
            </w:r>
          </w:p>
        </w:tc>
      </w:tr>
      <w:tr>
        <w:tc>
          <w:tcPr>
            <w:tcW w:type="dxa" w:w="792"/>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4</w:t>
            </w:r>
          </w:p>
        </w:tc>
        <w:tc>
          <w:tcPr>
            <w:tcW w:type="dxa" w:w="360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18">
              <w:r>
                <w:rPr>
                  <w:rFonts w:ascii="Aptos" w:hAnsi="Aptos"/>
                  <w:color w:val="10120F"/>
                  <w:u w:val="single"/>
                </w:rPr>
                <w:t>FDA DTC quantitative guidance</w:t>
              </w:r>
            </w:hyperlink>
          </w:p>
        </w:tc>
        <w:tc>
          <w:tcPr>
            <w:tcW w:type="dxa" w:w="3744"/>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FDA | December 2023</w:t>
            </w:r>
          </w:p>
        </w:tc>
        <w:tc>
          <w:tcPr>
            <w:tcW w:type="dxa" w:w="576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Consumer-facing numeracy and risk/benefit presentation principles.</w:t>
            </w:r>
          </w:p>
        </w:tc>
      </w:tr>
      <w:tr>
        <w:tc>
          <w:tcPr>
            <w:tcW w:type="dxa" w:w="792"/>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5</w:t>
            </w:r>
          </w:p>
        </w:tc>
        <w:tc>
          <w:tcPr>
            <w:tcW w:type="dxa" w:w="360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17">
              <w:r>
                <w:rPr>
                  <w:rFonts w:ascii="Aptos" w:hAnsi="Aptos"/>
                  <w:color w:val="10120F"/>
                  <w:u w:val="single"/>
                </w:rPr>
                <w:t>FTC health-products guidance</w:t>
              </w:r>
            </w:hyperlink>
          </w:p>
        </w:tc>
        <w:tc>
          <w:tcPr>
            <w:tcW w:type="dxa" w:w="3744"/>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FTC | December 2022</w:t>
            </w:r>
          </w:p>
        </w:tc>
        <w:tc>
          <w:tcPr>
            <w:tcW w:type="dxa" w:w="576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Truthful/not misleading standard; competent and reliable scientific evidence; implied-claim and disclosure principles.</w:t>
            </w:r>
          </w:p>
        </w:tc>
      </w:tr>
      <w:tr>
        <w:tc>
          <w:tcPr>
            <w:tcW w:type="dxa" w:w="792"/>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6</w:t>
            </w:r>
          </w:p>
        </w:tc>
        <w:tc>
          <w:tcPr>
            <w:tcW w:type="dxa" w:w="360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23">
              <w:r>
                <w:rPr>
                  <w:rFonts w:ascii="Aptos" w:hAnsi="Aptos"/>
                  <w:color w:val="10120F"/>
                  <w:u w:val="single"/>
                </w:rPr>
                <w:t>FTC endorsement guides</w:t>
              </w:r>
            </w:hyperlink>
          </w:p>
        </w:tc>
        <w:tc>
          <w:tcPr>
            <w:tcW w:type="dxa" w:w="3744"/>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FTC | revised 2023; current webpage</w:t>
            </w:r>
          </w:p>
        </w:tc>
        <w:tc>
          <w:tcPr>
            <w:tcW w:type="dxa" w:w="576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Material connection and influencer/endorser claim responsibility.</w:t>
            </w:r>
          </w:p>
        </w:tc>
      </w:tr>
      <w:tr>
        <w:tc>
          <w:tcPr>
            <w:tcW w:type="dxa" w:w="792"/>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7</w:t>
            </w:r>
          </w:p>
        </w:tc>
        <w:tc>
          <w:tcPr>
            <w:tcW w:type="dxa" w:w="360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11">
              <w:r>
                <w:rPr>
                  <w:rFonts w:ascii="Aptos" w:hAnsi="Aptos"/>
                  <w:color w:val="10120F"/>
                  <w:u w:val="single"/>
                </w:rPr>
                <w:t>AMCP Format 5.0</w:t>
              </w:r>
            </w:hyperlink>
          </w:p>
        </w:tc>
        <w:tc>
          <w:tcPr>
            <w:tcW w:type="dxa" w:w="3744"/>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AMCP | April 2024</w:t>
            </w:r>
          </w:p>
        </w:tc>
        <w:tc>
          <w:tcPr>
            <w:tcW w:type="dxa" w:w="576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Core payer dossier format for clinical/economic evidence and models.</w:t>
            </w:r>
          </w:p>
        </w:tc>
      </w:tr>
      <w:tr>
        <w:tc>
          <w:tcPr>
            <w:tcW w:type="dxa" w:w="792"/>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8</w:t>
            </w:r>
          </w:p>
        </w:tc>
        <w:tc>
          <w:tcPr>
            <w:tcW w:type="dxa" w:w="360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12">
              <w:r>
                <w:rPr>
                  <w:rFonts w:ascii="Aptos" w:hAnsi="Aptos"/>
                  <w:color w:val="10120F"/>
                  <w:u w:val="single"/>
                </w:rPr>
                <w:t>AMCP RWE payer standards</w:t>
              </w:r>
            </w:hyperlink>
          </w:p>
        </w:tc>
        <w:tc>
          <w:tcPr>
            <w:tcW w:type="dxa" w:w="3744"/>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AMCP | resource page references September 2025 JMCP standards</w:t>
            </w:r>
          </w:p>
        </w:tc>
        <w:tc>
          <w:tcPr>
            <w:tcW w:type="dxa" w:w="576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Payer-focused RWE standards and checklist concept.</w:t>
            </w:r>
          </w:p>
        </w:tc>
      </w:tr>
      <w:tr>
        <w:tc>
          <w:tcPr>
            <w:tcW w:type="dxa" w:w="792"/>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9</w:t>
            </w:r>
          </w:p>
        </w:tc>
        <w:tc>
          <w:tcPr>
            <w:tcW w:type="dxa" w:w="360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21">
              <w:r>
                <w:rPr>
                  <w:rFonts w:ascii="Aptos" w:hAnsi="Aptos"/>
                  <w:color w:val="10120F"/>
                  <w:u w:val="single"/>
                </w:rPr>
                <w:t>CHEERS 2022</w:t>
              </w:r>
            </w:hyperlink>
          </w:p>
        </w:tc>
        <w:tc>
          <w:tcPr>
            <w:tcW w:type="dxa" w:w="3744"/>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ISPOR/CHEERS Task Force | 2022</w:t>
            </w:r>
          </w:p>
        </w:tc>
        <w:tc>
          <w:tcPr>
            <w:tcW w:type="dxa" w:w="576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Reporting standard for economic evaluations.</w:t>
            </w:r>
          </w:p>
        </w:tc>
      </w:tr>
      <w:tr>
        <w:tc>
          <w:tcPr>
            <w:tcW w:type="dxa" w:w="792"/>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10</w:t>
            </w:r>
          </w:p>
        </w:tc>
        <w:tc>
          <w:tcPr>
            <w:tcW w:type="dxa" w:w="360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13">
              <w:r>
                <w:rPr>
                  <w:rFonts w:ascii="Aptos" w:hAnsi="Aptos"/>
                  <w:color w:val="10120F"/>
                  <w:u w:val="single"/>
                </w:rPr>
                <w:t>ISPOR RWE good practices</w:t>
              </w:r>
            </w:hyperlink>
          </w:p>
        </w:tc>
        <w:tc>
          <w:tcPr>
            <w:tcW w:type="dxa" w:w="3744"/>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ISPOR/ISPE | 2017</w:t>
            </w:r>
          </w:p>
        </w:tc>
        <w:tc>
          <w:tcPr>
            <w:tcW w:type="dxa" w:w="576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RWE study transparency</w:t>
            </w:r>
          </w:p>
        </w:tc>
      </w:tr>
      <w:tr>
        <w:tc>
          <w:tcPr>
            <w:tcW w:type="dxa" w:w="792"/>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11</w:t>
            </w:r>
          </w:p>
        </w:tc>
        <w:tc>
          <w:tcPr>
            <w:tcW w:type="dxa" w:w="360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15">
              <w:r>
                <w:rPr>
                  <w:rFonts w:ascii="Aptos" w:hAnsi="Aptos"/>
                  <w:color w:val="10120F"/>
                  <w:u w:val="single"/>
                </w:rPr>
                <w:t>Certara GVD guidance</w:t>
              </w:r>
            </w:hyperlink>
          </w:p>
        </w:tc>
        <w:tc>
          <w:tcPr>
            <w:tcW w:type="dxa" w:w="3744"/>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Certara/BaseCase | March 25 2026</w:t>
            </w:r>
          </w:p>
        </w:tc>
        <w:tc>
          <w:tcPr>
            <w:tcW w:type="dxa" w:w="576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Practical guidance on single evidence base tailored by audience/geography/channel.</w:t>
            </w:r>
          </w:p>
        </w:tc>
      </w:tr>
      <w:tr>
        <w:tc>
          <w:tcPr>
            <w:tcW w:type="dxa" w:w="792"/>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12</w:t>
            </w:r>
          </w:p>
        </w:tc>
        <w:tc>
          <w:tcPr>
            <w:tcW w:type="dxa" w:w="360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19">
              <w:r>
                <w:rPr>
                  <w:rFonts w:ascii="Aptos" w:hAnsi="Aptos"/>
                  <w:color w:val="10120F"/>
                  <w:u w:val="single"/>
                </w:rPr>
                <w:t>OPEN Health HEOR writing</w:t>
              </w:r>
            </w:hyperlink>
          </w:p>
        </w:tc>
        <w:tc>
          <w:tcPr>
            <w:tcW w:type="dxa" w:w="3744"/>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OPEN Health | January 26 2023</w:t>
            </w:r>
          </w:p>
        </w:tc>
        <w:tc>
          <w:tcPr>
            <w:tcW w:type="dxa" w:w="576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Audience-specific value writing and data-linked narrative principles.</w:t>
            </w:r>
          </w:p>
        </w:tc>
      </w:tr>
      <w:tr>
        <w:tc>
          <w:tcPr>
            <w:tcW w:type="dxa" w:w="792"/>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13</w:t>
            </w:r>
          </w:p>
        </w:tc>
        <w:tc>
          <w:tcPr>
            <w:tcW w:type="dxa" w:w="360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20">
              <w:r>
                <w:rPr>
                  <w:rFonts w:ascii="Aptos" w:hAnsi="Aptos"/>
                  <w:color w:val="10120F"/>
                  <w:u w:val="single"/>
                </w:rPr>
                <w:t>IQVIA RWE dissemination</w:t>
              </w:r>
            </w:hyperlink>
          </w:p>
        </w:tc>
        <w:tc>
          <w:tcPr>
            <w:tcW w:type="dxa" w:w="3744"/>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IQVIA | October 22 2021</w:t>
            </w:r>
          </w:p>
        </w:tc>
        <w:tc>
          <w:tcPr>
            <w:tcW w:type="dxa" w:w="576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RWE communication planning by stakeholder decision and channel.</w:t>
            </w:r>
          </w:p>
        </w:tc>
      </w:tr>
      <w:tr>
        <w:tc>
          <w:tcPr>
            <w:tcW w:type="dxa" w:w="792"/>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14</w:t>
            </w:r>
          </w:p>
        </w:tc>
        <w:tc>
          <w:tcPr>
            <w:tcW w:type="dxa" w:w="360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16">
              <w:r>
                <w:rPr>
                  <w:rFonts w:ascii="Aptos" w:hAnsi="Aptos"/>
                  <w:color w:val="10120F"/>
                  <w:u w:val="single"/>
                </w:rPr>
                <w:t>EVERSANA integrated value propositions</w:t>
              </w:r>
            </w:hyperlink>
          </w:p>
        </w:tc>
        <w:tc>
          <w:tcPr>
            <w:tcW w:type="dxa" w:w="3744"/>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EVERSANA | 2021</w:t>
            </w:r>
          </w:p>
        </w:tc>
        <w:tc>
          <w:tcPr>
            <w:tcW w:type="dxa" w:w="5760"/>
            <w:shd w:fill="EBE4D6"/>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Value/evidence platform and message-source roadmap framework.</w:t>
            </w:r>
          </w:p>
        </w:tc>
      </w:tr>
      <w:tr>
        <w:tc>
          <w:tcPr>
            <w:tcW w:type="dxa" w:w="792"/>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jc w:val="center"/>
            </w:pPr>
            <w:r>
              <w:rPr>
                <w:rFonts w:ascii="Aptos" w:hAnsi="Aptos" w:eastAsia="Aptos"/>
                <w:b/>
                <w:i w:val="0"/>
                <w:color w:val="10120F"/>
                <w:sz w:val="14"/>
              </w:rPr>
              <w:t>15</w:t>
            </w:r>
          </w:p>
        </w:tc>
        <w:tc>
          <w:tcPr>
            <w:tcW w:type="dxa" w:w="360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hyperlink r:id="rId14">
              <w:r>
                <w:rPr>
                  <w:rFonts w:ascii="Aptos" w:hAnsi="Aptos"/>
                  <w:color w:val="10120F"/>
                  <w:u w:val="single"/>
                </w:rPr>
                <w:t>Medicines Australia promotional claims guidance</w:t>
              </w:r>
            </w:hyperlink>
          </w:p>
        </w:tc>
        <w:tc>
          <w:tcPr>
            <w:tcW w:type="dxa" w:w="3744"/>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Medicines Australia | March 2025; revised February 2026</w:t>
            </w:r>
          </w:p>
        </w:tc>
        <w:tc>
          <w:tcPr>
            <w:tcW w:type="dxa" w:w="5760"/>
            <w:shd w:fill="F6F1E8"/>
            <w:tcBorders>
              <w:top w:val="single" w:sz="6" w:color="1B1F17"/>
              <w:left w:val="single" w:sz="6" w:color="1B1F17"/>
              <w:bottom w:val="single" w:sz="6" w:color="1B1F17"/>
              <w:right w:val="single" w:sz="6" w:color="1B1F17"/>
            </w:tcBorders>
            <w:tcMar>
              <w:top w:w="60" w:type="dxa"/>
              <w:start w:w="70" w:type="dxa"/>
              <w:bottom w:w="60" w:type="dxa"/>
              <w:end w:w="70" w:type="dxa"/>
            </w:tcMar>
            <w:vAlign w:val="top"/>
          </w:tcPr>
          <w:p>
            <w:pPr>
              <w:spacing w:after="0"/>
            </w:pPr>
            <w:r>
              <w:rPr>
                <w:rFonts w:ascii="Aptos" w:hAnsi="Aptos" w:eastAsia="Aptos"/>
                <w:b w:val="0"/>
                <w:i w:val="0"/>
                <w:color w:val="10120F"/>
                <w:sz w:val="14"/>
              </w:rPr>
              <w:t>Recent practical non-US industry guidance on claim substantiation</w:t>
            </w:r>
          </w:p>
        </w:tc>
      </w:tr>
    </w:tbl>
    <w:p>
      <w:pPr>
        <w:spacing w:before="160" w:after="0"/>
      </w:pPr>
      <w:r>
        <w:rPr>
          <w:rFonts w:ascii="Aptos" w:hAnsi="Aptos" w:eastAsia="Aptos"/>
          <w:b w:val="0"/>
          <w:i/>
          <w:color w:val="5C6257"/>
          <w:sz w:val="14"/>
        </w:rPr>
        <w:t>Generated from consensus-summary.md and source-log.csv in the label-consistent product evidence archive. Styled to match IRIS_Registry_wet_AMD_methods_cohere_report.docx.</w:t>
      </w:r>
    </w:p>
    <w:sectPr w:rsidR="00FC693F" w:rsidRPr="0006063C" w:rsidSect="00034616">
      <w:pgSz w:w="15840" w:h="122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0120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da.gov/media/133619/download" TargetMode="External"/><Relationship Id="rId10" Type="http://schemas.openxmlformats.org/officeDocument/2006/relationships/hyperlink" Target="https://www.fda.gov/media/102683/download" TargetMode="External"/><Relationship Id="rId11" Type="http://schemas.openxmlformats.org/officeDocument/2006/relationships/hyperlink" Target="https://www.amcp.org/sites/default/files/2024-04/AMCP-Format-5.0-JMCP-web_0.pdf" TargetMode="External"/><Relationship Id="rId12" Type="http://schemas.openxmlformats.org/officeDocument/2006/relationships/hyperlink" Target="https://www.amcp.org/resource/amcp-real-world-evidence-standards-support-payer-decision-making" TargetMode="External"/><Relationship Id="rId13" Type="http://schemas.openxmlformats.org/officeDocument/2006/relationships/hyperlink" Target="https://www.ispor.org/docs/default-source/strategic-initiatives/rwe-data-treatment-comparative-effectiveness-guideline.pdf?sfvrsn=b4b98f3b_2" TargetMode="External"/><Relationship Id="rId14" Type="http://schemas.openxmlformats.org/officeDocument/2006/relationships/hyperlink" Target="https://code.medicinesaustralia.com.au/wp-content/uploads/sites/68/2026/02/Promotional-Claims-Guidance.pdf" TargetMode="External"/><Relationship Id="rId15" Type="http://schemas.openxmlformats.org/officeDocument/2006/relationships/hyperlink" Target="https://www.certara.com/blog/navigating-market-access-for-healthcare-products-the-power-of-the-global-value-dossier/" TargetMode="External"/><Relationship Id="rId16" Type="http://schemas.openxmlformats.org/officeDocument/2006/relationships/hyperlink" Target="https://www.eversana.com/wp-content/uploads/2021/11/WP_Integrated-Value-Props_EVERSANA.pdf" TargetMode="External"/><Relationship Id="rId17" Type="http://schemas.openxmlformats.org/officeDocument/2006/relationships/hyperlink" Target="https://www.ftc.gov/system/files/ftc_gov/pdf/Health-Products-Compliance-Guidance.pdf" TargetMode="External"/><Relationship Id="rId18" Type="http://schemas.openxmlformats.org/officeDocument/2006/relationships/hyperlink" Target="https://www.fda.gov/media/169803/download" TargetMode="External"/><Relationship Id="rId19" Type="http://schemas.openxmlformats.org/officeDocument/2006/relationships/hyperlink" Target="https://www.openhealthgroup.com/news/26-01-2023/harness-the-power-of-heor-writing/" TargetMode="External"/><Relationship Id="rId20" Type="http://schemas.openxmlformats.org/officeDocument/2006/relationships/hyperlink" Target="https://www.iqvia.com/locations/united-states/blogs/2021/10/evidence-dissemination-how-to-make-the-most-of-your-real-world-evidence" TargetMode="External"/><Relationship Id="rId21" Type="http://schemas.openxmlformats.org/officeDocument/2006/relationships/hyperlink" Target="https://pmc.ncbi.nlm.nih.gov/articles/PMC9550741/" TargetMode="External"/><Relationship Id="rId22" Type="http://schemas.openxmlformats.org/officeDocument/2006/relationships/hyperlink" Target="https://www.fda.gov/media/184871/download" TargetMode="External"/><Relationship Id="rId23" Type="http://schemas.openxmlformats.org/officeDocument/2006/relationships/hyperlink" Target="https://www.ftc.gov/business-guidance/resources/ftcs-endorsement-gui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