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F1E8"/>
  <w:body>
    <w:p>
      <w:pPr>
        <w:spacing w:after="160"/>
      </w:pPr>
      <w:r>
        <w:rPr>
          <w:b/>
          <w:color w:val="10120F"/>
          <w:sz w:val="16"/>
        </w:rPr>
        <w:t>Retina RWE  ·  Internal Methods Reference</w:t>
      </w:r>
    </w:p>
    <w:p>
      <w:pPr>
        <w:spacing w:after="140" w:line="276" w:lineRule="auto"/>
      </w:pPr>
      <w:r>
        <w:rPr>
          <w:b/>
          <w:color w:val="10120F"/>
          <w:sz w:val="44"/>
        </w:rPr>
        <w:t>Vestrum DME Methods Comparison</w:t>
      </w:r>
    </w:p>
    <w:p>
      <w:pPr>
        <w:spacing w:after="200" w:line="319" w:lineRule="auto"/>
      </w:pPr>
      <w:r>
        <w:rPr>
          <w:color w:val="5C6257"/>
          <w:sz w:val="20"/>
        </w:rPr>
        <w:t>A source-backed methods report comparing publications that used Vestrum data to evaluate diabetic macular edema, with emphasis on cohort construction, operational outcome definitions, available code lists, and practical implications for future DME studies.</w:t>
      </w:r>
      <w:r>
        <w:t xml:space="preserve"> </w:t>
      </w:r>
      <w:hyperlink r:id="rId48">
        <w:r>
          <w:rPr>
            <w:color w:val="2B5C8A"/>
            <w:u w:val="single"/>
            <w:sz w:val="18"/>
          </w:rPr>
          <w:t>[Vestrum media]</w:t>
        </w:r>
      </w:hyperlink>
      <w:r>
        <w:t xml:space="preserve"> </w:t>
      </w:r>
      <w:hyperlink r:id="rId49">
        <w:r>
          <w:rPr>
            <w:color w:val="2B5C8A"/>
            <w:u w:val="single"/>
            <w:sz w:val="18"/>
          </w:rPr>
          <w:t>[detailed extraction]</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4" w:space="0" w:color="1B1F17"/>
          <w:insideV w:val="single" w:sz="4" w:space="0" w:color="1B1F17"/>
        </w:tblBorders>
        <w:tblCellMar>
          <w:left w:w="10" w:type="dxa"/>
          <w:right w:w="10" w:type="dxa"/>
        </w:tblCellMar>
      </w:tblPr>
      <w:tblGrid>
        <w:gridCol w:w="10080"/>
      </w:tblGrid>
      <w:tr>
        <w:tc>
          <w:tcPr>
            <w:tcW w:type="dxa" w:w="10080"/>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140"/>
            </w:pPr>
            <w:r/>
            <w:r>
              <w:rPr>
                <w:b/>
                <w:color w:val="D7FF5F"/>
                <w:sz w:val="16"/>
              </w:rPr>
              <w:t>Key finding</w:t>
            </w:r>
          </w:p>
          <w:p>
            <w:pPr>
              <w:spacing w:line="319" w:lineRule="auto"/>
            </w:pPr>
            <w:r>
              <w:rPr>
                <w:color w:val="F6F1E8"/>
                <w:sz w:val="19"/>
              </w:rPr>
              <w:t>Across the reviewed Vestrum DME corpus, public papers generally do not disclose reusable DME ICD code lists or NDC drug dictionaries. The articles instead describe diagnosis, medication, procedure, and treatment fields from the Vestrum EMR, while the most explicit code-level details appear in the cost-modeling papers.</w:t>
            </w:r>
            <w:r>
              <w:t xml:space="preserve"> </w:t>
            </w:r>
            <w:hyperlink r:id="rId49">
              <w:r>
                <w:rPr>
                  <w:color w:val="D7FF5F"/>
                  <w:u w:val="single"/>
                  <w:sz w:val="17"/>
                </w:rPr>
                <w:t>[detailed extraction]</w:t>
              </w:r>
            </w:hyperlink>
            <w:hyperlink r:id="rId50">
              <w:r>
                <w:rPr>
                  <w:color w:val="D7FF5F"/>
                  <w:u w:val="single"/>
                  <w:sz w:val="17"/>
                </w:rPr>
                <w:t>[Grewal cost analysis]</w:t>
              </w:r>
            </w:hyperlink>
          </w:p>
        </w:tc>
      </w:tr>
    </w:tbl>
    <w:p/>
    <w:p>
      <w:pPr>
        <w:spacing w:before="360" w:after="160" w:line="276" w:lineRule="auto"/>
      </w:pPr>
      <w:r>
        <w:rPr>
          <w:b/>
          <w:color w:val="10120F"/>
          <w:sz w:val="30"/>
        </w:rPr>
        <w:t>1.  Executive Summary</w:t>
      </w:r>
    </w:p>
    <w:p>
      <w:pPr>
        <w:spacing w:after="140" w:line="283" w:lineRule="auto"/>
        <w:ind w:left="461" w:hanging="317"/>
        <w:tabs>
          <w:tab w:val="left" w:pos="461"/>
        </w:tabs>
      </w:pPr>
      <w:r>
        <w:rPr>
          <w:b/>
          <w:color w:val="10120F"/>
          <w:sz w:val="20"/>
        </w:rPr>
        <w:t>•</w:t>
        <w:tab/>
      </w:r>
      <w:r>
        <w:rPr>
          <w:color w:val="5C6257"/>
          <w:sz w:val="19"/>
        </w:rPr>
        <w:t>The core Vestrum website set contains four qualifying DME database analyses and one DME-tagged commentary that was logged but excluded from methods extraction.</w:t>
      </w:r>
      <w:r>
        <w:t xml:space="preserve"> </w:t>
      </w:r>
      <w:hyperlink r:id="rId48">
        <w:r>
          <w:rPr>
            <w:color w:val="2B5C8A"/>
            <w:u w:val="single"/>
            <w:sz w:val="17"/>
          </w:rPr>
          <w:t>[Vestrum media]</w:t>
        </w:r>
      </w:hyperlink>
      <w:r>
        <w:t xml:space="preserve"> </w:t>
      </w:r>
      <w:hyperlink r:id="rId51">
        <w:r>
          <w:rPr>
            <w:color w:val="2B5C8A"/>
            <w:u w:val="single"/>
            <w:sz w:val="17"/>
          </w:rPr>
          <w:t>[source log]</w:t>
        </w:r>
      </w:hyperlink>
    </w:p>
    <w:p>
      <w:pPr>
        <w:spacing w:after="140" w:line="283" w:lineRule="auto"/>
        <w:ind w:left="461" w:hanging="317"/>
        <w:tabs>
          <w:tab w:val="left" w:pos="461"/>
        </w:tabs>
      </w:pPr>
      <w:r>
        <w:rPr>
          <w:b/>
          <w:color w:val="10120F"/>
          <w:sz w:val="20"/>
        </w:rPr>
        <w:t>•</w:t>
        <w:tab/>
      </w:r>
      <w:r>
        <w:rPr>
          <w:color w:val="5C6257"/>
          <w:sz w:val="19"/>
        </w:rPr>
        <w:t>The most reproducible one-year anti-VEGF outcomes design is treatment-naive DME/DMO, index at first anti-VEGF treatment, one-year follow-up in months 11-12, baseline VA stratification, injection-frequency stratification, and bilateral/switcher sensitivity analysis.</w:t>
      </w:r>
      <w:r>
        <w:t xml:space="preserve"> </w:t>
      </w:r>
      <w:hyperlink r:id="rId52">
        <w:r>
          <w:rPr>
            <w:color w:val="2B5C8A"/>
            <w:u w:val="single"/>
            <w:sz w:val="17"/>
          </w:rPr>
          <w:t>[BJO 28,658 eyes]</w:t>
        </w:r>
      </w:hyperlink>
    </w:p>
    <w:p>
      <w:pPr>
        <w:spacing w:after="140" w:line="283" w:lineRule="auto"/>
        <w:ind w:left="461" w:hanging="317"/>
        <w:tabs>
          <w:tab w:val="left" w:pos="461"/>
        </w:tabs>
      </w:pPr>
      <w:r>
        <w:rPr>
          <w:b/>
          <w:color w:val="10120F"/>
          <w:sz w:val="20"/>
        </w:rPr>
        <w:t>•</w:t>
        <w:tab/>
      </w:r>
      <w:r>
        <w:rPr>
          <w:color w:val="5C6257"/>
          <w:sz w:val="19"/>
        </w:rPr>
        <w:t>The strongest treatment-pattern design is diagnosis-indexed newly diagnosed DME with treatment categories for untreated eyes, anti-VEGF, steroid, focal laser, and combinations.</w:t>
      </w:r>
      <w:r>
        <w:t xml:space="preserve"> </w:t>
      </w:r>
      <w:hyperlink r:id="rId53">
        <w:r>
          <w:rPr>
            <w:color w:val="2B5C8A"/>
            <w:u w:val="single"/>
            <w:sz w:val="17"/>
          </w:rPr>
          <w:t>[Sodhi]</w:t>
        </w:r>
      </w:hyperlink>
    </w:p>
    <w:p>
      <w:pPr>
        <w:spacing w:after="140" w:line="283" w:lineRule="auto"/>
        <w:ind w:left="461" w:hanging="317"/>
        <w:tabs>
          <w:tab w:val="left" w:pos="461"/>
        </w:tabs>
      </w:pPr>
      <w:r>
        <w:rPr>
          <w:b/>
          <w:color w:val="10120F"/>
          <w:sz w:val="20"/>
        </w:rPr>
        <w:t>•</w:t>
        <w:tab/>
      </w:r>
      <w:r>
        <w:rPr>
          <w:color w:val="5C6257"/>
          <w:sz w:val="19"/>
        </w:rPr>
        <w:t>Baseline VA and treatment intensity are recurring modifiers of real-world VA outcomes; worse baseline VA tends to produce larger gains, while lower injection intensity is associated with smaller gains.</w:t>
      </w:r>
      <w:r>
        <w:t xml:space="preserve"> </w:t>
      </w:r>
      <w:hyperlink r:id="rId52">
        <w:r>
          <w:rPr>
            <w:color w:val="2B5C8A"/>
            <w:u w:val="single"/>
            <w:sz w:val="17"/>
          </w:rPr>
          <w:t>[BJO 28,658 eyes]</w:t>
        </w:r>
      </w:hyperlink>
      <w:r>
        <w:t xml:space="preserve"> </w:t>
      </w:r>
      <w:hyperlink r:id="rId54">
        <w:r>
          <w:rPr>
            <w:color w:val="2B5C8A"/>
            <w:u w:val="single"/>
            <w:sz w:val="17"/>
          </w:rPr>
          <w:t>[longer-term outcomes]</w:t>
        </w:r>
      </w:hyperlink>
    </w:p>
    <w:p>
      <w:pPr>
        <w:spacing w:after="140" w:line="283" w:lineRule="auto"/>
        <w:ind w:left="461" w:hanging="317"/>
        <w:tabs>
          <w:tab w:val="left" w:pos="461"/>
        </w:tabs>
      </w:pPr>
      <w:r>
        <w:rPr>
          <w:b/>
          <w:color w:val="10120F"/>
          <w:sz w:val="20"/>
        </w:rPr>
        <w:t>•</w:t>
        <w:tab/>
      </w:r>
      <w:r>
        <w:rPr>
          <w:color w:val="5C6257"/>
          <w:sz w:val="19"/>
        </w:rPr>
        <w:t>Economic studies show that Vestrum can support utilization and HEOR analyses using visits, imaging, injections, drug mix, VA change, cost assumptions, and sensitivity analyses.</w:t>
      </w:r>
      <w:r>
        <w:t xml:space="preserve"> </w:t>
      </w:r>
      <w:hyperlink r:id="rId50">
        <w:r>
          <w:rPr>
            <w:color w:val="2B5C8A"/>
            <w:u w:val="single"/>
            <w:sz w:val="17"/>
          </w:rPr>
          <w:t>[Grewal]</w:t>
        </w:r>
      </w:hyperlink>
      <w:r>
        <w:t xml:space="preserve"> </w:t>
      </w:r>
      <w:hyperlink r:id="rId55">
        <w:r>
          <w:rPr>
            <w:color w:val="2B5C8A"/>
            <w:u w:val="single"/>
            <w:sz w:val="17"/>
          </w:rPr>
          <w:t>[Leung]</w:t>
        </w:r>
      </w:hyperlink>
    </w:p>
    <w:p>
      <w:pPr>
        <w:spacing w:before="360" w:after="160" w:line="276" w:lineRule="auto"/>
      </w:pPr>
      <w:r>
        <w:rPr>
          <w:b/>
          <w:color w:val="10120F"/>
          <w:sz w:val="30"/>
        </w:rPr>
        <w:t>2.  Interpretation for Future DME Analyses</w:t>
      </w:r>
    </w:p>
    <w:p>
      <w:pPr>
        <w:spacing w:after="200" w:line="319" w:lineRule="auto"/>
      </w:pPr>
      <w:r>
        <w:rPr>
          <w:color w:val="5C6257"/>
          <w:sz w:val="20"/>
        </w:rPr>
        <w:t>For an anti-VEGF effectiveness analysis, the preferred starting point is a treatment-indexed cohort. The BJO 28,658-eye analysis has the broadest one-year template because it removed the loading-dose requirement used by the 2018 paper and retained a large sample for injection-frequency and baseline-VA stratification.</w:t>
      </w:r>
      <w:r>
        <w:t xml:space="preserve"> </w:t>
      </w:r>
      <w:hyperlink r:id="rId52">
        <w:r>
          <w:rPr>
            <w:color w:val="2B5C8A"/>
            <w:u w:val="single"/>
            <w:sz w:val="18"/>
          </w:rPr>
          <w:t>[BJO 28,658 eyes]</w:t>
        </w:r>
      </w:hyperlink>
      <w:r>
        <w:t xml:space="preserve"> </w:t>
      </w:r>
      <w:hyperlink r:id="rId56">
        <w:r>
          <w:rPr>
            <w:color w:val="2B5C8A"/>
            <w:u w:val="single"/>
            <w:sz w:val="18"/>
          </w:rPr>
          <w:t>[2018 outcomes]</w:t>
        </w:r>
      </w:hyperlink>
    </w:p>
    <w:p>
      <w:pPr>
        <w:spacing w:after="200" w:line="319" w:lineRule="auto"/>
      </w:pPr>
      <w:r>
        <w:rPr>
          <w:color w:val="5C6257"/>
          <w:sz w:val="20"/>
        </w:rPr>
        <w:t>For a treatment-pattern or care-pathway analysis, a diagnosis-indexed cohort is more appropriate because it captures untreated eyes and non-anti-VEGF pathways. The Sodhi paper is the clearest example, but it also shows a limitation: ICD coding could not distinguish clinically significant from center-involving DME and imaging data were not available to verify DME severity.</w:t>
      </w:r>
      <w:r>
        <w:t xml:space="preserve"> </w:t>
      </w:r>
      <w:hyperlink r:id="rId53">
        <w:r>
          <w:rPr>
            <w:color w:val="2B5C8A"/>
            <w:u w:val="single"/>
            <w:sz w:val="18"/>
          </w:rPr>
          <w:t>[Sodhi]</w:t>
        </w:r>
      </w:hyperlink>
    </w:p>
    <w:p>
      <w:pPr>
        <w:spacing w:after="200" w:line="319" w:lineRule="auto"/>
      </w:pPr>
      <w:r>
        <w:rPr>
          <w:color w:val="5C6257"/>
          <w:sz w:val="20"/>
        </w:rPr>
        <w:t>For HEOR questions, Vestrum is most useful as a utilization and outcomes input rather than as a stand-alone economic model. The Grewal and Leung analyses use Vestrum real-world visits, imaging, injections, drug mix, and VA outcomes, then layer in CMS, Medicare ASP, societal-cost, utility, and sensitivity-analysis assumptions.</w:t>
      </w:r>
      <w:r>
        <w:t xml:space="preserve"> </w:t>
      </w:r>
      <w:hyperlink r:id="rId50">
        <w:r>
          <w:rPr>
            <w:color w:val="2B5C8A"/>
            <w:u w:val="single"/>
            <w:sz w:val="18"/>
          </w:rPr>
          <w:t>[Grewal]</w:t>
        </w:r>
      </w:hyperlink>
      <w:r>
        <w:t xml:space="preserve"> </w:t>
      </w:r>
      <w:hyperlink r:id="rId55">
        <w:r>
          <w:rPr>
            <w:color w:val="2B5C8A"/>
            <w:u w:val="single"/>
            <w:sz w:val="18"/>
          </w:rPr>
          <w:t>[Leung]</w:t>
        </w:r>
      </w:hyperlink>
    </w:p>
    <w:p>
      <w:pPr>
        <w:spacing w:before="360" w:after="160" w:line="276" w:lineRule="auto"/>
      </w:pPr>
      <w:r>
        <w:rPr>
          <w:b/>
          <w:color w:val="10120F"/>
          <w:sz w:val="30"/>
        </w:rPr>
        <w:t>3.  Access and Evidence Caveats</w:t>
      </w:r>
    </w:p>
    <w:p>
      <w:pPr>
        <w:spacing w:after="200" w:line="319" w:lineRule="auto"/>
      </w:pPr>
      <w:r>
        <w:rPr>
          <w:color w:val="5C6257"/>
          <w:sz w:val="20"/>
        </w:rPr>
        <w:t>Several older Vestrum PDF URLs now redirect away from the original files, so the local evidence folder preserves mirrors, PMC pages, PubMed pages, and access-status notes. The 2026 faricimab paper is currently abstract/indexed-page level for this report because SAGE full text and supplemental DOCX files were blocked locally, and PMC indicates full text availability on 2027-04-09.</w:t>
      </w:r>
      <w:r>
        <w:t xml:space="preserve"> </w:t>
      </w:r>
      <w:hyperlink r:id="rId51">
        <w:r>
          <w:rPr>
            <w:color w:val="2B5C8A"/>
            <w:u w:val="single"/>
            <w:sz w:val="18"/>
          </w:rPr>
          <w:t>[source log]</w:t>
        </w:r>
      </w:hyperlink>
      <w:r>
        <w:t xml:space="preserve"> </w:t>
      </w:r>
      <w:hyperlink r:id="rId57">
        <w:r>
          <w:rPr>
            <w:color w:val="2B5C8A"/>
            <w:u w:val="single"/>
            <w:sz w:val="18"/>
          </w:rPr>
          <w:t>[faricimab PubMed]</w:t>
        </w:r>
      </w:hyperlink>
    </w:p>
    <w:p>
      <w:pPr>
        <w:sectPr>
          <w:headerReference w:type="even" r:id="rId40"/>
          <w:headerReference w:type="default" r:id="rId41"/>
          <w:footerReference w:type="even" r:id="rId42"/>
          <w:footerReference w:type="default" r:id="rId43"/>
          <w:headerReference w:type="first" r:id="rId44"/>
          <w:footerReference w:type="first" r:id="rId45"/>
          <w:pgSz w:w="12240" w:h="15840"/>
          <w:pgMar w:top="1080" w:right="1080" w:bottom="1080" w:left="1080" w:header="708" w:footer="708" w:gutter="0"/>
          <w:cols w:space="720"/>
          <w:docGrid w:linePitch="360"/>
        </w:sectPr>
      </w:pPr>
    </w:p>
    <w:p>
      <w:pPr>
        <w:spacing w:before="360" w:after="160" w:line="276" w:lineRule="auto"/>
      </w:pPr>
      <w:r>
        <w:rPr>
          <w:b/>
          <w:color w:val="10120F"/>
          <w:sz w:val="30"/>
        </w:rPr>
        <w:t>4.  Publication Inventory</w:t>
      </w:r>
    </w:p>
    <w:p>
      <w:pPr>
        <w:spacing w:after="160" w:line="276" w:lineRule="auto"/>
      </w:pPr>
      <w:r>
        <w:rPr>
          <w:b/>
          <w:color w:val="10120F"/>
          <w:sz w:val="17"/>
        </w:rPr>
        <w:t>Publication inventory and access basis.</w:t>
      </w:r>
      <w:r>
        <w:t xml:space="preserve"> </w:t>
      </w:r>
      <w:hyperlink r:id="rId48">
        <w:r>
          <w:rPr>
            <w:color w:val="2B5C8A"/>
            <w:u w:val="single"/>
            <w:sz w:val="16"/>
          </w:rPr>
          <w:t>[Vestrum media]</w:t>
        </w:r>
      </w:hyperlink>
      <w:hyperlink r:id="rId51">
        <w:r>
          <w:rPr>
            <w:color w:val="2B5C8A"/>
            <w:u w:val="single"/>
            <w:sz w:val="16"/>
          </w:rPr>
          <w:t>[source log]</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4" w:space="0" w:color="1B1F17"/>
          <w:insideV w:val="single" w:sz="4" w:space="0" w:color="1B1F17"/>
        </w:tblBorders>
        <w:tblCellMar>
          <w:left w:w="10" w:type="dxa"/>
          <w:right w:w="10" w:type="dxa"/>
        </w:tblCellMar>
      </w:tblPr>
      <w:tblGrid>
        <w:gridCol w:w="2424"/>
        <w:gridCol w:w="2424"/>
        <w:gridCol w:w="2424"/>
        <w:gridCol w:w="2424"/>
        <w:gridCol w:w="2424"/>
        <w:gridCol w:w="2424"/>
      </w:tblGrid>
      <w:tr>
        <w:trPr>
          <w:cantSplit/>
          <w:tblHeader/>
        </w:trPr>
        <w:tc>
          <w:tcPr>
            <w:tcW w:type="dxa" w:w="792"/>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ID</w:t>
            </w:r>
          </w:p>
        </w:tc>
        <w:tc>
          <w:tcPr>
            <w:tcW w:type="dxa" w:w="936"/>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Scope</w:t>
            </w:r>
          </w:p>
        </w:tc>
        <w:tc>
          <w:tcPr>
            <w:tcW w:type="dxa" w:w="374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Publication</w:t>
            </w:r>
          </w:p>
        </w:tc>
        <w:tc>
          <w:tcPr>
            <w:tcW w:type="dxa" w:w="302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Evidence access</w:t>
            </w:r>
          </w:p>
        </w:tc>
        <w:tc>
          <w:tcPr>
            <w:tcW w:type="dxa" w:w="122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Best source</w:t>
            </w:r>
          </w:p>
        </w:tc>
        <w:tc>
          <w:tcPr>
            <w:tcW w:type="dxa" w:w="3168"/>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3"/>
              </w:rPr>
            </w:r>
            <w:r>
              <w:rPr>
                <w:b/>
                <w:color w:val="D7FF5F"/>
                <w:sz w:val="13"/>
              </w:rPr>
              <w:t>Caveat</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core-01</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Increasing Incidence and Prevalence of Common Retinal Diseases in Retina Practices Across the United States (2021)</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article not publicly downloaded; Healio blocked scripted access. Institutional abstract/methods page and WIO poster evidence reviewed.</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8">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DME operational definition is diagnosis-based but code list is not public. Accessible source is abstract-level, limiting method granularity.</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core-02</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Evaluation of Patients Receiving Intravitreal Anti-VEGF for Diabetic Macular Edema in Clinical Practice in the United States (2020/2021)</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PDF and PMC full-text HTML reviewed. PMC supplemental link visible, but direct scripted supplement download returned proof-of-work HTML.</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9">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Large attrition from 155,240 assessed DME eyes to 3,028 year-1 and 1,292 year-2 eyes due to first-treatment, VA, sex, quarterly follow-up, and treatment-break rules.</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core-04</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Visual Acuity Outcomes and Anti-VEGF Therapy Intensity in Diabetic Macular Edema: A Real-World Analysis of 28,658 Patient Eyes (2020/2021)</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PMC full-text HTML reviewed; PMC PDF endpoint blocked by proof-of-work HTML.</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2">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No public DME code list; real-world VA and diagnostic criteria not standardized; nonrandom medication selection.</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core-05</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Core</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Real-world Outcomes of Anti-VEGF Therapy in Diabetic Macular Edema in the United States (2018)</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PDF and PubMed page reviewed.</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6">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Classified by initial anti-VEGF agent and did not account for switching; retrospective selection bias; loading-injection criterion limits generalizability.</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context-06</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Evolving Treatment Patterns in Diabetic Macular Edema Between 2015 and 2020 (2023)</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PDF reviewed; PMC public full text identified.</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60">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ICD coding could not distinguish DME subtype/severity; imaging unavailable; combination therapy timing not distinguished.</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context-07</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Longer-Term Anti-VEGF Outcomes in Neovascular AMD, Diabetic Macular Edema, and Vein Occlusion-Related Macular Edema (2022)</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Open-access full PDF reviewed.</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4">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No code lists; prior outside-practice treatment cannot be fully ruled out; longer follow-up cohorts are selected by continued observation.</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context-08</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Bevacizumab-First Treatment Protocol AC Versus Real-World Treatment for Diabetic Macular Edema: Cost Analysis (2024)</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PDF reviewed; PMC public full text identified.</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61">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Cost inputs depend on billing assumptions; anti-VEGF monotherapy selection excludes steroid/laser-treated DME; no DME diagnostic code list.</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context-09</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Cost-Effectiveness of Step Therapy in Diabetic Macular Edema: Protocol AC and Real-World Data (2025)</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PDF reviewed; appendix methods and appendix tables embedded near end of ASRS PDF.</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5">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Economic model, not a new patient-level Vestrum cohort; assumptions about long-term VA, injections, costs, and productivity drive results.</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context-10</w:t>
            </w:r>
          </w:p>
        </w:tc>
        <w:tc>
          <w:tcPr>
            <w:tcW w:type="dxa" w:w="936"/>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Context</w:t>
            </w:r>
          </w:p>
        </w:tc>
        <w:tc>
          <w:tcPr>
            <w:tcW w:type="dxa" w:w="374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Visual Acuity and Durability Outcomes of Faricimab Compared With Other Anti-VEGF Agents Within Routine Clinical Practice for Diabetic Macular Edema (2026)</w:t>
            </w:r>
          </w:p>
        </w:tc>
        <w:tc>
          <w:tcPr>
            <w:tcW w:type="dxa" w:w="30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PubMed abstract and SAGE indexed page reviewed. Full text remained gated/blocked locally; PMC full text listed as available 2027-04-09. SAGE supplemental DOCX downloads blocked with HTTP 403.</w:t>
            </w:r>
          </w:p>
        </w:tc>
        <w:tc>
          <w:tcPr>
            <w:tcW w:type="dxa" w:w="1224"/>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3"/>
              </w:rPr>
            </w:r>
            <w:hyperlink r:id="rId57">
              <w:r>
                <w:rPr>
                  <w:color w:val="2B5C8A"/>
                  <w:u w:val="single"/>
                  <w:sz w:val="14"/>
                </w:rPr>
                <w:t>open source</w:t>
              </w:r>
            </w:hyperlink>
          </w:p>
        </w:tc>
        <w:tc>
          <w:tcPr>
            <w:tcW w:type="dxa" w:w="316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3"/>
              </w:rPr>
            </w:r>
            <w:r>
              <w:rPr>
                <w:b w:val="0"/>
                <w:color w:val="10120F"/>
                <w:sz w:val="13"/>
              </w:rPr>
              <w:t>Full methods and supplements are not locally accessible; extraction is abstract/indexed-page level only. PMID 41971251; DOI 10.1177/24741264261428771; PMCID PMC13068784 available 2027-04-09.</w:t>
            </w:r>
          </w:p>
        </w:tc>
      </w:tr>
    </w:tbl>
    <w:p>
      <w:pPr>
        <w:sectPr>
          <w:pgSz w:w="15840" w:h="12240" w:orient="landscape"/>
          <w:pgMar w:top="792" w:right="648" w:bottom="792" w:left="648" w:header="708" w:footer="708" w:gutter="0"/>
          <w:cols w:space="720"/>
          <w:docGrid w:linePitch="360"/>
        </w:sectPr>
      </w:pPr>
    </w:p>
    <w:p>
      <w:pPr>
        <w:spacing w:before="360" w:after="160" w:line="276" w:lineRule="auto"/>
      </w:pPr>
      <w:r>
        <w:rPr>
          <w:b/>
          <w:color w:val="10120F"/>
          <w:sz w:val="30"/>
        </w:rPr>
        <w:t>5.  Detailed Operational Definitions</w:t>
      </w:r>
    </w:p>
    <w:p>
      <w:pPr>
        <w:spacing w:after="160" w:line="276" w:lineRule="auto"/>
      </w:pPr>
      <w:r>
        <w:rPr>
          <w:b/>
          <w:color w:val="10120F"/>
          <w:sz w:val="17"/>
        </w:rPr>
        <w:t>Operational definitions extracted from full text where available.</w:t>
      </w:r>
      <w:r>
        <w:t xml:space="preserve"> </w:t>
      </w:r>
      <w:hyperlink r:id="rId49">
        <w:r>
          <w:rPr>
            <w:color w:val="2B5C8A"/>
            <w:u w:val="single"/>
            <w:sz w:val="16"/>
          </w:rPr>
          <w:t>[detailed extraction]</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4" w:space="0" w:color="1B1F17"/>
          <w:insideV w:val="single" w:sz="4" w:space="0" w:color="1B1F17"/>
        </w:tblBorders>
        <w:tblCellMar>
          <w:left w:w="10" w:type="dxa"/>
          <w:right w:w="10" w:type="dxa"/>
        </w:tblCellMar>
      </w:tblPr>
      <w:tblGrid>
        <w:gridCol w:w="2078"/>
        <w:gridCol w:w="2078"/>
        <w:gridCol w:w="2078"/>
        <w:gridCol w:w="2078"/>
        <w:gridCol w:w="2078"/>
        <w:gridCol w:w="2078"/>
        <w:gridCol w:w="2078"/>
      </w:tblGrid>
      <w:tr>
        <w:trPr>
          <w:cantSplit/>
          <w:tblHeader/>
        </w:trPr>
        <w:tc>
          <w:tcPr>
            <w:tcW w:type="dxa" w:w="648"/>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ID</w:t>
            </w:r>
          </w:p>
        </w:tc>
        <w:tc>
          <w:tcPr>
            <w:tcW w:type="dxa" w:w="2448"/>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DME definition / codes</w:t>
            </w:r>
          </w:p>
        </w:tc>
        <w:tc>
          <w:tcPr>
            <w:tcW w:type="dxa" w:w="266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Treatment definition / codes</w:t>
            </w:r>
          </w:p>
        </w:tc>
        <w:tc>
          <w:tcPr>
            <w:tcW w:type="dxa" w:w="2448"/>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Index + follow-up</w:t>
            </w:r>
          </w:p>
        </w:tc>
        <w:tc>
          <w:tcPr>
            <w:tcW w:type="dxa" w:w="2880"/>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VA / outcome algorithm</w:t>
            </w:r>
          </w:p>
        </w:tc>
        <w:tc>
          <w:tcPr>
            <w:tcW w:type="dxa" w:w="1800"/>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Statistics</w:t>
            </w:r>
          </w:p>
        </w:tc>
        <w:tc>
          <w:tcPr>
            <w:tcW w:type="dxa" w:w="2232"/>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1"/>
              </w:rPr>
            </w:r>
            <w:r>
              <w:rPr>
                <w:b/>
                <w:color w:val="D7FF5F"/>
                <w:sz w:val="11"/>
              </w:rPr>
              <w:t>Appendix / supplement</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core-01</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Eyes with diagnoses of DME in Vestrum Health Database. The WIO poster says inclusion used diagnosis codes for disease categories, but it does not publish the actual DME code list. Codes: No. No public ICD/code list found in accessible journal abstract, institutional pages, Vestrum media page, or WIO poster.</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Not applicable; epidemiology/incidence-prevalence study rather than a treatment-outcomes cohort. Codes/source: Not applicable; no treatment/procedure/drug code definitions reported.</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Not reported in accessible abstract-level source; disease incidence/prevalence counted during 2014-2019. Follow-up: Study period January 2014-December 2019. Attrition/follow-up rules not available in accessible abstract-level source.</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Not central to this accessible epidemiology extraction. Outcomes: Incidence and prevalence by retinal-disease diagnosis category. Accessible sources do not provide formulas for annual incidence/prevalence denominators beyond eyes examined and disease-category counts.</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Incidence/prevalence estimation; detailed statistical testing not available from accessible source.</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public appendix/code list found. WIO poster available at https://avenue.live/wio/2020/presentations/rosenblatt-increasing-prevalence-and-changing-incidence-of-common-retinal-diseases-in-retina-practices-across-the-united-states.pdf.</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core-02</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Eyes newly diagnosed with DME in the Vestrum EMR and administered a first anti-VEGF injection. The article does not define DME with a public ICD/code list. Codes: No. DME identified from Vestrum diagnosis fields, but actual diagnostic codes are not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First anti-VEGF injection identified from Vestrum procedure/medication data using SQL queries. Agents named in article/keywords include aflibercept, bevacizumab, and ranibizumab. Codes/source: No CPT/J-code/NDC list reported. Supplementary_materials.docx is linked from PMC at https://pmc.ncbi.nlm.nih.gov/articles/instance/9979048/bin/Supplementary_materials.docx but appears to be a small baseline supplement, not a code dictionary; direct local download was blocked by NCBI proof-of-work HTML.</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Index date was first anti-VEGF injection between 2012-01-01 and 2015-04-30. Follow-up: Observed 12-24 months after index injection. Required VA on index date, at month 12, and at least once during each quarter. Month-12 VA was the reading closest to 12 months within months 11-12. Excluded treatment break &gt;11 months at any point during 24 months after index injection.</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Accepted VA measurements were distance corrected, near corrected, or pinhole. Same VA methodology required for each patient. Approximate ETDRS letters = 85 - (50 * logMAR). Outcomes: Main outcomes were injection frequency and mean VA change in ETDRS letters over year 1 and year 2. Cohorts were year 1 and year 2, each split into &lt;=6 versus &gt;6 injections per year. Year-2 analyses compared maintained versus reduced/increased injection frequency.</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Descriptive statistics; paired t-tests within cohorts; independent t-tests assuming unequal variance between cohorts; Microsoft Excel; p &lt; 0.05.</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PMC article links Supplementary_materials.docx at https://pmc.ncbi.nlm.nih.gov/articles/instance/9979048/bin/Supplementary_materials.docx. No public code-list appendix found.</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core-04</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Treatment-naive DME/DMO patient eyes in Vestrum EMR receiving anti-VEGF and meeting follow-up criteria. The article notes non-standardized diagnostic criteria for DMO as a limitation. Codes: No. No public ICD/code list or diagnosis dictionary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Anti-VEGF medications extracted from in-office/outpatient medication/treatment data. Initial agents: aflibercept, bevacizumab, ranibizumab. Switchers assessed in sensitivity analysis. Codes/source: No CPT/J-code/NDC list reported.</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Initial anti-VEGF treatment between January 2013 and July 2018. Follow-up: Required 1-year follow-up data within months 11-12. One-year injection frequency evaluated from 1 to 13 injections; 32 eyes with &gt;13 injections were not assigned a separate cohort and were excluded from further subgroup analyses.</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Snellen VA converted to approximate ETDRS letters using 85 + 50 * log(Snellen fraction), citing Gregori et al. Outcomes: Mean 1-year VA change overall, by initial anti-VEGF medication, by injection frequency, by baseline VA, by injection frequency plus baseline VA, and by calendar-year medication utilization trends.</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Descriptive baseline summaries; mean VA change with 95% CIs and nominal paired t-test p values; sensitivity analyses excluding bilateral cases and switchers.</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public supplement or code-list appendix found in saved PMC full text.</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core-05</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Treatment-naive DME patient eyes in Vestrum EMR that met initial anti-VEGF and follow-up criteria. Codes: No. No public diagnostic code list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Initial intravitreal anti-VEGF grouped as aflibercept, bevacizumab, or ranibizumab. Other extracted treatments were corticosteroids, macular laser, and PRP laser. Corticosteroids specified as triamcinolone with or without preservative and 0.7-mg dexamethasone implant. Codes/source: No CPT/J-code/NDC list reported.</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DME diagnosis/initial anti-VEGF treatment; eligible treatment between January 2011 and March 2017, with follow-up available before March 2018. Follow-up: Mutually exclusive 6-, 12-, and 24-month cohorts. Eyes with VA measurements through 6 months but no follow-up beyond were 6-month cohort; through 12 months but none beyond were 12-month cohort; through 24 months were 24-month cohort. Death, relocation, or transfer of care classified as lost to follow-up.</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ETDRS approximation = 85 + 50 * log(Snellen fraction). VA measurements were not standardized in this retrospective uncontrolled review. Outcomes: VA change and number of anti-VEGF injections, corticosteroid injections, macular laser sessions, and PRP laser sessions, stratified by initial anti-VEGF agent and baseline VA.</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Descriptive summaries; mean change from baseline with 95% CIs and nominal paired t-test p values; stratified by baseline VA.</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public supplement or code-list appendix found.</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context-06</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Newly diagnosed DME in Vestrum EMR. Article states ICD coding could not distinguish clinically significant vs center-involving DME, and imaging data were not available to verify/quantify DME severity. Codes: No. ICD code list not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 categories: anti-VEGF, steroid, focal laser, any combination, and untreated. Combination therapy defined as any combination of anti-VEGF, steroids, or focal laser used at any time; simultaneous versus sequential combination not distinguished. Anti-VEGF agent distribution reported by bevacizumab, ranibizumab, and aflibercept. Codes/source: No CPT/J-code/NDC list reported.</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New DME diagnosis. Follow-up: Records January 2015-October 2021; treatment-pattern years January 2015-October 2020; main cohort required &gt;=1 year follow-up; 5-year cumulative subset required follow-up from 2015 through 2021.</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Baseline age/sex/Snellen VA captured; results expressed as ETDRS letters. No explicit Snellen-to-ETDRS formula printed in this article. Outcomes: Year-over-year and 5-year cumulative treatment distribution, untreated proportion, anti-VEGF agent distribution, and mean VA change from baseline.</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Descriptive statistics; equality-of-proportions testing using Stata 17; p &lt; .05.</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appendix/code supplement located.</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context-07</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Treatment-naive DME eyes among disease cohorts receiving at least one anti-VEGF injection. Codes: No. No public disease-code list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Anti-VEGF agents captured, but analysis intentionally not stratified by aflibercept, ranibizumab, or bevacizumab because prior Vestrum studies found no meaningful 1-year VA differences by agent or after excluding switchers. Codes/source: No CPT/J-code/NDC list reported.</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First anti-VEGF treatment between 2014 and 2019. Follow-up: Eligible with follow-up data through &gt;=12 months. Distinct 1-, 2-, 3-, 4-, and 5-year cohorts for nAMD/DME; 1-, 2-, and 3-year cohorts for BRVO/CRVO. Cohorts were not mutually exclusive.</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Snellen converted to approximate ETDRS letters using 85 + 50 * log(Snellen fraction). Outcomes: Mean VA change from baseline; mean/median injection frequency; injection-frequency histograms; VA change stratified by injection count and baseline VA.</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Descriptive statistics; paired t-tests for mean VA change; 95% CIs; nominal p values.</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appendix/code supplement located.</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context-08</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Vestrum treatment-naive eyes with DME diagnosis at presentation and baseline VA 20/50-20/320, matched to Protocol AC. Codes: No. No public DME code list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Anti-VEGF monotherapy only. Modeled agents: bevacizumab, aflibercept 2 mg, ranibizumab 0.3 mg. Faricimab, aflibercept 8 mg, and biosimilars were not modeled. Codes/source: Yes, for cost modeling: intravitreal injection CPT 67028; new E/M 99204; established E/M 99214; OCT CPT 92134; fundus photo CPT 92250; aflibercept 2 mg J0178; ranibizumab 0.3 mg J2778; bevacizumab 1.25 mg J9035. Costs from 2022 CMS Physician Fee Schedule and December 2022 Medicare Part B ASP.</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Anti-VEGF initiation in 2016. Follow-up: 2-year follow-up. 1,556 DME eyes with baseline VA 20/50-20/320 initiated anti-VEGF in 2016; 494 excluded for steroid/laser treatment in addition to anti-VEGF; 1,062 included; VA-gain-matched subset n=346 created by progressively excluding eyes with lowest VA improvement/highest loss.</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Baseline VA matched to Protocol AC range. Real-world mean baseline VA 53.9 letters (~20/80) improved to 59.8 letters (~20/63) at year 2. Outcomes: Modeled 2-year costs of visits, imaging, injections, and drug use; VA gain; real-world versus Protocol AC cost comparison; VA-gain matched secondary analysis.</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Cost model. Primary analysis assumed E/M at every injection with modifier 25 and allowed fundus photos billed with OCT. One-way sensitivity analyses removed E/M billing at injection visits and removed fundus photos billed with OCT.</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separate appendix/code supplement located. CPT/J-code cost components are in Table 1 of the article/PDF.</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context-09</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No new patient-level Vestrum extraction; inherits real-world cohort definition from cost analysis: treatment-naive DME, baseline VA 20/50-20/320, anti-VEGF monotherapy starting in 2016. Codes: No. No public DME code list reported.</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Compared simulated Protocol AC bevacizumab-first step therapy to Vestrum real-world treatment regimen. Both groups assumed 5.6%/year switching from bevacizumab to FDA-approved therapy in lifetime assumptions. Codes/source: Uses direct medical values from Grewal/context-08, inflated to 2025 and discounted 3% annually. Appendix Methods contains drug costs and adverse-event cost details; PPV CPT 67036 used for endophthalmitis management.</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 initiation in modeled scenarios; Vestrum comparator inherited from anti-VEGF initiation in 2016. Follow-up: Markov model with 2-year and 17-year lifetime horizons; treated eye assumed to be the better-seeing eye.</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Vision-loss categories: mild 6/12-6/18 (~20/40-20/60), moderate worse than 6/18 and better than 6/60 (~20/63-20/200), severe worse than 6/60 (worse than ~20/200). Utility = 0.374 * visual acuity in better-seeing eye + 0.514; death utility 0; bilateral no-light-perception utility 0.26. Outcomes: Formal healthcare costs, informal healthcare costs, non-healthcare/societal costs, QALYs, ICUR, and probability of cost-effectiveness. Endophthalmitis was the only modeled adverse event.</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Theoretical Markov model from 2025 US societal perspective; followed Second Panel and CHEERS; 3% annual discounting; low/high-cost scenarios; Python second-order Monte Carlo probabilistic sensitivity analysis with 100,000 iterations.</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Appendix Methods and Appendix Tables 1-3 are embedded near the end of the ASRS PDF, not separate files. Use the ASRS PDF for scenario ranges and total adjusted societal cost tables.</w:t>
            </w:r>
          </w:p>
        </w:tc>
      </w:tr>
      <w:tr>
        <w:tc>
          <w:tcPr>
            <w:tcW w:type="dxa" w:w="6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context-10</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Patients with DME treated with faricimab, bevacizumab, ranibizumab, or aflibercept. Detailed DME code definition not publicly available in abstract/SAGE indexed text. Codes: No. No public ICD/code list available.</w:t>
            </w:r>
          </w:p>
        </w:tc>
        <w:tc>
          <w:tcPr>
            <w:tcW w:type="dxa" w:w="266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Treatment-naive eyes receiving faricimab, bevacizumab, ranibizumab, or aflibercept through 6 injections; treatment-experienced switch cohorts from aflibercept, bevacizumab, or ranibizumab to faricimab through 2 injections. Codes/source: No CPT/J-code/NDC list publicly available from abstract. SAGE lists five supplemental DOCX files that may contain table-level details, but local scripted download was blocked: sj-docx-1 through sj-docx-5-vrd-10.1177_24741264261428771.docx.</w:t>
            </w:r>
          </w:p>
        </w:tc>
        <w:tc>
          <w:tcPr>
            <w:tcW w:type="dxa" w:w="244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Treatment-naive injection series start; faricimab switch for treatment-experienced cohort. Follow-up: Treatment-naive eyes followed through 6 injections; treatment-experienced switch eyes followed through 2 injections.</w:t>
            </w:r>
          </w:p>
        </w:tc>
        <w:tc>
          <w:tcPr>
            <w:tcW w:type="dxa" w:w="28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VA change reported in letters. Detailed VA conversion method not publicly available from abstract. Outcomes: Mean VA change by injection sequence; mean days between injections; durability threshold of &gt;=50 mean days between injections 5 and 6; switch-cohort VA change after 2 injections.</w:t>
            </w:r>
          </w:p>
        </w:tc>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Abstract reports statistical comparisons including p &lt; .01 for durability and one switch comparison; exact tests/models not publicly available.</w:t>
            </w:r>
          </w:p>
        </w:tc>
        <w:tc>
          <w:tcPr>
            <w:tcW w:type="dxa" w:w="22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1"/>
              </w:rPr>
            </w:r>
            <w:r>
              <w:rPr>
                <w:b w:val="0"/>
                <w:color w:val="10120F"/>
                <w:sz w:val="11"/>
              </w:rPr>
              <w:t>SAGE article page lists five supplemental DOCX files: sj-docx-1-vrd-10.1177_24741264261428771.docx through sj-docx-5-vrd-10.1177_24741264261428771.docx. They are available from the SAGE article page but were blocked from local scripted download.</w:t>
            </w:r>
          </w:p>
        </w:tc>
      </w:tr>
    </w:tbl>
    <w:p>
      <w:pPr>
        <w:sectPr>
          <w:pgSz w:w="15840" w:h="12240" w:orient="landscape"/>
          <w:pgMar w:top="792" w:right="648" w:bottom="792" w:left="648" w:header="708" w:footer="708" w:gutter="0"/>
          <w:cols w:space="720"/>
          <w:docGrid w:linePitch="360"/>
        </w:sectPr>
      </w:pPr>
    </w:p>
    <w:p>
      <w:pPr>
        <w:spacing w:before="360" w:after="160" w:line="276" w:lineRule="auto"/>
      </w:pPr>
      <w:r>
        <w:rPr>
          <w:b/>
          <w:color w:val="10120F"/>
          <w:sz w:val="30"/>
        </w:rPr>
        <w:t>6.  Recommended Study Template</w:t>
      </w:r>
    </w:p>
    <w:p>
      <w:pPr>
        <w:spacing w:after="160" w:line="276" w:lineRule="auto"/>
      </w:pPr>
      <w:r>
        <w:rPr>
          <w:b/>
          <w:color w:val="10120F"/>
          <w:sz w:val="17"/>
        </w:rPr>
        <w:t>Recommended future Vestrum DME study design, based on recurring methods.</w:t>
      </w:r>
      <w:r>
        <w:t xml:space="preserve"> </w:t>
      </w:r>
      <w:hyperlink r:id="rId52">
        <w:r>
          <w:rPr>
            <w:color w:val="2B5C8A"/>
            <w:u w:val="single"/>
            <w:sz w:val="16"/>
          </w:rPr>
          <w:t>[BJO 28,658 eyes]</w:t>
        </w:r>
      </w:hyperlink>
      <w:hyperlink r:id="rId59">
        <w:r>
          <w:rPr>
            <w:color w:val="2B5C8A"/>
            <w:u w:val="single"/>
            <w:sz w:val="16"/>
          </w:rPr>
          <w:t>[Pitcher]</w:t>
        </w:r>
      </w:hyperlink>
      <w:hyperlink r:id="rId53">
        <w:r>
          <w:rPr>
            <w:color w:val="2B5C8A"/>
            <w:u w:val="single"/>
            <w:sz w:val="16"/>
          </w:rPr>
          <w:t>[Sodhi]</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4" w:space="0" w:color="1B1F17"/>
          <w:insideV w:val="single" w:sz="4" w:space="0" w:color="1B1F17"/>
        </w:tblBorders>
        <w:tblCellMar>
          <w:left w:w="10" w:type="dxa"/>
          <w:right w:w="10" w:type="dxa"/>
        </w:tblCellMar>
      </w:tblPr>
      <w:tblGrid>
        <w:gridCol w:w="4848"/>
        <w:gridCol w:w="4848"/>
        <w:gridCol w:w="4848"/>
      </w:tblGrid>
      <w:tr>
        <w:trPr>
          <w:cantSplit/>
          <w:tblHeader/>
        </w:trPr>
        <w:tc>
          <w:tcPr>
            <w:tcW w:type="dxa" w:w="1800"/>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4"/>
              </w:rPr>
            </w:r>
            <w:r>
              <w:rPr>
                <w:b/>
                <w:color w:val="D7FF5F"/>
                <w:sz w:val="14"/>
              </w:rPr>
              <w:t>Design field</w:t>
            </w:r>
          </w:p>
        </w:tc>
        <w:tc>
          <w:tcPr>
            <w:tcW w:type="dxa" w:w="662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4"/>
              </w:rPr>
            </w:r>
            <w:r>
              <w:rPr>
                <w:b/>
                <w:color w:val="D7FF5F"/>
                <w:sz w:val="14"/>
              </w:rPr>
              <w:t>Recommended operational choice</w:t>
            </w:r>
          </w:p>
        </w:tc>
        <w:tc>
          <w:tcPr>
            <w:tcW w:type="dxa" w:w="6624"/>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4"/>
              </w:rPr>
            </w:r>
            <w:r>
              <w:rPr>
                <w:b/>
                <w:color w:val="D7FF5F"/>
                <w:sz w:val="14"/>
              </w:rPr>
              <w:t>Rationale</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Cohort anchor</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Use first anti-VEGF injection for anti-VEGF outcome studies; use new DME diagnosis for treatment-pattern studies.</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Aligns with core-04/core-02 for outcomes and context-06 for treatment-pattern distribution.</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DME definition</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Publish or append the diagnosis-code/EMR logic; current public papers generally do not provide a reusable code list.</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This is the largest transparency gap across the corpus.</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Follow-up</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For one-year VA, require a months 11-12 visit; add quarterly VA requirements only when treatment-intensity trajectory is the key endpoint.</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Balances cohort size and longitudinal interpretability.</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VA method</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Convert Snellen to ETDRS letters with a stated formula and document accepted VA measurement methods.</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Core-04 and context-07 use 85 + 50*log(Snellen fraction); core-02 uses 85 - 50*logMAR.</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Effect modifiers</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Prespecify baseline VA strata and injection-frequency strata.</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Baseline VA ceiling effects and injection intensity recur across Vestrum DME papers.</w:t>
            </w:r>
          </w:p>
        </w:tc>
      </w:tr>
      <w:tr>
        <w:tc>
          <w:tcPr>
            <w:tcW w:type="dxa" w:w="180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Sensitivity analyses</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Handle bilateral eyes, switchers, loss to follow-up, and competing retinal diagnoses explicitly.</w:t>
            </w:r>
          </w:p>
        </w:tc>
        <w:tc>
          <w:tcPr>
            <w:tcW w:type="dxa" w:w="6624"/>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4"/>
              </w:rPr>
            </w:r>
            <w:r>
              <w:rPr>
                <w:b w:val="0"/>
                <w:color w:val="10120F"/>
                <w:sz w:val="14"/>
              </w:rPr>
              <w:t>Core-04 uses bilateral/switcher sensitivity; context-06 excludes competing retinal pathologies.</w:t>
            </w:r>
          </w:p>
        </w:tc>
      </w:tr>
    </w:tbl>
    <w:p>
      <w:pPr>
        <w:sectPr>
          <w:pgSz w:w="15840" w:h="12240" w:orient="landscape"/>
          <w:pgMar w:top="792" w:right="648" w:bottom="792" w:left="648" w:header="708" w:footer="708" w:gutter="0"/>
          <w:cols w:space="720"/>
          <w:docGrid w:linePitch="360"/>
        </w:sectPr>
      </w:pPr>
    </w:p>
    <w:p>
      <w:pPr>
        <w:spacing w:before="360" w:after="160" w:line="276" w:lineRule="auto"/>
      </w:pPr>
      <w:r>
        <w:rPr>
          <w:b/>
          <w:color w:val="10120F"/>
          <w:sz w:val="30"/>
        </w:rPr>
        <w:t>7.  Source Log</w:t>
      </w:r>
    </w:p>
    <w:p>
      <w:pPr>
        <w:spacing w:after="160" w:line="276" w:lineRule="auto"/>
      </w:pPr>
      <w:r>
        <w:rPr>
          <w:b/>
          <w:color w:val="10120F"/>
          <w:sz w:val="17"/>
        </w:rPr>
        <w:t>Source log and blocked-access caveats.</w:t>
      </w:r>
      <w:r>
        <w:t xml:space="preserve"> </w:t>
      </w:r>
      <w:hyperlink r:id="rId51">
        <w:r>
          <w:rPr>
            <w:color w:val="2B5C8A"/>
            <w:u w:val="single"/>
            <w:sz w:val="16"/>
          </w:rPr>
          <w:t>[source log]</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4" w:space="0" w:color="1B1F17"/>
          <w:insideV w:val="single" w:sz="4" w:space="0" w:color="1B1F17"/>
        </w:tblBorders>
        <w:tblCellMar>
          <w:left w:w="10" w:type="dxa"/>
          <w:right w:w="10" w:type="dxa"/>
        </w:tblCellMar>
      </w:tblPr>
      <w:tblGrid>
        <w:gridCol w:w="2909"/>
        <w:gridCol w:w="2909"/>
        <w:gridCol w:w="2909"/>
        <w:gridCol w:w="2909"/>
        <w:gridCol w:w="2909"/>
      </w:tblGrid>
      <w:tr>
        <w:trPr>
          <w:cantSplit/>
          <w:tblHeader/>
        </w:trPr>
        <w:tc>
          <w:tcPr>
            <w:tcW w:type="dxa" w:w="792"/>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2"/>
              </w:rPr>
            </w:r>
            <w:r>
              <w:rPr>
                <w:b/>
                <w:color w:val="D7FF5F"/>
                <w:sz w:val="12"/>
              </w:rPr>
              <w:t>ID</w:t>
            </w:r>
          </w:p>
        </w:tc>
        <w:tc>
          <w:tcPr>
            <w:tcW w:type="dxa" w:w="3528"/>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2"/>
              </w:rPr>
            </w:r>
            <w:r>
              <w:rPr>
                <w:b/>
                <w:color w:val="D7FF5F"/>
                <w:sz w:val="12"/>
              </w:rPr>
              <w:t>Title</w:t>
            </w:r>
          </w:p>
        </w:tc>
        <w:tc>
          <w:tcPr>
            <w:tcW w:type="dxa" w:w="1152"/>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2"/>
              </w:rPr>
            </w:r>
            <w:r>
              <w:rPr>
                <w:b/>
                <w:color w:val="D7FF5F"/>
                <w:sz w:val="12"/>
              </w:rPr>
              <w:t>Current URL</w:t>
            </w:r>
          </w:p>
        </w:tc>
        <w:tc>
          <w:tcPr>
            <w:tcW w:type="dxa" w:w="7632"/>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2"/>
              </w:rPr>
            </w:r>
            <w:r>
              <w:rPr>
                <w:b/>
                <w:color w:val="D7FF5F"/>
                <w:sz w:val="12"/>
              </w:rPr>
              <w:t>Access status</w:t>
            </w:r>
          </w:p>
        </w:tc>
        <w:tc>
          <w:tcPr>
            <w:tcW w:type="dxa" w:w="1080"/>
            <w:vAlign w:val="top"/>
            <w:shd w:fill="10120F"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color w:val="D7FF5F"/>
                <w:sz w:val="12"/>
              </w:rPr>
            </w:r>
            <w:r>
              <w:rPr>
                <w:b/>
                <w:color w:val="D7FF5F"/>
                <w:sz w:val="12"/>
              </w:rPr>
              <w:t>Retrieval</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core-01</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Increasing Incidence and Prevalence of Common Retinal Diseases in Retina Practices Across the United States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2">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Healio blocked scripted access with HTTP 403. Saved an institutional abstract/methods page. The University of Miami page is an Esploro shell and not substantively useful.</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core-02</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Evaluation of Patients Receiving Intravitreal Antivascular Endothelial Growth Factor for Diabetic Macular Edema in Clinical Practice in the United States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59">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Old Vestrum PDF URL now redirects to a CoreVitas/PPD page. Valid PDF saved from HubSpot mirror. PMC full text was also saved in the detailed pass. PMC supplement link was identified, but direct download returned proof-of-work HTML.</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nonqual-03</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Ophthalmology Retina Enters Year 4: Some Comments on Neovascular Age-Related Macular Degeneration and Diabetic Macular Edema</w:t>
            </w:r>
          </w:p>
        </w:tc>
        <w:tc>
          <w:tcPr>
            <w:tcW w:type="dxa" w:w="115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No current source URL pursued</w:t>
            </w:r>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Excluded from methods extraction because it is a DME-tagged commentary/editorial rather than a Vestrum database analysis of DME patients.</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core-04</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Visual Acuity Outcomes and Anti-VEGF Therapy Intensity in Diabetic Macular Edema: A Real-World Analysis of 28,658 Patient Eyes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52">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Old Vestrum link now redirects and has a misleading nAMD filename. PMC full text saved. PMC PDF endpoint returned proof-of-work HTML. ScholarWorks item page saved, but its downloadable bitstream appeared unrelated and was not retained.</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core-05</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Real-world Outcomes of Anti-Vascular Endothelial Growth Factor Therapy in Diabetic Macular Edema in the United States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3">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Old Vestrum PDF URL now redirects to a CoreVitas/PPD page. Valid PDF saved from HubSpot mirror. Vestrum labels it editorial, but the paper is a primary retrospective analysis.</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context-06</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Evolving Treatment Patterns in Diabetic Macular Edema Between 2015 and 2020</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4">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Valid PDF saved.</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context-07</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Longer-Term Anti-VEGF Outcomes in Neovascular AMD, Diabetic Macular Edema, and Vein Occlusion-Related Macular Edema</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5">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Valid PDF saved.</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context-08</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Bevacizumab-First Treatment Protocol AC Versus Real-World Treatment for Diabetic Macular Edema: Cost Analysis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6">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Valid PDF saved.</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context-09</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Cost-Effectiveness of Step Therapy in Diabetic Macular Edema: Protocol AC and Real-World Data</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67">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Valid PDF saved.</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r>
        <w:tc>
          <w:tcPr>
            <w:tcW w:type="dxa" w:w="79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context-10</w:t>
            </w:r>
          </w:p>
        </w:tc>
        <w:tc>
          <w:tcPr>
            <w:tcW w:type="dxa" w:w="3528"/>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Visual Outcomes and Dosing Frequencies of Patients with Diabetic Macular Edema Treated with Faricimab Versus Other Anti-VEGF Agents</w:t>
            </w:r>
          </w:p>
        </w:tc>
        <w:tc>
          <w:tcPr>
            <w:tcW w:type="dxa" w:w="1152"/>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after="0" w:line="264" w:lineRule="auto"/>
            </w:pPr>
            <w:r>
              <w:rPr>
                <w:b w:val="0"/>
                <w:color w:val="10120F"/>
                <w:sz w:val="12"/>
              </w:rPr>
            </w:r>
            <w:hyperlink r:id="rId57">
              <w:r>
                <w:rPr>
                  <w:color w:val="2B5C8A"/>
                  <w:u w:val="single"/>
                  <w:sz w:val="14"/>
                </w:rPr>
                <w:t>open</w:t>
              </w:r>
            </w:hyperlink>
          </w:p>
        </w:tc>
        <w:tc>
          <w:tcPr>
            <w:tcW w:type="dxa" w:w="7632"/>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PubMed page saved with PMID 41971251. SAGE full text/PDF and five supplemental DOCX files were listed publicly but direct local download returned HTTP 403; PMC full text is embargoed until 2027-04-09.</w:t>
            </w:r>
          </w:p>
        </w:tc>
        <w:tc>
          <w:tcPr>
            <w:tcW w:type="dxa" w:w="1080"/>
            <w:vAlign w:val="top"/>
            <w:shd w:fill="F6F1E8" w:val="clear" w:color="auto"/>
            <w:tcBorders>
              <w:top w:val="single" w:sz="4" w:space="0" w:color="1B1F17"/>
              <w:left w:val="single" w:sz="4" w:space="0" w:color="1B1F17"/>
              <w:bottom w:val="single" w:sz="4" w:space="0" w:color="1B1F17"/>
              <w:right w:val="single" w:sz="4" w:space="0" w:color="1B1F17"/>
              <w:insideH w:val="single" w:sz="4" w:space="0" w:color="1B1F17"/>
              <w:insideV w:val="single" w:sz="4" w:space="0" w:color="1B1F17"/>
            </w:tcBorders>
          </w:tcPr>
          <w:p>
            <w:pPr>
              <w:spacing w:line="264" w:lineRule="auto" w:after="0"/>
              <w:jc w:val="left"/>
            </w:pPr>
            <w:r>
              <w:rPr>
                <w:b w:val="0"/>
                <w:color w:val="10120F"/>
                <w:sz w:val="12"/>
              </w:rPr>
            </w:r>
            <w:r>
              <w:rPr>
                <w:b w:val="0"/>
                <w:color w:val="10120F"/>
                <w:sz w:val="12"/>
              </w:rPr>
              <w:t>2026-06-03</w:t>
            </w:r>
          </w:p>
        </w:tc>
      </w:tr>
    </w:tbl>
    <w:p>
      <w:pPr>
        <w:sectPr>
          <w:pgSz w:w="15840" w:h="12240" w:orient="landscape"/>
          <w:pgMar w:top="792" w:right="648" w:bottom="792" w:left="648" w:header="708" w:footer="708" w:gutter="0"/>
          <w:cols w:space="720"/>
          <w:docGrid w:linePitch="360"/>
        </w:sectPr>
      </w:pPr>
    </w:p>
    <w:p>
      <w:pPr>
        <w:spacing w:before="360" w:after="160" w:line="276" w:lineRule="auto"/>
      </w:pPr>
      <w:r>
        <w:rPr>
          <w:b/>
          <w:color w:val="10120F"/>
          <w:sz w:val="30"/>
        </w:rPr>
        <w:t>8.  Closing Notes</w:t>
      </w:r>
    </w:p>
    <w:p>
      <w:pPr>
        <w:spacing w:after="200" w:line="319" w:lineRule="auto"/>
      </w:pPr>
      <w:r>
        <w:rPr>
          <w:color w:val="5C6257"/>
          <w:sz w:val="20"/>
        </w:rPr>
        <w:t>The detailed CSV and JSON files are the authoritative structured extraction behind this report. They retain article-level provenance, access status, and whether a field was available from full text, abstract, appendix, supplement listing, or local source log.</w:t>
      </w:r>
      <w:r>
        <w:t xml:space="preserve"> </w:t>
      </w:r>
      <w:hyperlink r:id="rId68">
        <w:r>
          <w:rPr>
            <w:color w:val="2B5C8A"/>
            <w:u w:val="single"/>
            <w:sz w:val="18"/>
          </w:rPr>
          <w:t>[detailed CSV]</w:t>
        </w:r>
      </w:hyperlink>
      <w:r>
        <w:t xml:space="preserve"> </w:t>
      </w:r>
      <w:hyperlink r:id="rId49">
        <w:r>
          <w:rPr>
            <w:color w:val="2B5C8A"/>
            <w:u w:val="single"/>
            <w:sz w:val="18"/>
          </w:rPr>
          <w:t>[detailed JSON]</w:t>
        </w:r>
      </w:hyperlink>
    </w:p>
    <w:p>
      <w:pPr>
        <w:spacing w:after="200" w:line="319" w:lineRule="auto"/>
      </w:pPr>
      <w:r>
        <w:rPr>
          <w:color w:val="5C6257"/>
          <w:sz w:val="20"/>
        </w:rPr>
        <w:t>The central methodological improvement for future Vestrum DME publications would be to publish reusable diagnosis and treatment-code logic, or to point readers to an appendix when the list is too long for the article body.</w:t>
      </w:r>
      <w:r>
        <w:t xml:space="preserve"> </w:t>
      </w:r>
      <w:hyperlink r:id="rId49">
        <w:r>
          <w:rPr>
            <w:color w:val="2B5C8A"/>
            <w:u w:val="single"/>
            <w:sz w:val="18"/>
          </w:rPr>
          <w:t>[detailed extraction]</w:t>
        </w:r>
      </w:hyperlink>
    </w:p>
    <w:sectPr w:rsidR="002537A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5375" w14:textId="77777777" w:rsidR="0073024C" w:rsidRDefault="0073024C">
      <w:r>
        <w:separator/>
      </w:r>
    </w:p>
  </w:endnote>
  <w:endnote w:type="continuationSeparator" w:id="0">
    <w:p w14:paraId="1EB6AAB5" w14:textId="77777777" w:rsidR="0073024C" w:rsidRDefault="0073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libri"/>
    <w:panose1 w:val="02000503000000020004"/>
    <w:charset w:val="00"/>
    <w:family w:val="auto"/>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5667" w14:textId="77777777" w:rsidR="00707F1A" w:rsidRDefault="00707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E7F7" w14:textId="77777777" w:rsidR="00592533" w:rsidRDefault="00000000">
    <w:pPr>
      <w:jc w:val="right"/>
    </w:pPr>
    <w:r>
      <w:rPr>
        <w:color w:val="5C6257"/>
        <w:sz w:val="16"/>
        <w:szCs w:val="16"/>
      </w:rPr>
      <w:t xml:space="preserve">Page </w:t>
    </w:r>
    <w:r>
      <w:rPr>
        <w:color w:val="5C6257"/>
        <w:sz w:val="16"/>
        <w:szCs w:val="16"/>
      </w:rPr>
      <w:fldChar w:fldCharType="begin"/>
    </w:r>
    <w:r>
      <w:rPr>
        <w:color w:val="5C6257"/>
        <w:sz w:val="16"/>
        <w:szCs w:val="16"/>
      </w:rPr>
      <w:instrText>PAGE</w:instrText>
    </w:r>
    <w:r>
      <w:rPr>
        <w:color w:val="5C6257"/>
        <w:sz w:val="16"/>
        <w:szCs w:val="16"/>
      </w:rPr>
      <w:fldChar w:fldCharType="separate"/>
    </w:r>
    <w:r w:rsidR="00707F1A">
      <w:rPr>
        <w:noProof/>
        <w:color w:val="5C6257"/>
        <w:sz w:val="16"/>
        <w:szCs w:val="16"/>
      </w:rPr>
      <w:t>1</w:t>
    </w:r>
    <w:r>
      <w:rPr>
        <w:color w:val="5C625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318C" w14:textId="77777777" w:rsidR="00707F1A" w:rsidRDefault="00707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75A2" w14:textId="77777777" w:rsidR="0073024C" w:rsidRDefault="0073024C">
      <w:r>
        <w:separator/>
      </w:r>
    </w:p>
  </w:footnote>
  <w:footnote w:type="continuationSeparator" w:id="0">
    <w:p w14:paraId="2F9C3AC7" w14:textId="77777777" w:rsidR="0073024C" w:rsidRDefault="00730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9A9F" w14:textId="77777777" w:rsidR="00707F1A" w:rsidRDefault="00707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EFE" w14:textId="77777777" w:rsidR="00592533" w:rsidRDefault="00000000">
    <w:r>
      <w:rPr>
        <w:caps/>
        <w:color w:val="5C6257"/>
        <w:spacing w:val="30"/>
        <w:sz w:val="16"/>
        <w:szCs w:val="16"/>
      </w:rPr>
      <w:t>Target Product Profile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323F" w14:textId="77777777" w:rsidR="00707F1A" w:rsidRDefault="00707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351"/>
    <w:multiLevelType w:val="hybridMultilevel"/>
    <w:tmpl w:val="944A5FC2"/>
    <w:lvl w:ilvl="0" w:tplc="273A52A4">
      <w:start w:val="1"/>
      <w:numFmt w:val="bullet"/>
      <w:lvlText w:val="—"/>
      <w:lvlJc w:val="left"/>
      <w:pPr>
        <w:ind w:left="460" w:hanging="280"/>
      </w:pPr>
    </w:lvl>
    <w:lvl w:ilvl="1" w:tplc="C482269E">
      <w:numFmt w:val="decimal"/>
      <w:lvlText w:val=""/>
      <w:lvlJc w:val="left"/>
    </w:lvl>
    <w:lvl w:ilvl="2" w:tplc="DB90CE4E">
      <w:numFmt w:val="decimal"/>
      <w:lvlText w:val=""/>
      <w:lvlJc w:val="left"/>
    </w:lvl>
    <w:lvl w:ilvl="3" w:tplc="FD9AAA5A">
      <w:numFmt w:val="decimal"/>
      <w:lvlText w:val=""/>
      <w:lvlJc w:val="left"/>
    </w:lvl>
    <w:lvl w:ilvl="4" w:tplc="F3882856">
      <w:numFmt w:val="decimal"/>
      <w:lvlText w:val=""/>
      <w:lvlJc w:val="left"/>
    </w:lvl>
    <w:lvl w:ilvl="5" w:tplc="E3024EA2">
      <w:numFmt w:val="decimal"/>
      <w:lvlText w:val=""/>
      <w:lvlJc w:val="left"/>
    </w:lvl>
    <w:lvl w:ilvl="6" w:tplc="301E6EEA">
      <w:numFmt w:val="decimal"/>
      <w:lvlText w:val=""/>
      <w:lvlJc w:val="left"/>
    </w:lvl>
    <w:lvl w:ilvl="7" w:tplc="6016A02E">
      <w:numFmt w:val="decimal"/>
      <w:lvlText w:val=""/>
      <w:lvlJc w:val="left"/>
    </w:lvl>
    <w:lvl w:ilvl="8" w:tplc="6F5E0494">
      <w:numFmt w:val="decimal"/>
      <w:lvlText w:val=""/>
      <w:lvlJc w:val="left"/>
    </w:lvl>
  </w:abstractNum>
  <w:abstractNum w:abstractNumId="1" w15:restartNumberingAfterBreak="0">
    <w:nsid w:val="17AB405F"/>
    <w:multiLevelType w:val="hybridMultilevel"/>
    <w:tmpl w:val="4E84AB3A"/>
    <w:lvl w:ilvl="0" w:tplc="4BDA47C6">
      <w:start w:val="1"/>
      <w:numFmt w:val="bullet"/>
      <w:lvlText w:val="●"/>
      <w:lvlJc w:val="left"/>
      <w:pPr>
        <w:ind w:left="720" w:hanging="360"/>
      </w:pPr>
    </w:lvl>
    <w:lvl w:ilvl="1" w:tplc="EC20398E">
      <w:start w:val="1"/>
      <w:numFmt w:val="bullet"/>
      <w:lvlText w:val="○"/>
      <w:lvlJc w:val="left"/>
      <w:pPr>
        <w:ind w:left="1440" w:hanging="360"/>
      </w:pPr>
    </w:lvl>
    <w:lvl w:ilvl="2" w:tplc="678CEA7A">
      <w:start w:val="1"/>
      <w:numFmt w:val="bullet"/>
      <w:lvlText w:val="■"/>
      <w:lvlJc w:val="left"/>
      <w:pPr>
        <w:ind w:left="2160" w:hanging="360"/>
      </w:pPr>
    </w:lvl>
    <w:lvl w:ilvl="3" w:tplc="E140EE96">
      <w:start w:val="1"/>
      <w:numFmt w:val="bullet"/>
      <w:lvlText w:val="●"/>
      <w:lvlJc w:val="left"/>
      <w:pPr>
        <w:ind w:left="2880" w:hanging="360"/>
      </w:pPr>
    </w:lvl>
    <w:lvl w:ilvl="4" w:tplc="A30C8984">
      <w:start w:val="1"/>
      <w:numFmt w:val="bullet"/>
      <w:lvlText w:val="○"/>
      <w:lvlJc w:val="left"/>
      <w:pPr>
        <w:ind w:left="3600" w:hanging="360"/>
      </w:pPr>
    </w:lvl>
    <w:lvl w:ilvl="5" w:tplc="0C766288">
      <w:start w:val="1"/>
      <w:numFmt w:val="bullet"/>
      <w:lvlText w:val="■"/>
      <w:lvlJc w:val="left"/>
      <w:pPr>
        <w:ind w:left="4320" w:hanging="360"/>
      </w:pPr>
    </w:lvl>
    <w:lvl w:ilvl="6" w:tplc="6D68A91E">
      <w:start w:val="1"/>
      <w:numFmt w:val="bullet"/>
      <w:lvlText w:val="●"/>
      <w:lvlJc w:val="left"/>
      <w:pPr>
        <w:ind w:left="5040" w:hanging="360"/>
      </w:pPr>
    </w:lvl>
    <w:lvl w:ilvl="7" w:tplc="667656AC">
      <w:start w:val="1"/>
      <w:numFmt w:val="bullet"/>
      <w:lvlText w:val="●"/>
      <w:lvlJc w:val="left"/>
      <w:pPr>
        <w:ind w:left="5760" w:hanging="360"/>
      </w:pPr>
    </w:lvl>
    <w:lvl w:ilvl="8" w:tplc="81D666A6">
      <w:start w:val="1"/>
      <w:numFmt w:val="bullet"/>
      <w:lvlText w:val="●"/>
      <w:lvlJc w:val="left"/>
      <w:pPr>
        <w:ind w:left="6480" w:hanging="360"/>
      </w:pPr>
    </w:lvl>
  </w:abstractNum>
  <w:num w:numId="1" w16cid:durableId="1527138191">
    <w:abstractNumId w:val="1"/>
    <w:lvlOverride w:ilvl="0">
      <w:startOverride w:val="1"/>
    </w:lvlOverride>
  </w:num>
  <w:num w:numId="2" w16cid:durableId="1052119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33"/>
    <w:rsid w:val="0022477B"/>
    <w:rsid w:val="002537A4"/>
    <w:rsid w:val="003A3A9E"/>
    <w:rsid w:val="00437172"/>
    <w:rsid w:val="00472417"/>
    <w:rsid w:val="00592533"/>
    <w:rsid w:val="00707F1A"/>
    <w:rsid w:val="00715A81"/>
    <w:rsid w:val="0073024C"/>
    <w:rsid w:val="007454B4"/>
    <w:rsid w:val="00AB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BF75"/>
  <w15:docId w15:val="{8F18C187-5D52-4D7F-9EAA-74916A27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B1F1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7F1A"/>
    <w:pPr>
      <w:tabs>
        <w:tab w:val="center" w:pos="4680"/>
        <w:tab w:val="right" w:pos="9360"/>
      </w:tabs>
    </w:pPr>
  </w:style>
  <w:style w:type="character" w:customStyle="1" w:styleId="HeaderChar">
    <w:name w:val="Header Char"/>
    <w:basedOn w:val="DefaultParagraphFont"/>
    <w:link w:val="Header"/>
    <w:uiPriority w:val="99"/>
    <w:rsid w:val="00707F1A"/>
  </w:style>
  <w:style w:type="paragraph" w:styleId="Footer">
    <w:name w:val="footer"/>
    <w:basedOn w:val="Normal"/>
    <w:link w:val="FooterChar"/>
    <w:uiPriority w:val="99"/>
    <w:unhideWhenUsed/>
    <w:rsid w:val="00707F1A"/>
    <w:pPr>
      <w:tabs>
        <w:tab w:val="center" w:pos="4680"/>
        <w:tab w:val="right" w:pos="9360"/>
      </w:tabs>
    </w:pPr>
  </w:style>
  <w:style w:type="character" w:customStyle="1" w:styleId="FooterChar">
    <w:name w:val="Footer Char"/>
    <w:basedOn w:val="DefaultParagraphFont"/>
    <w:link w:val="Footer"/>
    <w:uiPriority w:val="99"/>
    <w:rsid w:val="0070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42" Type="http://schemas.openxmlformats.org/officeDocument/2006/relationships/footer" Target="footer1.xml" /><Relationship Id="rId4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40" Type="http://schemas.openxmlformats.org/officeDocument/2006/relationships/header" Target="header1.xml" /><Relationship Id="rId45" Type="http://schemas.openxmlformats.org/officeDocument/2006/relationships/footer" Target="footer3.xml" /><Relationship Id="rId5" Type="http://schemas.openxmlformats.org/officeDocument/2006/relationships/footnotes" Target="footnotes.xml" /><Relationship Id="rId44" Type="http://schemas.openxmlformats.org/officeDocument/2006/relationships/header" Target="header3.xml" /><Relationship Id="rId4" Type="http://schemas.openxmlformats.org/officeDocument/2006/relationships/webSettings" Target="webSettings.xml" /><Relationship Id="rId43" Type="http://schemas.openxmlformats.org/officeDocument/2006/relationships/footer" Target="footer2.xml" /><Relationship Id="rId3" Type="http://schemas.openxmlformats.org/officeDocument/2006/relationships/settings" Target="settings.xml" /><Relationship Id="rId46" Type="http://schemas.openxmlformats.org/officeDocument/2006/relationships/fontTable" Target="fontTable.xml" /><Relationship Id="rId41" Type="http://schemas.openxmlformats.org/officeDocument/2006/relationships/header" Target="header2.xml" /><Relationship Id="rId48" Type="http://schemas.openxmlformats.org/officeDocument/2006/relationships/hyperlink" Target="https://www.vestrumhealth.com/media.php" TargetMode="External" /><Relationship Id="rId49" Type="http://schemas.openxmlformats.org/officeDocument/2006/relationships/hyperlink" Target="file:///C:/Users/Justin/Desktop/linkedin-posts-mac/vestrum_dme_publications/methods_extraction_detailed.json" TargetMode="External" /><Relationship Id="rId50" Type="http://schemas.openxmlformats.org/officeDocument/2006/relationships/hyperlink" Target="https://pmc.ncbi.nlm.nih.gov/articles/PMC11556346/" TargetMode="External" /><Relationship Id="rId51" Type="http://schemas.openxmlformats.org/officeDocument/2006/relationships/hyperlink" Target="file:///C:/Users/Justin/Desktop/linkedin-posts-mac/vestrum_dme_publications/source_log.json" TargetMode="External" /><Relationship Id="rId52" Type="http://schemas.openxmlformats.org/officeDocument/2006/relationships/hyperlink" Target="https://pmc.ncbi.nlm.nih.gov/articles/PMC7848066/" TargetMode="External" /><Relationship Id="rId53" Type="http://schemas.openxmlformats.org/officeDocument/2006/relationships/hyperlink" Target="https://pmc.ncbi.nlm.nih.gov/articles/PMC10170625/" TargetMode="External" /><Relationship Id="rId54" Type="http://schemas.openxmlformats.org/officeDocument/2006/relationships/hyperlink" Target="https://www.sciencedirect.com/science/article/pii/S2468653022001506" TargetMode="External" /><Relationship Id="rId55" Type="http://schemas.openxmlformats.org/officeDocument/2006/relationships/hyperlink" Target="https://www.asrs.org/content/documents/leung-et-al-2025-cost-effectiveness-of-treatments-for-diabetic-macular-edema-simulated-bevacizumab-first-step-therapy.pdf" TargetMode="External" /><Relationship Id="rId56" Type="http://schemas.openxmlformats.org/officeDocument/2006/relationships/hyperlink" Target="https://pubmed.ncbi.nlm.nih.gov/31047187/" TargetMode="External" /><Relationship Id="rId57" Type="http://schemas.openxmlformats.org/officeDocument/2006/relationships/hyperlink" Target="https://pubmed.ncbi.nlm.nih.gov/41971251/" TargetMode="External" /><Relationship Id="rId58" Type="http://schemas.openxmlformats.org/officeDocument/2006/relationships/hyperlink" Target="https://www.healio.com/ophthalmology/journals/osli/2021-1-52-1/%7B65045259-a9c1-4583-8dd8-a5214905e298%7D/increasing-incidence-and-prevalence-of-common-retinal-diseases-in-retina-practices-across-the-united-states" TargetMode="External" /><Relationship Id="rId59" Type="http://schemas.openxmlformats.org/officeDocument/2006/relationships/hyperlink" Target="https://pmc.ncbi.nlm.nih.gov/articles/PMC9979048/" TargetMode="External" /><Relationship Id="rId60" Type="http://schemas.openxmlformats.org/officeDocument/2006/relationships/hyperlink" Target="https://www.asrs.org/content/documents/sodhi-et-al-2023-evolving-treatment-patterns-in-diabetic-macular-edema-between-2015-and-2020.pdf" TargetMode="External" /><Relationship Id="rId61" Type="http://schemas.openxmlformats.org/officeDocument/2006/relationships/hyperlink" Target="https://journals.sagepub.com/doi/pdf/10.1177/24741264241275283?download=true" TargetMode="External" /><Relationship Id="rId62" Type="http://schemas.openxmlformats.org/officeDocument/2006/relationships/hyperlink" Target="https://scholars.mssm.edu/en/publications/increasing-incidence-and-prevalence-of-common-retinal-diseases-in" TargetMode="External" /><Relationship Id="rId63" Type="http://schemas.openxmlformats.org/officeDocument/2006/relationships/hyperlink" Target="https://3333112.fs1.hubspotusercontent-na1.net/hubfs/3333112/RealworldOutcomesofAntiVascularEndothelialGrowthFactorTherapyinDiabeticMacularEdemaintheUnitedStates.pdf" TargetMode="External" /><Relationship Id="rId64" Type="http://schemas.openxmlformats.org/officeDocument/2006/relationships/hyperlink" Target="https://www.asrs.org/content/documents/evolving-treatment-patterns-in-diabetic-macular-edema-between-2015-and-2020.pdf" TargetMode="External" /><Relationship Id="rId65" Type="http://schemas.openxmlformats.org/officeDocument/2006/relationships/hyperlink" Target="Open-access institutional/Elsevier source identified during search" TargetMode="External" /><Relationship Id="rId66" Type="http://schemas.openxmlformats.org/officeDocument/2006/relationships/hyperlink" Target="https://www.asrs.org/content/documents/bevacizumab-first-treatment-protocol-ac-versus-real-world-treatment-for-diabetic-macular-edema-cost-analysis.pdf" TargetMode="External" /><Relationship Id="rId67" Type="http://schemas.openxmlformats.org/officeDocument/2006/relationships/hyperlink" Target="https://www.asrs.org/content/documents/cost-effectiveness-of-step-therapy-in-diabetic-macular-edema-protocol-ac-and-real-world-data.pdf" TargetMode="External" /><Relationship Id="rId68" Type="http://schemas.openxmlformats.org/officeDocument/2006/relationships/hyperlink" Target="file:///C:/Users/Justin/Desktop/linkedin-posts-mac/vestrum_dme_publications/methods_extraction_detailed.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087F6-09E8-4547-BF53-446491A34146}">
  <we:reference id="wa200010453" version="1.0.0.1" store="en-US" storeType="OMEX"/>
  <we:alternateReferences>
    <we:reference id="wa200010453" version="1.0.0.1" store="WA200010453" storeType="OMEX"/>
  </we:alternateReferences>
  <we:properties>
    <we:property name="claude.fileId" value="&quot;89923693-bc1a-4411-bccd-ea7159a9b0f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165</TotalTime>
  <Pages>7</Pages>
  <Words>2886</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dc:creator>
  <cp:lastModifiedBy>Justin Yu</cp:lastModifiedBy>
  <cp:revision>4</cp:revision>
  <dcterms:created xsi:type="dcterms:W3CDTF">2026-05-23T18:04:00Z</dcterms:created>
  <dcterms:modified xsi:type="dcterms:W3CDTF">2026-06-02T15:30:00Z</dcterms:modified>
  <dc:title>Vestrum DME Methods Comparison</dc:title>
  <dc:subject>Vestrum Health diabetic macular edema real-world evidence publication methods</dc:subject>
</cp:coreProperties>
</file>