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F1E8"/>
  <w:body>
    <w:p>
      <w:pPr>
        <w:spacing w:before="0" w:after="160" w:line="300" w:lineRule="auto"/>
      </w:pPr>
      <w:r>
        <w:rPr>
          <w:b/>
          <w:caps/>
          <w:color w:val="10120F"/>
          <w:sz w:val="16"/>
          <w:spacing w:val="30"/>
          <w:shd w:val="clear" w:color="auto" w:fill="D7FF5F"/>
        </w:rPr>
        <w:t>Vestrum Health  ·  Wet AMD Methods Evidence Review</w:t>
      </w:r>
    </w:p>
    <w:p>
      <w:pPr>
        <w:spacing w:before="0" w:after="140" w:line="320" w:lineRule="auto"/>
      </w:pPr>
      <w:r>
        <w:rPr>
          <w:b/>
          <w:color w:val="10120F"/>
          <w:sz w:val="44"/>
        </w:rPr>
        <w:t>Vestrum Wet AMD Methods Comparison</w:t>
      </w:r>
    </w:p>
    <w:p>
      <w:pPr>
        <w:spacing w:before="0" w:after="200" w:line="320" w:lineRule="auto"/>
      </w:pPr>
      <w:r>
        <w:rPr>
          <w:i/>
          <w:color w:val="5C6257"/>
        </w:rPr>
        <w:t>A source-linked synthesis of Vestrum database studies evaluating neovascular/wet AMD, focused on reusable cohort definitions, treatment exposure rules, outcomes, and reproducibility gaps.</w:t>
      </w:r>
      <w:r>
        <w:t xml:space="preserve"> </w:t>
      </w:r>
      <w:r>
        <w:t>(</w:t>
      </w:r>
      <w:hyperlink r:id="rId48">
        <w:r>
          <w:rPr>
            <w:color w:val="2A5DB0"/>
            <w:u w:val="single"/>
          </w:rPr>
          <w:t>Vestrum Media</w:t>
        </w:r>
      </w:hyperlink>
      <w:r>
        <w:t xml:space="preserve">; </w:t>
      </w:r>
      <w:hyperlink r:id="rId49">
        <w:r>
          <w:rPr>
            <w:color w:val="2A5DB0"/>
            <w:u w:val="single"/>
          </w:rPr>
          <w:t>Methods extraction</w:t>
        </w:r>
      </w:hyperlink>
      <w:r>
        <w:t>)</w:t>
      </w:r>
    </w:p>
    <w:p>
      <w:pPr>
        <w:spacing w:before="360" w:after="160" w:line="320" w:lineRule="auto"/>
        <w:keepNext/>
        <w:pBdr>
          <w:bottom w:val="single" w:sz="6" w:space="6" w:color="10120F"/>
        </w:pBdr>
      </w:pPr>
      <w:r>
        <w:rPr>
          <w:b/>
          <w:color w:val="10120F"/>
          <w:sz w:val="30"/>
        </w:rPr>
        <w:t>1.  Executive Takeaways</w:t>
      </w:r>
    </w:p>
    <w:p>
      <w:pPr>
        <w:tabs>
          <w:tab w:pos="460" w:val="left"/>
        </w:tabs>
        <w:spacing w:before="0" w:after="160" w:line="320" w:lineRule="auto"/>
        <w:ind w:left="460" w:hanging="280"/>
        <w:shd w:fill="10120F"/>
      </w:pPr>
      <w:r>
        <w:rPr>
          <w:color w:val="F6F1E8"/>
        </w:rPr>
        <w:t>—</w:t>
        <w:tab/>
      </w:r>
      <w:r>
        <w:rPr>
          <w:color w:val="F6F1E8"/>
        </w:rPr>
        <w:t>The most reusable default design is an eye-level retrospective Vestrum cohort using nAMD diagnosis plus anti-VEGF treatment, first anti-VEGF injection as index, baseline VA availability, a defined treatment-history window, fixed follow-up/visit windows, and explicit attrition handling.</w:t>
      </w:r>
      <w:r>
        <w:t xml:space="preserve"> </w:t>
      </w:r>
      <w:r>
        <w:t>(</w:t>
      </w:r>
      <w:hyperlink r:id="rId50">
        <w:r>
          <w:rPr>
            <w:color w:val="D7FF5F"/>
            <w:u w:val="single"/>
          </w:rPr>
          <w:t>Ciulla 2018</w:t>
        </w:r>
      </w:hyperlink>
      <w:r>
        <w:t xml:space="preserve">; </w:t>
      </w:r>
      <w:hyperlink r:id="rId51">
        <w:r>
          <w:rPr>
            <w:color w:val="D7FF5F"/>
            <w:u w:val="single"/>
          </w:rPr>
          <w:t>Ciulla 2020</w:t>
        </w:r>
      </w:hyperlink>
      <w:r>
        <w:t xml:space="preserve">; </w:t>
      </w:r>
      <w:hyperlink r:id="rId52">
        <w:r>
          <w:rPr>
            <w:color w:val="D7FF5F"/>
            <w:u w:val="single"/>
          </w:rPr>
          <w:t>Ciulla 2022</w:t>
        </w:r>
      </w:hyperlink>
      <w:r>
        <w:t>)</w:t>
      </w:r>
    </w:p>
    <w:p>
      <w:pPr>
        <w:tabs>
          <w:tab w:pos="460" w:val="left"/>
        </w:tabs>
        <w:spacing w:before="0" w:after="160" w:line="320" w:lineRule="auto"/>
        <w:ind w:left="460" w:hanging="280"/>
        <w:shd w:fill="10120F"/>
      </w:pPr>
      <w:r>
        <w:rPr>
          <w:color w:val="F6F1E8"/>
        </w:rPr>
        <w:t>—</w:t>
        <w:tab/>
      </w:r>
      <w:r>
        <w:rPr>
          <w:color w:val="F6F1E8"/>
        </w:rPr>
        <w:t>Treatment exposure is most commonly operationalized with annual/cumulative injection counts, inter-injection intervals, and treatment gaps; recent persistence/gap analyses converge on a &gt;=180-day gap threshold.</w:t>
      </w:r>
      <w:r>
        <w:t xml:space="preserve"> </w:t>
      </w:r>
      <w:r>
        <w:t>(</w:t>
      </w:r>
      <w:hyperlink r:id="rId53">
        <w:r>
          <w:rPr>
            <w:color w:val="D7FF5F"/>
            <w:u w:val="single"/>
          </w:rPr>
          <w:t>SIERRA-AMD</w:t>
        </w:r>
      </w:hyperlink>
      <w:r>
        <w:t xml:space="preserve">; </w:t>
      </w:r>
      <w:hyperlink r:id="rId54">
        <w:r>
          <w:rPr>
            <w:color w:val="D7FF5F"/>
            <w:u w:val="single"/>
          </w:rPr>
          <w:t>Ko 2026</w:t>
        </w:r>
      </w:hyperlink>
      <w:r>
        <w:t xml:space="preserve">; </w:t>
      </w:r>
      <w:hyperlink r:id="rId55">
        <w:r>
          <w:rPr>
            <w:color w:val="D7FF5F"/>
            <w:u w:val="single"/>
          </w:rPr>
          <w:t>Moshfeghi 2026</w:t>
        </w:r>
      </w:hyperlink>
      <w:r>
        <w:t>)</w:t>
      </w:r>
    </w:p>
    <w:p>
      <w:pPr>
        <w:tabs>
          <w:tab w:pos="460" w:val="left"/>
        </w:tabs>
        <w:spacing w:before="0" w:after="160" w:line="320" w:lineRule="auto"/>
        <w:ind w:left="460" w:hanging="280"/>
        <w:shd w:fill="10120F"/>
      </w:pPr>
      <w:r>
        <w:rPr>
          <w:color w:val="F6F1E8"/>
        </w:rPr>
        <w:t>—</w:t>
        <w:tab/>
      </w:r>
      <w:r>
        <w:rPr>
          <w:color w:val="F6F1E8"/>
        </w:rPr>
        <w:t>VA outcomes should be reported as ETDRS-equivalent letters with a stated conversion method and baseline VA strata because baseline VA strongly affects apparent gains and losses.</w:t>
      </w:r>
      <w:r>
        <w:t xml:space="preserve"> </w:t>
      </w:r>
      <w:r>
        <w:t>(</w:t>
      </w:r>
      <w:hyperlink r:id="rId50">
        <w:r>
          <w:rPr>
            <w:color w:val="D7FF5F"/>
            <w:u w:val="single"/>
          </w:rPr>
          <w:t>Ciulla 2018</w:t>
        </w:r>
      </w:hyperlink>
      <w:r>
        <w:t xml:space="preserve">; </w:t>
      </w:r>
      <w:hyperlink r:id="rId56">
        <w:r>
          <w:rPr>
            <w:color w:val="D7FF5F"/>
            <w:u w:val="single"/>
          </w:rPr>
          <w:t>Moshfeghi 2021</w:t>
        </w:r>
      </w:hyperlink>
      <w:r>
        <w:t xml:space="preserve">; </w:t>
      </w:r>
      <w:hyperlink r:id="rId52">
        <w:r>
          <w:rPr>
            <w:color w:val="D7FF5F"/>
            <w:u w:val="single"/>
          </w:rPr>
          <w:t>Ciulla 2022</w:t>
        </w:r>
      </w:hyperlink>
      <w:r>
        <w:t>)</w:t>
      </w:r>
    </w:p>
    <w:p>
      <w:pPr>
        <w:tabs>
          <w:tab w:pos="460" w:val="left"/>
        </w:tabs>
        <w:spacing w:before="0" w:after="160" w:line="320" w:lineRule="auto"/>
        <w:ind w:left="460" w:hanging="280"/>
        <w:shd w:fill="10120F"/>
      </w:pPr>
      <w:r>
        <w:rPr>
          <w:color w:val="F6F1E8"/>
        </w:rPr>
        <w:t>—</w:t>
        <w:tab/>
      </w:r>
      <w:r>
        <w:rPr>
          <w:color w:val="F6F1E8"/>
        </w:rPr>
        <w:t>The most explicit published conversion algorithm requires both diagnostic-code change and anti-VEGF initiation, with conversion dated to the earliest of those events; this is strongest for dry-to-wet conversion work.</w:t>
      </w:r>
      <w:r>
        <w:t xml:space="preserve"> </w:t>
      </w:r>
      <w:r>
        <w:t>(</w:t>
      </w:r>
      <w:hyperlink r:id="rId57">
        <w:r>
          <w:rPr>
            <w:color w:val="D7FF5F"/>
            <w:u w:val="single"/>
          </w:rPr>
          <w:t>Luttrull 2023</w:t>
        </w:r>
      </w:hyperlink>
      <w:r>
        <w:t xml:space="preserve">; </w:t>
      </w:r>
      <w:hyperlink r:id="rId58">
        <w:r>
          <w:rPr>
            <w:color w:val="D7FF5F"/>
            <w:u w:val="single"/>
          </w:rPr>
          <w:t>Starr 2021</w:t>
        </w:r>
      </w:hyperlink>
      <w:r>
        <w:t>)</w:t>
      </w:r>
    </w:p>
    <w:p>
      <w:pPr>
        <w:tabs>
          <w:tab w:pos="460" w:val="left"/>
        </w:tabs>
        <w:spacing w:before="0" w:after="160" w:line="320" w:lineRule="auto"/>
        <w:ind w:left="460" w:hanging="280"/>
        <w:shd w:fill="10120F"/>
      </w:pPr>
      <w:r>
        <w:rPr>
          <w:color w:val="F6F1E8"/>
        </w:rPr>
        <w:t>—</w:t>
        <w:tab/>
      </w:r>
      <w:r>
        <w:rPr>
          <w:color w:val="F6F1E8"/>
        </w:rPr>
        <w:t>The major reproducibility gap is that most accessible publications do not publish complete ICD/NDC/HCPCS lists, so any future Vestrum analysis should preserve those lists internally and publish a supplement or appendix pointer when feasible.</w:t>
      </w:r>
      <w:r>
        <w:t xml:space="preserve"> </w:t>
      </w:r>
      <w:r>
        <w:t>(</w:t>
      </w:r>
      <w:hyperlink r:id="rId56">
        <w:r>
          <w:rPr>
            <w:color w:val="D7FF5F"/>
            <w:u w:val="single"/>
          </w:rPr>
          <w:t>Moshfeghi 2021</w:t>
        </w:r>
      </w:hyperlink>
      <w:r>
        <w:t xml:space="preserve">; </w:t>
      </w:r>
      <w:hyperlink r:id="rId57">
        <w:r>
          <w:rPr>
            <w:color w:val="D7FF5F"/>
            <w:u w:val="single"/>
          </w:rPr>
          <w:t>Luttrull 2023</w:t>
        </w:r>
      </w:hyperlink>
      <w:r>
        <w:t xml:space="preserve">; </w:t>
      </w:r>
      <w:hyperlink r:id="rId59">
        <w:r>
          <w:rPr>
            <w:color w:val="D7FF5F"/>
            <w:u w:val="single"/>
          </w:rPr>
          <w:t>Rowe 2026</w:t>
        </w:r>
      </w:hyperlink>
      <w:r>
        <w:t>)</w:t>
      </w:r>
    </w:p>
    <w:p>
      <w:pPr>
        <w:spacing w:before="360" w:after="160" w:line="320" w:lineRule="auto"/>
        <w:keepNext/>
        <w:pBdr>
          <w:bottom w:val="single" w:sz="6" w:space="6" w:color="10120F"/>
        </w:pBdr>
      </w:pPr>
      <w:r>
        <w:rPr>
          <w:b/>
          <w:color w:val="10120F"/>
          <w:sz w:val="30"/>
        </w:rPr>
        <w:t>2.  Recommended Default Design</w:t>
      </w:r>
    </w:p>
    <w:p>
      <w:pPr>
        <w:spacing w:before="0" w:after="200" w:line="300" w:lineRule="auto"/>
      </w:pPr>
      <w:r>
        <w:rPr>
          <w:color w:val="1B1F17"/>
        </w:rPr>
        <w:t>For a treatment-outcomes analysis, start with treatment-naive nAMD eyes, define first anti-VEGF injection as the index date, require baseline VA, use a defined pre-index history window, and specify fixed follow-up windows before analysis. This design is most consistent with the Ciulla first-year and longer-term analyses, the frequent-treatment analysis, and SIERRA-AMD.</w:t>
      </w:r>
      <w:r>
        <w:t xml:space="preserve"> </w:t>
      </w:r>
      <w:r>
        <w:t>(</w:t>
      </w:r>
      <w:hyperlink r:id="rId51">
        <w:r>
          <w:rPr>
            <w:color w:val="2A5DB0"/>
            <w:u w:val="single"/>
          </w:rPr>
          <w:t>Ciulla 2020</w:t>
        </w:r>
      </w:hyperlink>
      <w:r>
        <w:t xml:space="preserve">; </w:t>
      </w:r>
      <w:hyperlink r:id="rId56">
        <w:r>
          <w:rPr>
            <w:color w:val="2A5DB0"/>
            <w:u w:val="single"/>
          </w:rPr>
          <w:t>Moshfeghi 2021</w:t>
        </w:r>
      </w:hyperlink>
      <w:r>
        <w:t xml:space="preserve">; </w:t>
      </w:r>
      <w:hyperlink r:id="rId53">
        <w:r>
          <w:rPr>
            <w:color w:val="2A5DB0"/>
            <w:u w:val="single"/>
          </w:rPr>
          <w:t>SIERRA-AMD</w:t>
        </w:r>
      </w:hyperlink>
      <w:r>
        <w:t>)</w:t>
      </w:r>
    </w:p>
    <w:p>
      <w:pPr>
        <w:spacing w:before="0" w:after="200" w:line="300" w:lineRule="auto"/>
      </w:pPr>
      <w:r>
        <w:rPr>
          <w:color w:val="1B1F17"/>
        </w:rPr>
        <w:t>Use baseline VA strata at minimum as 20/40 or better, 20/41-20/70, 20/71-20/200, and 20/201 or worse; report annual injection counts, cumulative injection counts, treatment intervals, and treatment-gap status alongside VA change.</w:t>
      </w:r>
      <w:r>
        <w:t xml:space="preserve"> </w:t>
      </w:r>
      <w:r>
        <w:t>(</w:t>
      </w:r>
      <w:hyperlink r:id="rId50">
        <w:r>
          <w:rPr>
            <w:color w:val="2A5DB0"/>
            <w:u w:val="single"/>
          </w:rPr>
          <w:t>Ciulla 2018</w:t>
        </w:r>
      </w:hyperlink>
      <w:r>
        <w:t xml:space="preserve">; </w:t>
      </w:r>
      <w:hyperlink r:id="rId52">
        <w:r>
          <w:rPr>
            <w:color w:val="2A5DB0"/>
            <w:u w:val="single"/>
          </w:rPr>
          <w:t>Ciulla 2022</w:t>
        </w:r>
      </w:hyperlink>
      <w:r>
        <w:t xml:space="preserve">; </w:t>
      </w:r>
      <w:hyperlink r:id="rId53">
        <w:r>
          <w:rPr>
            <w:color w:val="2A5DB0"/>
            <w:u w:val="single"/>
          </w:rPr>
          <w:t>SIERRA-AMD</w:t>
        </w:r>
      </w:hyperlink>
      <w:r>
        <w:t>)</w:t>
      </w:r>
    </w:p>
    <w:p>
      <w:pPr>
        <w:spacing w:before="0" w:after="200" w:line="300" w:lineRule="auto"/>
      </w:pPr>
      <w:r>
        <w:rPr>
          <w:color w:val="1B1F17"/>
        </w:rPr>
        <w:t>If a functional endpoint is needed, driving vision is the clearest published construct: baseline VA 20/40 or better in the better-seeing eye, with loss defined as VA worse than 20/40 sustained for at least 6 consecutive months.</w:t>
      </w:r>
      <w:r>
        <w:t xml:space="preserve"> </w:t>
      </w:r>
      <w:r>
        <w:t>(</w:t>
      </w:r>
      <w:hyperlink r:id="rId60">
        <w:r>
          <w:rPr>
            <w:color w:val="2A5DB0"/>
            <w:u w:val="single"/>
          </w:rPr>
          <w:t>Emami 2024</w:t>
        </w:r>
      </w:hyperlink>
      <w:r>
        <w:t>)</w:t>
      </w:r>
    </w:p>
    <w:p>
      <w:pPr>
        <w:spacing w:before="360" w:after="160" w:line="320" w:lineRule="auto"/>
        <w:keepNext/>
        <w:pBdr>
          <w:bottom w:val="single" w:sz="6" w:space="6" w:color="10120F"/>
        </w:pBdr>
      </w:pPr>
      <w:r>
        <w:rPr>
          <w:b/>
          <w:color w:val="10120F"/>
          <w:sz w:val="30"/>
        </w:rPr>
        <w:t>3.  Core Operational Rules</w:t>
      </w:r>
    </w:p>
    <w:p>
      <w:pPr>
        <w:tabs>
          <w:tab w:pos="460" w:val="left"/>
        </w:tabs>
        <w:spacing w:before="0" w:after="160" w:line="320" w:lineRule="auto"/>
        <w:ind w:left="460" w:hanging="280"/>
      </w:pPr>
      <w:r>
        <w:rPr>
          <w:color w:val="1B1F17"/>
        </w:rPr>
        <w:t>—</w:t>
        <w:tab/>
      </w:r>
      <w:r>
        <w:rPr>
          <w:color w:val="1B1F17"/>
        </w:rPr>
        <w:t>Indexing: first anti-VEGF injection for treated nAMD outcomes; switch date for switcher analyses; first diagnosis for epidemiology or noninjected cohorts.</w:t>
      </w:r>
      <w:r>
        <w:t xml:space="preserve"> </w:t>
      </w:r>
      <w:r>
        <w:t>(</w:t>
      </w:r>
      <w:hyperlink r:id="rId53">
        <w:r>
          <w:rPr>
            <w:color w:val="2A5DB0"/>
            <w:u w:val="single"/>
          </w:rPr>
          <w:t>SIERRA-AMD</w:t>
        </w:r>
      </w:hyperlink>
      <w:r>
        <w:t xml:space="preserve">; </w:t>
      </w:r>
      <w:hyperlink r:id="rId59">
        <w:r>
          <w:rPr>
            <w:color w:val="2A5DB0"/>
            <w:u w:val="single"/>
          </w:rPr>
          <w:t>Rowe 2026</w:t>
        </w:r>
      </w:hyperlink>
      <w:r>
        <w:t>)</w:t>
      </w:r>
    </w:p>
    <w:p>
      <w:pPr>
        <w:tabs>
          <w:tab w:pos="460" w:val="left"/>
        </w:tabs>
        <w:spacing w:before="0" w:after="160" w:line="320" w:lineRule="auto"/>
        <w:ind w:left="460" w:hanging="280"/>
      </w:pPr>
      <w:r>
        <w:rPr>
          <w:color w:val="1B1F17"/>
        </w:rPr>
        <w:t>—</w:t>
        <w:tab/>
      </w:r>
      <w:r>
        <w:rPr>
          <w:color w:val="1B1F17"/>
        </w:rPr>
        <w:t>Treatment-naive history: choose one rule and state it; published options include no prior anti-VEGF ever, no anti-VEGF for &gt;180 days before index, or no anti-VEGF during the 12-month pre-index period.</w:t>
      </w:r>
      <w:r>
        <w:t xml:space="preserve"> </w:t>
      </w:r>
      <w:r>
        <w:t>(</w:t>
      </w:r>
      <w:hyperlink r:id="rId53">
        <w:r>
          <w:rPr>
            <w:color w:val="2A5DB0"/>
            <w:u w:val="single"/>
          </w:rPr>
          <w:t>SIERRA-AMD</w:t>
        </w:r>
      </w:hyperlink>
      <w:r>
        <w:t xml:space="preserve">; </w:t>
      </w:r>
      <w:hyperlink r:id="rId54">
        <w:r>
          <w:rPr>
            <w:color w:val="2A5DB0"/>
            <w:u w:val="single"/>
          </w:rPr>
          <w:t>Ko 2026</w:t>
        </w:r>
      </w:hyperlink>
      <w:r>
        <w:t>)</w:t>
      </w:r>
    </w:p>
    <w:p>
      <w:pPr>
        <w:tabs>
          <w:tab w:pos="460" w:val="left"/>
        </w:tabs>
        <w:spacing w:before="0" w:after="160" w:line="320" w:lineRule="auto"/>
        <w:ind w:left="460" w:hanging="280"/>
      </w:pPr>
      <w:r>
        <w:rPr>
          <w:color w:val="1B1F17"/>
        </w:rPr>
        <w:t>—</w:t>
        <w:tab/>
      </w:r>
      <w:r>
        <w:rPr>
          <w:color w:val="1B1F17"/>
        </w:rPr>
        <w:t>VA handling: convert Snellen/logMAR to ETDRS-equivalent letters using a stated rule, commonly 85 + 50 x log(Snellen fraction) or 85 - 50 x logMAR; identify whether VA is distance-corrected, near-corrected, pinhole, or mixed real-world VA.</w:t>
      </w:r>
      <w:r>
        <w:t xml:space="preserve"> </w:t>
      </w:r>
      <w:r>
        <w:t>(</w:t>
      </w:r>
      <w:hyperlink r:id="rId50">
        <w:r>
          <w:rPr>
            <w:color w:val="2A5DB0"/>
            <w:u w:val="single"/>
          </w:rPr>
          <w:t>Ciulla 2018</w:t>
        </w:r>
      </w:hyperlink>
      <w:r>
        <w:t xml:space="preserve">; </w:t>
      </w:r>
      <w:hyperlink r:id="rId56">
        <w:r>
          <w:rPr>
            <w:color w:val="2A5DB0"/>
            <w:u w:val="single"/>
          </w:rPr>
          <w:t>Moshfeghi 2021</w:t>
        </w:r>
      </w:hyperlink>
      <w:r>
        <w:t xml:space="preserve">; </w:t>
      </w:r>
      <w:hyperlink r:id="rId52">
        <w:r>
          <w:rPr>
            <w:color w:val="2A5DB0"/>
            <w:u w:val="single"/>
          </w:rPr>
          <w:t>Ciulla 2022</w:t>
        </w:r>
      </w:hyperlink>
      <w:r>
        <w:t>)</w:t>
      </w:r>
    </w:p>
    <w:p>
      <w:pPr>
        <w:tabs>
          <w:tab w:pos="460" w:val="left"/>
        </w:tabs>
        <w:spacing w:before="0" w:after="160" w:line="320" w:lineRule="auto"/>
        <w:ind w:left="460" w:hanging="280"/>
      </w:pPr>
      <w:r>
        <w:rPr>
          <w:color w:val="1B1F17"/>
        </w:rPr>
        <w:t>—</w:t>
        <w:tab/>
      </w:r>
      <w:r>
        <w:rPr>
          <w:color w:val="1B1F17"/>
        </w:rPr>
        <w:t>Attrition: define fixed windows and report loss to follow-up separately from observed VA outcomes; the Ciulla 2018 6-, 12-, and 24-month cohorts are the clearest template.</w:t>
      </w:r>
      <w:r>
        <w:t xml:space="preserve"> </w:t>
      </w:r>
      <w:r>
        <w:t>(</w:t>
      </w:r>
      <w:hyperlink r:id="rId50">
        <w:r>
          <w:rPr>
            <w:color w:val="2A5DB0"/>
            <w:u w:val="single"/>
          </w:rPr>
          <w:t>Ciulla 2018</w:t>
        </w:r>
      </w:hyperlink>
      <w:r>
        <w:t>)</w:t>
      </w:r>
    </w:p>
    <w:p>
      <w:pPr>
        <w:sectPr>
          <w:headerReference w:type="even" r:id="rId40"/>
          <w:headerReference w:type="default" r:id="rId41"/>
          <w:footerReference w:type="even" r:id="rId42"/>
          <w:footerReference w:type="default" r:id="rId43"/>
          <w:headerReference w:type="first" r:id="rId44"/>
          <w:footerReference w:type="first" r:id="rId45"/>
          <w:pgSz w:w="12240" w:h="15840"/>
          <w:pgMar w:top="1080" w:right="1080" w:bottom="1080" w:left="1080" w:header="708" w:footer="708" w:gutter="0"/>
          <w:cols w:space="720"/>
          <w:docGrid w:linePitch="360"/>
          <w:shd w:fill="F6F1E8"/>
        </w:sectPr>
      </w:pPr>
    </w:p>
    <w:p>
      <w:pPr>
        <w:spacing w:before="360" w:after="160" w:line="320" w:lineRule="auto"/>
        <w:keepNext/>
        <w:pBdr>
          <w:bottom w:val="single" w:sz="6" w:space="6" w:color="10120F"/>
        </w:pBdr>
      </w:pPr>
      <w:r>
        <w:rPr>
          <w:b/>
          <w:color w:val="10120F"/>
          <w:sz w:val="30"/>
        </w:rPr>
        <w:t>Method Selection Matrix</w:t>
      </w:r>
      <w:r>
        <w:t xml:space="preserve"> </w:t>
      </w:r>
      <w:r>
        <w:t>(</w:t>
      </w:r>
      <w:hyperlink r:id="rId51">
        <w:r>
          <w:rPr>
            <w:color w:val="2A5DB0"/>
            <w:u w:val="single"/>
          </w:rPr>
          <w:t>Ciulla 2020</w:t>
        </w:r>
      </w:hyperlink>
      <w:r>
        <w:t xml:space="preserve">; </w:t>
      </w:r>
      <w:hyperlink r:id="rId53">
        <w:r>
          <w:rPr>
            <w:color w:val="2A5DB0"/>
            <w:u w:val="single"/>
          </w:rPr>
          <w:t>SIERRA-AMD</w:t>
        </w:r>
      </w:hyperlink>
      <w:r>
        <w:t xml:space="preserve">; </w:t>
      </w:r>
      <w:hyperlink r:id="rId54">
        <w:r>
          <w:rPr>
            <w:color w:val="2A5DB0"/>
            <w:u w:val="single"/>
          </w:rPr>
          <w:t>Ko 2026</w:t>
        </w:r>
      </w:hyperlink>
      <w:r>
        <w:t>)</w:t>
      </w:r>
    </w:p>
    <w:tbl>
      <w:tblPr>
        <w:tblW w:type="dxa" w:w="13680"/>
        <w:jc w:val="center"/>
        <w:tblLook w:firstColumn="0" w:firstRow="0" w:lastColumn="0" w:lastRow="0" w:noHBand="0" w:noVBand="0" w:val="0000"/>
        <w:tblLayout w:type="fixed"/>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Pr>
      <w:tblGrid>
        <w:gridCol w:w="3420"/>
        <w:gridCol w:w="3420"/>
        <w:gridCol w:w="3420"/>
        <w:gridCol w:w="3420"/>
      </w:tblGrid>
      <w:tr>
        <w:tc>
          <w:tcPr>
            <w:tcW w:type="dxa" w:w="2500"/>
            <w:vAlign w:val="top"/>
            <w:tcMar>
              <w:top w:w="90" w:type="dxa"/>
              <w:bottom w:w="90" w:type="dxa"/>
              <w:left w:w="110" w:type="dxa"/>
              <w:right w:w="110" w:type="dxa"/>
            </w:tcMar>
            <w:shd w:val="clear" w:color="auto" w:fill="10120F"/>
          </w:tcPr>
          <w:p>
            <w:pPr>
              <w:spacing w:before="0" w:after="0" w:line="269" w:lineRule="auto"/>
            </w:pPr>
            <w:r/>
            <w:r>
              <w:rPr>
                <w:b/>
                <w:caps/>
                <w:color w:val="D7FF5F"/>
                <w:sz w:val="16"/>
                <w:spacing w:val="12"/>
              </w:rPr>
              <w:t>Research question</w:t>
            </w:r>
          </w:p>
        </w:tc>
        <w:tc>
          <w:tcPr>
            <w:tcW w:type="dxa" w:w="5600"/>
            <w:vAlign w:val="top"/>
            <w:tcMar>
              <w:top w:w="90" w:type="dxa"/>
              <w:bottom w:w="90" w:type="dxa"/>
              <w:left w:w="110" w:type="dxa"/>
              <w:right w:w="110" w:type="dxa"/>
            </w:tcMar>
            <w:shd w:val="clear" w:color="auto" w:fill="10120F"/>
          </w:tcPr>
          <w:p>
            <w:pPr>
              <w:spacing w:before="0" w:after="0" w:line="269" w:lineRule="auto"/>
            </w:pPr>
            <w:r/>
            <w:r>
              <w:rPr>
                <w:b/>
                <w:caps/>
                <w:color w:val="D7FF5F"/>
                <w:sz w:val="16"/>
                <w:spacing w:val="12"/>
              </w:rPr>
              <w:t>Recommended operational design</w:t>
            </w:r>
          </w:p>
        </w:tc>
        <w:tc>
          <w:tcPr>
            <w:tcW w:type="dxa" w:w="2600"/>
            <w:vAlign w:val="top"/>
            <w:tcMar>
              <w:top w:w="90" w:type="dxa"/>
              <w:bottom w:w="90" w:type="dxa"/>
              <w:left w:w="110" w:type="dxa"/>
              <w:right w:w="110" w:type="dxa"/>
            </w:tcMar>
            <w:shd w:val="clear" w:color="auto" w:fill="10120F"/>
          </w:tcPr>
          <w:p>
            <w:pPr>
              <w:spacing w:before="0" w:after="0" w:line="269" w:lineRule="auto"/>
            </w:pPr>
            <w:r/>
            <w:r>
              <w:rPr>
                <w:b/>
                <w:caps/>
                <w:color w:val="D7FF5F"/>
                <w:sz w:val="16"/>
                <w:spacing w:val="12"/>
              </w:rPr>
              <w:t>Closest Vestrum templates</w:t>
            </w:r>
          </w:p>
        </w:tc>
        <w:tc>
          <w:tcPr>
            <w:tcW w:type="dxa" w:w="2980"/>
            <w:vAlign w:val="top"/>
            <w:tcMar>
              <w:top w:w="90" w:type="dxa"/>
              <w:bottom w:w="90" w:type="dxa"/>
              <w:left w:w="110" w:type="dxa"/>
              <w:right w:w="110" w:type="dxa"/>
            </w:tcMar>
            <w:shd w:val="clear" w:color="auto" w:fill="10120F"/>
          </w:tcPr>
          <w:p>
            <w:pPr>
              <w:spacing w:before="0" w:after="0" w:line="269" w:lineRule="auto"/>
            </w:pPr>
            <w:r/>
            <w:r>
              <w:rPr>
                <w:b/>
                <w:caps/>
                <w:color w:val="D7FF5F"/>
                <w:sz w:val="16"/>
                <w:spacing w:val="12"/>
              </w:rPr>
              <w:t>Inline sources</w:t>
            </w:r>
          </w:p>
        </w:tc>
      </w:tr>
      <w:tr>
        <w:tc>
          <w:tcPr>
            <w:tcW w:type="dxa" w:w="2500"/>
            <w:shd w:val="clear" w:color="auto" w:fill="F6F1E8"/>
            <w:vAlign w:val="top"/>
            <w:tcMar>
              <w:top w:w="90" w:type="dxa"/>
              <w:bottom w:w="90" w:type="dxa"/>
              <w:left w:w="110" w:type="dxa"/>
              <w:right w:w="110" w:type="dxa"/>
            </w:tcMar>
          </w:tcPr>
          <w:p>
            <w:pPr>
              <w:spacing w:before="0" w:after="0" w:line="269" w:lineRule="auto"/>
            </w:pPr>
            <w:r/>
            <w:r>
              <w:rPr>
                <w:b/>
                <w:caps w:val="0"/>
                <w:color w:val="10120F"/>
                <w:sz w:val="16"/>
              </w:rPr>
              <w:t>First-year VA or treatment intensity</w:t>
            </w:r>
          </w:p>
        </w:tc>
        <w:tc>
          <w:tcPr>
            <w:tcW w:type="dxa" w:w="56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6"/>
              </w:rPr>
              <w:t>Treatment-naive nAMD eyes; first injection as index; baseline VA strata; injection-count exposure; month-12/1-year VA endpoint.</w:t>
            </w:r>
          </w:p>
        </w:tc>
        <w:tc>
          <w:tcPr>
            <w:tcW w:type="dxa" w:w="26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6"/>
              </w:rPr>
              <w:t>Ciulla 2020; Moshfeghi 2021; Ciulla 2018</w:t>
            </w:r>
          </w:p>
        </w:tc>
        <w:tc>
          <w:tcPr>
            <w:tcW w:type="dxa" w:w="2980"/>
            <w:shd w:val="clear" w:color="auto" w:fill="F6F1E8"/>
            <w:vAlign w:val="top"/>
            <w:tcMar>
              <w:top w:w="90" w:type="dxa"/>
              <w:bottom w:w="90" w:type="dxa"/>
              <w:left w:w="110" w:type="dxa"/>
              <w:right w:w="110" w:type="dxa"/>
            </w:tcMar>
          </w:tcPr>
          <w:p>
            <w:pPr>
              <w:spacing w:before="0" w:after="0" w:line="240" w:lineRule="auto"/>
            </w:pPr>
            <w:r>
              <w:rPr>
                <w:sz w:val="14"/>
              </w:rPr>
            </w:r>
            <w:hyperlink r:id="rId51">
              <w:r>
                <w:rPr>
                  <w:color w:val="2A5DB0"/>
                  <w:u w:val="single"/>
                </w:rPr>
                <w:t>Ciulla 2020</w:t>
              </w:r>
            </w:hyperlink>
            <w:r>
              <w:rPr>
                <w:sz w:val="14"/>
              </w:rPr>
              <w:br/>
            </w:r>
            <w:hyperlink r:id="rId56">
              <w:r>
                <w:rPr>
                  <w:color w:val="2A5DB0"/>
                  <w:u w:val="single"/>
                </w:rPr>
                <w:t>Moshfeghi 2021</w:t>
              </w:r>
            </w:hyperlink>
          </w:p>
        </w:tc>
      </w:tr>
      <w:tr>
        <w:tc>
          <w:tcPr>
            <w:tcW w:type="dxa" w:w="2500"/>
            <w:shd w:val="clear" w:color="auto" w:fill="EBE4D6"/>
            <w:vAlign w:val="top"/>
            <w:tcMar>
              <w:top w:w="90" w:type="dxa"/>
              <w:bottom w:w="90" w:type="dxa"/>
              <w:left w:w="110" w:type="dxa"/>
              <w:right w:w="110" w:type="dxa"/>
            </w:tcMar>
          </w:tcPr>
          <w:p>
            <w:pPr>
              <w:spacing w:before="0" w:after="0" w:line="269" w:lineRule="auto"/>
            </w:pPr>
            <w:r/>
            <w:r>
              <w:rPr>
                <w:b/>
                <w:caps w:val="0"/>
                <w:color w:val="10120F"/>
                <w:sz w:val="16"/>
              </w:rPr>
              <w:t>Long-term treatment burden</w:t>
            </w:r>
          </w:p>
        </w:tc>
        <w:tc>
          <w:tcPr>
            <w:tcW w:type="dxa" w:w="56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6"/>
              </w:rPr>
              <w:t>First injection index; annual/cumulative injection counts; visits and noninjection visits; years 1-4 or 1-5 outcomes where follow-up exists.</w:t>
            </w:r>
          </w:p>
        </w:tc>
        <w:tc>
          <w:tcPr>
            <w:tcW w:type="dxa" w:w="26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6"/>
              </w:rPr>
              <w:t>SIERRA-AMD; Ciulla 2022</w:t>
            </w:r>
          </w:p>
        </w:tc>
        <w:tc>
          <w:tcPr>
            <w:tcW w:type="dxa" w:w="2980"/>
            <w:shd w:val="clear" w:color="auto" w:fill="EBE4D6"/>
            <w:vAlign w:val="top"/>
            <w:tcMar>
              <w:top w:w="90" w:type="dxa"/>
              <w:bottom w:w="90" w:type="dxa"/>
              <w:left w:w="110" w:type="dxa"/>
              <w:right w:w="110" w:type="dxa"/>
            </w:tcMar>
          </w:tcPr>
          <w:p>
            <w:pPr>
              <w:spacing w:before="0" w:after="0" w:line="240" w:lineRule="auto"/>
            </w:pPr>
            <w:r>
              <w:rPr>
                <w:sz w:val="14"/>
              </w:rPr>
            </w:r>
            <w:hyperlink r:id="rId53">
              <w:r>
                <w:rPr>
                  <w:color w:val="2A5DB0"/>
                  <w:u w:val="single"/>
                </w:rPr>
                <w:t>SIERRA-AMD</w:t>
              </w:r>
            </w:hyperlink>
            <w:r>
              <w:rPr>
                <w:sz w:val="14"/>
              </w:rPr>
              <w:br/>
            </w:r>
            <w:hyperlink r:id="rId52">
              <w:r>
                <w:rPr>
                  <w:color w:val="2A5DB0"/>
                  <w:u w:val="single"/>
                </w:rPr>
                <w:t>Ciulla 2022</w:t>
              </w:r>
            </w:hyperlink>
          </w:p>
        </w:tc>
      </w:tr>
      <w:tr>
        <w:tc>
          <w:tcPr>
            <w:tcW w:type="dxa" w:w="2500"/>
            <w:shd w:val="clear" w:color="auto" w:fill="F6F1E8"/>
            <w:vAlign w:val="top"/>
            <w:tcMar>
              <w:top w:w="90" w:type="dxa"/>
              <w:bottom w:w="90" w:type="dxa"/>
              <w:left w:w="110" w:type="dxa"/>
              <w:right w:w="110" w:type="dxa"/>
            </w:tcMar>
          </w:tcPr>
          <w:p>
            <w:pPr>
              <w:spacing w:before="0" w:after="0" w:line="269" w:lineRule="auto"/>
            </w:pPr>
            <w:r/>
            <w:r>
              <w:rPr>
                <w:b/>
                <w:caps w:val="0"/>
                <w:color w:val="10120F"/>
                <w:sz w:val="16"/>
              </w:rPr>
              <w:t>Persistence, gaps, switching, or reinitiation</w:t>
            </w:r>
          </w:p>
        </w:tc>
        <w:tc>
          <w:tcPr>
            <w:tcW w:type="dxa" w:w="56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6"/>
              </w:rPr>
              <w:t>Use a clear pre-index history window and at least 24 months follow-up when feasible; define nonpersistence/gap as &gt;=180 days.</w:t>
            </w:r>
          </w:p>
        </w:tc>
        <w:tc>
          <w:tcPr>
            <w:tcW w:type="dxa" w:w="26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6"/>
              </w:rPr>
              <w:t>Ko 2026; Moshfeghi 2026</w:t>
            </w:r>
          </w:p>
        </w:tc>
        <w:tc>
          <w:tcPr>
            <w:tcW w:type="dxa" w:w="2980"/>
            <w:shd w:val="clear" w:color="auto" w:fill="F6F1E8"/>
            <w:vAlign w:val="top"/>
            <w:tcMar>
              <w:top w:w="90" w:type="dxa"/>
              <w:bottom w:w="90" w:type="dxa"/>
              <w:left w:w="110" w:type="dxa"/>
              <w:right w:w="110" w:type="dxa"/>
            </w:tcMar>
          </w:tcPr>
          <w:p>
            <w:pPr>
              <w:spacing w:before="0" w:after="0" w:line="240" w:lineRule="auto"/>
            </w:pPr>
            <w:r>
              <w:rPr>
                <w:sz w:val="14"/>
              </w:rPr>
            </w:r>
            <w:hyperlink r:id="rId54">
              <w:r>
                <w:rPr>
                  <w:color w:val="2A5DB0"/>
                  <w:u w:val="single"/>
                </w:rPr>
                <w:t>Ko 2026</w:t>
              </w:r>
            </w:hyperlink>
            <w:r>
              <w:rPr>
                <w:sz w:val="14"/>
              </w:rPr>
              <w:br/>
            </w:r>
            <w:hyperlink r:id="rId55">
              <w:r>
                <w:rPr>
                  <w:color w:val="2A5DB0"/>
                  <w:u w:val="single"/>
                </w:rPr>
                <w:t>Moshfeghi 2026</w:t>
              </w:r>
            </w:hyperlink>
          </w:p>
        </w:tc>
      </w:tr>
      <w:tr>
        <w:tc>
          <w:tcPr>
            <w:tcW w:type="dxa" w:w="2500"/>
            <w:shd w:val="clear" w:color="auto" w:fill="EBE4D6"/>
            <w:vAlign w:val="top"/>
            <w:tcMar>
              <w:top w:w="90" w:type="dxa"/>
              <w:bottom w:w="90" w:type="dxa"/>
              <w:left w:w="110" w:type="dxa"/>
              <w:right w:w="110" w:type="dxa"/>
            </w:tcMar>
          </w:tcPr>
          <w:p>
            <w:pPr>
              <w:spacing w:before="0" w:after="0" w:line="269" w:lineRule="auto"/>
            </w:pPr>
            <w:r/>
            <w:r>
              <w:rPr>
                <w:b/>
                <w:caps w:val="0"/>
                <w:color w:val="10120F"/>
                <w:sz w:val="16"/>
              </w:rPr>
              <w:t>Agent comparison or modern durability</w:t>
            </w:r>
          </w:p>
        </w:tc>
        <w:tc>
          <w:tcPr>
            <w:tcW w:type="dxa" w:w="56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6"/>
              </w:rPr>
              <w:t>Index on first use for treatment-naive eyes; use switch date for treatment-experienced eyes; adjust or stratify by baseline/switch-date VA; report interval between final injections.</w:t>
            </w:r>
          </w:p>
        </w:tc>
        <w:tc>
          <w:tcPr>
            <w:tcW w:type="dxa" w:w="26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6"/>
              </w:rPr>
              <w:t>Rowe 2026; Ko 2026</w:t>
            </w:r>
          </w:p>
        </w:tc>
        <w:tc>
          <w:tcPr>
            <w:tcW w:type="dxa" w:w="2980"/>
            <w:shd w:val="clear" w:color="auto" w:fill="EBE4D6"/>
            <w:vAlign w:val="top"/>
            <w:tcMar>
              <w:top w:w="90" w:type="dxa"/>
              <w:bottom w:w="90" w:type="dxa"/>
              <w:left w:w="110" w:type="dxa"/>
              <w:right w:w="110" w:type="dxa"/>
            </w:tcMar>
          </w:tcPr>
          <w:p>
            <w:pPr>
              <w:spacing w:before="0" w:after="0" w:line="240" w:lineRule="auto"/>
            </w:pPr>
            <w:r>
              <w:rPr>
                <w:sz w:val="14"/>
              </w:rPr>
            </w:r>
            <w:hyperlink r:id="rId59">
              <w:r>
                <w:rPr>
                  <w:color w:val="2A5DB0"/>
                  <w:u w:val="single"/>
                </w:rPr>
                <w:t>Rowe 2026</w:t>
              </w:r>
            </w:hyperlink>
            <w:r>
              <w:rPr>
                <w:sz w:val="14"/>
              </w:rPr>
              <w:br/>
            </w:r>
            <w:hyperlink r:id="rId54">
              <w:r>
                <w:rPr>
                  <w:color w:val="2A5DB0"/>
                  <w:u w:val="single"/>
                </w:rPr>
                <w:t>Ko 2026</w:t>
              </w:r>
            </w:hyperlink>
          </w:p>
        </w:tc>
      </w:tr>
      <w:tr>
        <w:tc>
          <w:tcPr>
            <w:tcW w:type="dxa" w:w="2500"/>
            <w:shd w:val="clear" w:color="auto" w:fill="F6F1E8"/>
            <w:vAlign w:val="top"/>
            <w:tcMar>
              <w:top w:w="90" w:type="dxa"/>
              <w:bottom w:w="90" w:type="dxa"/>
              <w:left w:w="110" w:type="dxa"/>
              <w:right w:w="110" w:type="dxa"/>
            </w:tcMar>
          </w:tcPr>
          <w:p>
            <w:pPr>
              <w:spacing w:before="0" w:after="0" w:line="269" w:lineRule="auto"/>
            </w:pPr>
            <w:r/>
            <w:r>
              <w:rPr>
                <w:b/>
                <w:caps w:val="0"/>
                <w:color w:val="10120F"/>
                <w:sz w:val="16"/>
              </w:rPr>
              <w:t>Conversion or prevention</w:t>
            </w:r>
          </w:p>
        </w:tc>
        <w:tc>
          <w:tcPr>
            <w:tcW w:type="dxa" w:w="56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6"/>
              </w:rPr>
              <w:t>For dry-to-wet conversion, require diagnostic-code change plus anti-VEGF initiation when feasible; use earliest event date as conversion date.</w:t>
            </w:r>
          </w:p>
        </w:tc>
        <w:tc>
          <w:tcPr>
            <w:tcW w:type="dxa" w:w="26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6"/>
              </w:rPr>
              <w:t>Luttrull 2023; Starr 2021</w:t>
            </w:r>
          </w:p>
        </w:tc>
        <w:tc>
          <w:tcPr>
            <w:tcW w:type="dxa" w:w="2980"/>
            <w:shd w:val="clear" w:color="auto" w:fill="F6F1E8"/>
            <w:vAlign w:val="top"/>
            <w:tcMar>
              <w:top w:w="90" w:type="dxa"/>
              <w:bottom w:w="90" w:type="dxa"/>
              <w:left w:w="110" w:type="dxa"/>
              <w:right w:w="110" w:type="dxa"/>
            </w:tcMar>
          </w:tcPr>
          <w:p>
            <w:pPr>
              <w:spacing w:before="0" w:after="0" w:line="240" w:lineRule="auto"/>
            </w:pPr>
            <w:r>
              <w:rPr>
                <w:sz w:val="14"/>
              </w:rPr>
            </w:r>
            <w:hyperlink r:id="rId57">
              <w:r>
                <w:rPr>
                  <w:color w:val="2A5DB0"/>
                  <w:u w:val="single"/>
                </w:rPr>
                <w:t>Luttrull 2023</w:t>
              </w:r>
            </w:hyperlink>
            <w:r>
              <w:rPr>
                <w:sz w:val="14"/>
              </w:rPr>
              <w:br/>
            </w:r>
            <w:hyperlink r:id="rId58">
              <w:r>
                <w:rPr>
                  <w:color w:val="2A5DB0"/>
                  <w:u w:val="single"/>
                </w:rPr>
                <w:t>Starr 2021</w:t>
              </w:r>
            </w:hyperlink>
          </w:p>
        </w:tc>
      </w:tr>
      <w:tr>
        <w:tc>
          <w:tcPr>
            <w:tcW w:type="dxa" w:w="2500"/>
            <w:shd w:val="clear" w:color="auto" w:fill="EBE4D6"/>
            <w:vAlign w:val="top"/>
            <w:tcMar>
              <w:top w:w="90" w:type="dxa"/>
              <w:bottom w:w="90" w:type="dxa"/>
              <w:left w:w="110" w:type="dxa"/>
              <w:right w:w="110" w:type="dxa"/>
            </w:tcMar>
          </w:tcPr>
          <w:p>
            <w:pPr>
              <w:spacing w:before="0" w:after="0" w:line="269" w:lineRule="auto"/>
            </w:pPr>
            <w:r/>
            <w:r>
              <w:rPr>
                <w:b/>
                <w:caps w:val="0"/>
                <w:color w:val="10120F"/>
                <w:sz w:val="16"/>
              </w:rPr>
              <w:t>Functional or adverse-event endpoints</w:t>
            </w:r>
          </w:p>
        </w:tc>
        <w:tc>
          <w:tcPr>
            <w:tcW w:type="dxa" w:w="56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6"/>
              </w:rPr>
              <w:t>Use endpoint-specific rules: driving vision loss as VA worse than 20/40 sustained &gt;=6 months; SMH rate by injection type and timing versus prior injection.</w:t>
            </w:r>
          </w:p>
        </w:tc>
        <w:tc>
          <w:tcPr>
            <w:tcW w:type="dxa" w:w="26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6"/>
              </w:rPr>
              <w:t>Emami 2024; Kaufmann 2025</w:t>
            </w:r>
          </w:p>
        </w:tc>
        <w:tc>
          <w:tcPr>
            <w:tcW w:type="dxa" w:w="2980"/>
            <w:shd w:val="clear" w:color="auto" w:fill="EBE4D6"/>
            <w:vAlign w:val="top"/>
            <w:tcMar>
              <w:top w:w="90" w:type="dxa"/>
              <w:bottom w:w="90" w:type="dxa"/>
              <w:left w:w="110" w:type="dxa"/>
              <w:right w:w="110" w:type="dxa"/>
            </w:tcMar>
          </w:tcPr>
          <w:p>
            <w:pPr>
              <w:spacing w:before="0" w:after="0" w:line="240" w:lineRule="auto"/>
            </w:pPr>
            <w:r>
              <w:rPr>
                <w:sz w:val="14"/>
              </w:rPr>
            </w:r>
            <w:hyperlink r:id="rId60">
              <w:r>
                <w:rPr>
                  <w:color w:val="2A5DB0"/>
                  <w:u w:val="single"/>
                </w:rPr>
                <w:t>Emami 2024</w:t>
              </w:r>
            </w:hyperlink>
            <w:r>
              <w:rPr>
                <w:sz w:val="14"/>
              </w:rPr>
              <w:br/>
            </w:r>
            <w:hyperlink r:id="rId61">
              <w:r>
                <w:rPr>
                  <w:color w:val="2A5DB0"/>
                  <w:u w:val="single"/>
                </w:rPr>
                <w:t>Kaufmann 2025</w:t>
              </w:r>
            </w:hyperlink>
          </w:p>
        </w:tc>
      </w:tr>
    </w:tbl>
    <w:p>
      <w:pPr>
        <w:sectPr>
          <w:pgSz w:w="15840" w:h="12240" w:orient="landscape"/>
          <w:pgMar w:top="1080" w:right="1080" w:bottom="1080" w:left="1080" w:header="708" w:footer="708" w:gutter="0"/>
          <w:cols w:space="720"/>
          <w:docGrid w:linePitch="360"/>
          <w:shd w:fill="F6F1E8"/>
        </w:sectPr>
      </w:pPr>
    </w:p>
    <w:p>
      <w:pPr>
        <w:spacing w:before="360" w:after="160" w:line="320" w:lineRule="auto"/>
        <w:keepNext/>
        <w:pBdr>
          <w:bottom w:val="single" w:sz="6" w:space="6" w:color="10120F"/>
        </w:pBdr>
      </w:pPr>
      <w:r>
        <w:rPr>
          <w:b/>
          <w:color w:val="10120F"/>
          <w:sz w:val="30"/>
        </w:rPr>
        <w:t>Publication-Level Methods Comparison</w:t>
      </w:r>
      <w:r>
        <w:t xml:space="preserve"> </w:t>
      </w:r>
      <w:r>
        <w:t>(</w:t>
      </w:r>
      <w:hyperlink r:id="rId48">
        <w:r>
          <w:rPr>
            <w:color w:val="2A5DB0"/>
            <w:u w:val="single"/>
          </w:rPr>
          <w:t>Vestrum Media</w:t>
        </w:r>
      </w:hyperlink>
      <w:r>
        <w:t xml:space="preserve">; </w:t>
      </w:r>
      <w:hyperlink r:id="rId49">
        <w:r>
          <w:rPr>
            <w:color w:val="2A5DB0"/>
            <w:u w:val="single"/>
          </w:rPr>
          <w:t>Detailed extraction</w:t>
        </w:r>
      </w:hyperlink>
      <w:r>
        <w:t>)</w:t>
      </w:r>
    </w:p>
    <w:tbl>
      <w:tblPr>
        <w:tblW w:type="dxa" w:w="13680"/>
        <w:jc w:val="center"/>
        <w:tblLook w:firstColumn="0" w:firstRow="0" w:lastColumn="0" w:lastRow="0" w:noHBand="0" w:noVBand="0" w:val="0000"/>
        <w:tblLayout w:type="fixed"/>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Pr>
      <w:tblGrid>
        <w:gridCol w:w="2280"/>
        <w:gridCol w:w="2280"/>
        <w:gridCol w:w="2280"/>
        <w:gridCol w:w="2280"/>
        <w:gridCol w:w="2280"/>
        <w:gridCol w:w="2280"/>
      </w:tblGrid>
      <w:tr>
        <w:tc>
          <w:tcPr>
            <w:tcW w:type="dxa" w:w="2150"/>
            <w:vAlign w:val="top"/>
            <w:tcMar>
              <w:top w:w="90" w:type="dxa"/>
              <w:bottom w:w="90" w:type="dxa"/>
              <w:left w:w="110" w:type="dxa"/>
              <w:right w:w="110" w:type="dxa"/>
            </w:tcMar>
            <w:shd w:val="clear" w:color="auto" w:fill="10120F"/>
          </w:tcPr>
          <w:p>
            <w:pPr>
              <w:spacing w:before="0" w:after="0" w:line="269" w:lineRule="auto"/>
            </w:pPr>
            <w:r/>
            <w:r>
              <w:rPr>
                <w:b/>
                <w:caps/>
                <w:color w:val="D7FF5F"/>
                <w:sz w:val="13"/>
                <w:spacing w:val="4"/>
              </w:rPr>
              <w:t>Publication</w:t>
            </w:r>
          </w:p>
        </w:tc>
        <w:tc>
          <w:tcPr>
            <w:tcW w:type="dxa" w:w="2800"/>
            <w:vAlign w:val="top"/>
            <w:tcMar>
              <w:top w:w="90" w:type="dxa"/>
              <w:bottom w:w="90" w:type="dxa"/>
              <w:left w:w="110" w:type="dxa"/>
              <w:right w:w="110" w:type="dxa"/>
            </w:tcMar>
            <w:shd w:val="clear" w:color="auto" w:fill="10120F"/>
          </w:tcPr>
          <w:p>
            <w:pPr>
              <w:spacing w:before="0" w:after="0" w:line="269" w:lineRule="auto"/>
            </w:pPr>
            <w:r/>
            <w:r>
              <w:rPr>
                <w:b/>
                <w:caps/>
                <w:color w:val="D7FF5F"/>
                <w:sz w:val="13"/>
                <w:spacing w:val="4"/>
              </w:rPr>
              <w:t>Population / index</w:t>
            </w:r>
          </w:p>
        </w:tc>
        <w:tc>
          <w:tcPr>
            <w:tcW w:type="dxa" w:w="2500"/>
            <w:vAlign w:val="top"/>
            <w:tcMar>
              <w:top w:w="90" w:type="dxa"/>
              <w:bottom w:w="90" w:type="dxa"/>
              <w:left w:w="110" w:type="dxa"/>
              <w:right w:w="110" w:type="dxa"/>
            </w:tcMar>
            <w:shd w:val="clear" w:color="auto" w:fill="10120F"/>
          </w:tcPr>
          <w:p>
            <w:pPr>
              <w:spacing w:before="0" w:after="0" w:line="269" w:lineRule="auto"/>
            </w:pPr>
            <w:r/>
            <w:r>
              <w:rPr>
                <w:b/>
                <w:caps/>
                <w:color w:val="D7FF5F"/>
                <w:sz w:val="13"/>
                <w:spacing w:val="4"/>
              </w:rPr>
              <w:t>Exposure / follow-up</w:t>
            </w:r>
          </w:p>
        </w:tc>
        <w:tc>
          <w:tcPr>
            <w:tcW w:type="dxa" w:w="2800"/>
            <w:vAlign w:val="top"/>
            <w:tcMar>
              <w:top w:w="90" w:type="dxa"/>
              <w:bottom w:w="90" w:type="dxa"/>
              <w:left w:w="110" w:type="dxa"/>
              <w:right w:w="110" w:type="dxa"/>
            </w:tcMar>
            <w:shd w:val="clear" w:color="auto" w:fill="10120F"/>
          </w:tcPr>
          <w:p>
            <w:pPr>
              <w:spacing w:before="0" w:after="0" w:line="269" w:lineRule="auto"/>
            </w:pPr>
            <w:r/>
            <w:r>
              <w:rPr>
                <w:b/>
                <w:caps/>
                <w:color w:val="D7FF5F"/>
                <w:sz w:val="13"/>
                <w:spacing w:val="4"/>
              </w:rPr>
              <w:t>Operational outcomes</w:t>
            </w:r>
          </w:p>
        </w:tc>
        <w:tc>
          <w:tcPr>
            <w:tcW w:type="dxa" w:w="2850"/>
            <w:vAlign w:val="top"/>
            <w:tcMar>
              <w:top w:w="90" w:type="dxa"/>
              <w:bottom w:w="90" w:type="dxa"/>
              <w:left w:w="110" w:type="dxa"/>
              <w:right w:w="110" w:type="dxa"/>
            </w:tcMar>
            <w:shd w:val="clear" w:color="auto" w:fill="10120F"/>
          </w:tcPr>
          <w:p>
            <w:pPr>
              <w:spacing w:before="0" w:after="0" w:line="269" w:lineRule="auto"/>
            </w:pPr>
            <w:r/>
            <w:r>
              <w:rPr>
                <w:b/>
                <w:caps/>
                <w:color w:val="D7FF5F"/>
                <w:sz w:val="13"/>
                <w:spacing w:val="4"/>
              </w:rPr>
              <w:t>Code / supplement status</w:t>
            </w:r>
          </w:p>
        </w:tc>
        <w:tc>
          <w:tcPr>
            <w:tcW w:type="dxa" w:w="1380"/>
            <w:vAlign w:val="top"/>
            <w:tcMar>
              <w:top w:w="90" w:type="dxa"/>
              <w:bottom w:w="90" w:type="dxa"/>
              <w:left w:w="110" w:type="dxa"/>
              <w:right w:w="110" w:type="dxa"/>
            </w:tcMar>
            <w:shd w:val="clear" w:color="auto" w:fill="10120F"/>
          </w:tcPr>
          <w:p>
            <w:pPr>
              <w:spacing w:before="0" w:after="0" w:line="269" w:lineRule="auto"/>
            </w:pPr>
            <w:r/>
            <w:r>
              <w:rPr>
                <w:b/>
                <w:caps/>
                <w:color w:val="D7FF5F"/>
                <w:sz w:val="13"/>
                <w:spacing w:val="4"/>
              </w:rPr>
              <w:t>Sources</w:t>
            </w:r>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Real-world Outcomes of Anti-VEGF Therapy in Neovascular Age-Related Macular Degeneration in the United States (2018)</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Treatment-naive nAMD patients diagnosed Jan 2011-Jul 2013. Required at least 3 monthly anti-VEGF injections in the first 4 months from diagnosis/treatment initiation. Index was diagnosis/treatment initiation period; exposure was real-world anti-VEGF injection frequency after an initial 3-month loading pattern.</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Mutually exclusive follow-up/attrition cohorts were used: completed 6 months but then lost to follow-up, completed 12 months but then lost to follow-up, or completed 24 months ending before Jul 2015. No previous nAMD treatment. Death, relocation, and changing provider were treated as loss to follow-up for analysis. Other granular exclusions were not reported in the accessible full text.</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VA was analyzed as ETDRS-equivalent letters converted from Snellen using `85 + 50 x log(Snellen fraction)`. VA was not protocol-standardized. Baseline VA strata included 20/40 or better, approximately 20/41-20/70, 20/71-20/200, and 20/201 or worse. Outcomes were mean VA change and injection counts by follow-up cohort and baseline VA stratum.</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nAMD diagnosis recorded in Vestrum EMR; no ICD-9/ICD-10 code list was reported. Anti-VEGF injections captured from Vestrum EMR. Specific drug-code lists such as NDC or HCPCS were not reported. No appendix with ICD/NDC/HCPCS lists found in the full text. Source methods are in the saved PDF/text.</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62">
              <w:r>
                <w:rPr>
                  <w:color w:val="2A5DB0"/>
                  <w:u w:val="single"/>
                </w:rPr>
                <w:t>2018 ScienceDirect</w:t>
              </w:r>
            </w:hyperlink>
            <w:r>
              <w:rPr>
                <w:sz w:val="13"/>
              </w:rPr>
              <w:br/>
            </w:r>
            <w:hyperlink r:id="rId50">
              <w:r>
                <w:rPr>
                  <w:color w:val="2A5DB0"/>
                  <w:u w:val="single"/>
                </w:rPr>
                <w:t>2018 PubMed</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Visual Acuity Outcomes in Patients Receiving Frequent Treatment of Neovascular Age-Related Macular Degeneration in Clinical Practice (2021)</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Newly diagnosed nAMD patients whose first/index anti-VEGF injection was bevacizumab, ranibizumab, or aflibercept between Jan 1 2012 and Apr 30 2015. Index date was first anti-VEGF injection. Treatment intensity was grouped by injection frequency, including eyes with &gt;10 injections over 2 years and annual subgroups of `&lt;=6` versus `&gt;6` injections/year.</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Evaluated 1- and 2-year outcomes. Required VA on index date, at month 12, and at least once each quarter. Month-12 VA used the closest reading between months 11 and 12. Excluded missing sex, treatment breaks &gt;11 months during the 24-month period, and eyes/patients without required VA or quarterly follow-up. Required consistent VA measurement method within a patient.</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VA accepted only if distance-corrected, near-corrected, or pinhole, with a consistent method per patient. ETDRS letters were calculated as `85 - (50 x logMAR)`. Outcomes were VA change by injection-frequency group and frequent-treatment subgroup over 1 and 2 years.</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New nAMD diagnosis in Vestrum EMR plus anti-VEGF initiation. No ICD-9/ICD-10 code list was reported in accessible text. Index anti-VEGF was bevacizumab, ranibizumab, or aflibercept. No NDC/HCPCS list was reported. PMC lists a supplement at https://pmc.ncbi.nlm.nih.gov/articles/instance/9979036/bin/Supplement.docx, but scripted download returned a proof-of-work HTML stub. Available descriptions indicate supplemental tables rather than code lists.</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56">
              <w:r>
                <w:rPr>
                  <w:color w:val="2A5DB0"/>
                  <w:u w:val="single"/>
                </w:rPr>
                <w:t>2021 PMC</w:t>
              </w:r>
            </w:hyperlink>
            <w:r>
              <w:rPr>
                <w:sz w:val="13"/>
              </w:rPr>
              <w:br/>
            </w:r>
            <w:hyperlink r:id="rId63">
              <w:r>
                <w:rPr>
                  <w:color w:val="2A5DB0"/>
                  <w:u w:val="single"/>
                </w:rPr>
                <w:t>2021 PubMed</w:t>
              </w:r>
            </w:hyperlink>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Visual Acuity Outcomes and Anti-VEGF Therapy Intensity in Neovascular Age-Related Macular Degeneration Patients: A Real-World Analysis of 49,485 Eyes (2020)</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Treatment-naive nAMD eyes receiving anti-VEGF injections from Jan 1 2012 through Oct 31 2016, with follow-up data available before Oct 31 2017. Reported cohort size was 49,485 eyes. Index was anti-VEGF treatment start. Primary exposure was number of anti-VEGF injections during the first year; analyses also stratified by anti-VEGF agent.</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One-year outcome window after treatment initiation. Treatment-naive requirement; additional granular exclusions were not available in accessible abstract/PubMed text.</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Mean VA change at 1 year stratified by injection count and anti-VEGF agent. Abstract reports a linear relationship for 4-10 injections/year, with loss/plateau patterns at `&lt;=4` and `&gt;=10` injections/year.</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nAMD diagnosis and treatment-naive status in Vestrum EMR; no ICD code list reported in accessible records. Anti-VEGF type and treatment counts extracted from EMR; no NDC/HCPCS list reported in accessible records. No code-list appendix found in accessible records. Full article may contain more detail at ScienceDirect.</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64">
              <w:r>
                <w:rPr>
                  <w:color w:val="2A5DB0"/>
                  <w:u w:val="single"/>
                </w:rPr>
                <w:t>2020 ScienceDirect</w:t>
              </w:r>
            </w:hyperlink>
            <w:r>
              <w:rPr>
                <w:sz w:val="13"/>
              </w:rPr>
              <w:br/>
            </w:r>
            <w:hyperlink r:id="rId51">
              <w:r>
                <w:rPr>
                  <w:color w:val="2A5DB0"/>
                  <w:u w:val="single"/>
                </w:rPr>
                <w:t>2020 PubMed</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SIERRA-AMD: A Retrospective, Real-World Evidence Study of Patients with Neovascular Age-Related Macular Degeneration in the United States (2020)</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Patients age &gt;=50 with nAMD in at least 1 eye. Primary treated cohort included 98,821 eyes from 79,885 patients receiving intravitreal anti-VEGF therapy. nAMD diagnosis years were Jan 1 2012-Dec 31 2015. Index date was first anti-VEGF injection, or first nAMD diagnosis if no anti-VEGF. Treatment-naive was defined as no anti-VEGF for more than 180 days before index. Treated cohort required at least 1 anti-VEGF injection within 180 days after index.</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Study period Jan 1 2012-Jun 30 2016. Longitudinal outcomes were evaluated through years 1-4 where follow-up was available. Granular exclusion list was not visible in the ScienceDirect text available through web view beyond the age, nAMD, and treatment-history requirements.</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VA logMAR converted to ETDRS letters. Outcomes included baseline VA, VA change from baseline, annual anti-VEGF injections, total clinic visits, noninjection clinic visits, bilateral treatment, dosing intervals, and time from first-eye to second-eye treatment. Noninjection visit was a clinic visit without anti-VEGF administration. Fixed regimen was `&gt;=80%` of nonloading injections in a year at 4, 8, or 12 weeks +/-15 days after the prior injection. Dosing intervals included q8w and `&gt;=12-week` categories.</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nAMD diagnosis in EMR. No ICD-9/ICD-10 list was reported in the accessible article text. Intravitreal anti-VEGF therapy captured in EMR. No drug-code list was reported in accessible article text. ScienceDirect article states supplemental material is available at www.ophthalmologyretina.org; subagent review identified Supplemental Table S1 as patient attrition. No ICD/NDC/HCPCS lists found in accessible text.</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65">
              <w:r>
                <w:rPr>
                  <w:color w:val="2A5DB0"/>
                  <w:u w:val="single"/>
                </w:rPr>
                <w:t>2020 ScienceDirect</w:t>
              </w:r>
            </w:hyperlink>
            <w:r>
              <w:rPr>
                <w:sz w:val="13"/>
              </w:rPr>
              <w:br/>
            </w:r>
            <w:hyperlink r:id="rId53">
              <w:r>
                <w:rPr>
                  <w:color w:val="2A5DB0"/>
                  <w:u w:val="single"/>
                </w:rPr>
                <w:t>2020 PubMed</w:t>
              </w:r>
            </w:hyperlink>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Increasing Incidence and Prevalence of Common Retinal Diseases in Retina Practices Across the United States (2021)</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Eyes examined in retina practices from Jan 2014-Dec 2019. PubMed abstract reports 3,086,791 eyes examined; poster/abstract snippets report larger evaluated-eye counts depending on denominator/source. Condition-specific diagnosis year/date in Vestrum EMR; not an anti-VEGF treatment exposure study.</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Annual and cumulative analyses for Jan 2014-Dec 2019. Not detailed in accessible abstract/PubMed text.</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Incidence was newly diagnosed eyes within a year/period. Prevalence was distinct eyes seen with the associated condition. Poster snippets indicate stratification by age and geography.</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Included diagnosis categories: wet AMD, dry AMD including geographic atrophy, diabetic macular edema, diabetic retinopathy without DME, branch retinal vein occlusion, and central retinal vein occlusion. Accessible text says diagnosis codes were used, but specific ICD-9/ICD-10 codes were not listed. Not applicable for primary incidence/prevalence endpoints. No code-list appendix found. Attempted poster URL logged as 404 in metadata/additional_fulltext_fetch_records.json.</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66">
              <w:r>
                <w:rPr>
                  <w:color w:val="2A5DB0"/>
                  <w:u w:val="single"/>
                </w:rPr>
                <w:t>2021 PubMed</w:t>
              </w:r>
            </w:hyperlink>
            <w:r>
              <w:rPr>
                <w:sz w:val="13"/>
              </w:rPr>
              <w:br/>
            </w:r>
            <w:hyperlink r:id="rId67">
              <w:r>
                <w:rPr>
                  <w:color w:val="2A5DB0"/>
                  <w:u w:val="single"/>
                </w:rPr>
                <w:t>2021 stanfordhealthcare.org</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Characterizing Progression to Neovascular Age-Related Macular Degeneration in Fellow Eyes of Patients with Neovascular Age-Related Macular Degeneration (2021)</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Patients with unilateral nAMD treated with anti-VEGF therapy; reported cohort included 22,553 unilateral nAMD patients. Index was diagnosis/treatment initiation in the first eye. Exposure/risk process was fellow-eye follow-up after unilateral nAMD.</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Conversion assessed over multiple years; abstract reports year-specific conversion at years 1, 2, and 3. Accessible text does not report detailed exclusions beyond unilateral nAMD at baseline and anti-VEGF treatment in first eye.</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Primary outcome was fellow-eye conversion to nAMD. Abstract reports 8,522/22,553 patients (38%) converted; year 1 12%, year 2 9%, year 3 8%. VA was measured at fellow-eye conversion and 1 year after conversion, with injection burden after conversion.</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First-eye unilateral nAMD and fellow-eye conversion to nAMD in Vestrum EHR. No ICD code list was reported in accessible text. Anti-VEGF therapy in first eye and injection burden after fellow-eye conversion captured from EHR; no NDC/HCPCS list reported. No appendix or code list found in accessible records. Full publisher article may contain additional details.</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58">
              <w:r>
                <w:rPr>
                  <w:color w:val="2A5DB0"/>
                  <w:u w:val="single"/>
                </w:rPr>
                <w:t>2021 PubMed</w:t>
              </w:r>
            </w:hyperlink>
            <w:r>
              <w:rPr>
                <w:sz w:val="13"/>
              </w:rPr>
              <w:br/>
            </w:r>
            <w:hyperlink r:id="rId68">
              <w:r>
                <w:rPr>
                  <w:color w:val="2A5DB0"/>
                  <w:u w:val="single"/>
                </w:rPr>
                <w:t>2021 mayoclinic.elsevierpure.com</w:t>
              </w:r>
            </w:hyperlink>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Longer-Term Anti-VEGF Therapy Outcomes in Neovascular Age-Related Macular Degeneration, Diabetic Macular Edema, and Retinal Vein Occlusion-Related Macular Edema (2022)</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Treatment-naive patients with nAMD, DME, BRVO-ME, or CRVO-ME who received at least 1 anti-VEGF injection between 2014 and 2019 and had at least 12 months of follow-up. nAMD cohort sizes included 67,666 eyes at 1 year, 21,305 at 3 years, and 5,208 at 5 years. Index was first anti-VEGF injection. Exposure was cumulative injection number over each yearly horizon.</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nAMD/DME outcomes at 1, 3, and 5 years; BRVO/CRVO outcomes at 1, 2, and 3 years. Distinct yearly cohorts were assessed based on available follow-up. Excluded other retinal diagnoses in the disease-specific analyses; detailed code lists not reported.</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VA converted from Snellen using `85 + 50 x log(Snellen fraction)`. Outcomes were mean VA change with 95% CI and nominal P values, mean/median injections, injection-frequency histograms, and stratifications by baseline VA/injection count. nAMD mean injections were 7.6, 19.5, and 32.7 at 1/3/5 years; mean VA changes were +3.1, -0.2, and -2.2 letters.</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Diagnosis categories from Vestrum EMR; no ICD code list reported. Anti-VEGF injection use captured from EMR; agent-specific results were not emphasized because prior Vestrum work found similar outcomes after switching. No NDC/HCPCS list reported. No ICD/NDC/HCPCS appendix found in full text.</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52">
              <w:r>
                <w:rPr>
                  <w:color w:val="2A5DB0"/>
                  <w:u w:val="single"/>
                </w:rPr>
                <w:t>2022 PubMed</w:t>
              </w:r>
            </w:hyperlink>
            <w:r>
              <w:rPr>
                <w:sz w:val="13"/>
              </w:rPr>
              <w:br/>
            </w:r>
            <w:hyperlink r:id="rId69">
              <w:r>
                <w:rPr>
                  <w:color w:val="2A5DB0"/>
                  <w:u w:val="single"/>
                </w:rPr>
                <w:t>2022 ScienceDirect</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Levodopa Is Associated with Reduced Development of Neovascular Age-Related Macular Degeneration (2023)</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Vestrum query 1: new-onset nAMD eyes from Jan 2014-May 2020. Vestrum query 2: non-neovascular AMD eyes from Jan 2014-Jun 2021. Exposure was L-DOPA use before or on AMD/nAMD diagnosis versus no L-DOPA. Query 1 excluded L-DOPA after nAMD diagnosis and assessed injection counts. Query 2 excluded L-DOPA after dry AMD diagnosis and assessed conversion to nAMD. MarketScan exposure used L-DOPA-related drug names and claims with positive days supply/quantity/strength, with 24-month cumulative dose tertiles.</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Query 1 required 2 years of follow-up and measured injections at years 1 and 2. Query 2 required at least 1 year of follow-up and measured conversion across years 1-5. Query 1 excluded eyes without 2-year follow-up and eyes receiving L-DOPA only after nAMD diagnosis. Query 2 excluded eyes without 1-year follow-up and eyes receiving L-DOPA only after AMD diagnosis.</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Query 1 outcome was number of intravitreal injections at years 1 and 2 after nAMD diagnosis. Query 2 outcome was conversion from non-neovascular AMD to nAMD at years 1-5. Covariates included age, sex, smoking, AREDS use, dry AMD stage, and L-DOPA status.</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New-onset nAMD and non-neovascular AMD diagnoses in Vestrum EMR; specific ICD code lists were not enumerated in the article. L-DOPA exposure in MarketScan used generic drug names including Levodopa, Carbidopa/Levodopa, and Carbidopa/Entacapone/Levodopa plus claim-level NDC-style fields. Exact NDC list was not supplied. Vestrum anti-VEGF injections were counted but drug-code lists were not provided. No exact ICD or NDC list found in the article. If exact MarketScan NDC implementation is needed, it is not available in the accessible article/PMC files.</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70">
              <w:r>
                <w:rPr>
                  <w:color w:val="2A5DB0"/>
                  <w:u w:val="single"/>
                </w:rPr>
                <w:t>2023 PMC</w:t>
              </w:r>
            </w:hyperlink>
            <w:r>
              <w:rPr>
                <w:sz w:val="13"/>
              </w:rPr>
              <w:br/>
            </w:r>
            <w:hyperlink r:id="rId71">
              <w:r>
                <w:rPr>
                  <w:color w:val="2A5DB0"/>
                  <w:u w:val="single"/>
                </w:rPr>
                <w:t>2023 PubMed</w:t>
              </w:r>
            </w:hyperlink>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Vision Protection Therapy for Prevention of Neovascular Age-Related Macular Degeneration (2023)</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Dry AMD cohort from Jan 2017-Jul 2023. Included age &gt;=50 and ICD-10 coding for dry AMD. Exposure was treatment at a VPT practice versus standard care alone in other Vestrum practices.</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Conversion and VA outcomes assessed during the available Jan 2017-Jul 2023 Vestrum period. Excluded prior/current intravitreal steroids or VEGF inhibitors for any indication, nAMD fellow eye, diabetes mellitus, retinal vascular occlusion, prior conventional macular photocoagulation or other macular scarring, ocular histoplasmosis, high/degenerative myopia, idiopathic macular telangiectasia, and central serous chorioretinopathy.</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Primary endpoint was conversion from dry AMD to wet AMD; conversion date was the earliest of diagnostic-code change or anti-VEGF initiation. VA was converted to approximate ETDRS letters using the Gregori method, e.g., Snellen 20/20 = 85, 20/40 = 70, 20/80 = 55, 20/160 = 40.</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Used ICD-10 because ICD-10 stratifies dry AMD severity. Dry-to-wet conversion required two factors: diagnostic coding changed from dry AMD to wet AMD and anti-VEGF therapy began. The article cites H35.30 in relation to wet AMD coding; full dry AMD severity code lists are not expanded in the text. Anti-VEGF initiation was part of the wet-conversion definition. Specific anti-VEGF drug-code lists were not reported. Supplementary Information is linked from the PMC article at https://pmc.ncbi.nlm.nih.gov/articles/PMC10550910/#MOESM1 and the Nature article page. The accessible article says all generated/analyzed data are included in the article and supplement, but it does not provide pages of ICD/NDC lists.</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57">
              <w:r>
                <w:rPr>
                  <w:color w:val="2A5DB0"/>
                  <w:u w:val="single"/>
                </w:rPr>
                <w:t>2023 PMC</w:t>
              </w:r>
            </w:hyperlink>
            <w:r>
              <w:rPr>
                <w:sz w:val="13"/>
              </w:rPr>
              <w:br/>
            </w:r>
            <w:hyperlink r:id="rId72">
              <w:r>
                <w:rPr>
                  <w:color w:val="2A5DB0"/>
                  <w:u w:val="single"/>
                </w:rPr>
                <w:t>2023 Nature</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Maintenance of Vision Needed to Drive After Anti-VEGF Therapy in Neovascular Age-Related Macular Degeneration and Diabetic Macular Edema (2024)</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Initial diagnosis of nAMD or DME from Jan 1 2014-Jun 30 2019 and at least 1 year of treatment/follow-up. VA analyses required 4 years of treatment/follow-up. Driving-vision analysis required baseline Snellen VA 20/40 or better in the better-seeing eye and maintenance of that threshold for at least 6 months during year 1 after index treatment. Index was first anti-VEGF treatment. Exposure was first-year injection frequency, categorized as 1-5, 6-7, or &gt;=8 injections in year 1.</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Driving-vision maintenance evaluated over 4 years after index anti-VEGF treatment. Accessible abstract does not list granular exclusions beyond required diagnosis, follow-up, treatment, and baseline/year-1 driving-vision criteria.</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Driving vision loss was the first clinic visit with VA worse than 20/40 sustained for at least 6 consecutive months. Outcomes included mean VA change over time/by baseline VA and Kaplan-Meier probability of maintaining driving vision, stratified by first-year injection count.</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nAMD or DME diagnosis in Vestrum Health data; no ICD code list reported in accessible text. Anti-VEGF treatment captured from Vestrum Health data; no drug-code appendix found in accessible records. No diagnostic-code, HCPCS, or NDC appendix found in accessible indexed text. Full ScienceDirect article may contain additional details.</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60">
              <w:r>
                <w:rPr>
                  <w:color w:val="2A5DB0"/>
                  <w:u w:val="single"/>
                </w:rPr>
                <w:t>2024 PubMed</w:t>
              </w:r>
            </w:hyperlink>
            <w:r>
              <w:rPr>
                <w:sz w:val="13"/>
              </w:rPr>
              <w:br/>
            </w:r>
            <w:hyperlink r:id="rId73">
              <w:r>
                <w:rPr>
                  <w:color w:val="2A5DB0"/>
                  <w:u w:val="single"/>
                </w:rPr>
                <w:t>2024 ScienceDirect</w:t>
              </w:r>
            </w:hyperlink>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Submacular Hemorrhage Rates Following Anti-VEGF Injections for Exudative Age-Related Macular Degeneration (2025)</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nAMD/exudative AMD eyes receiving anti-VEGF injections. Analysis included 140,915 eyes, 9,107 with submacular hemorrhage. Exposure was injection type; SMH timing was assessed relative to prior anti-VEGF injection.</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Database period Jan 2015-Nov 2023. VA assessed before SMH and at 12 months after SMH; PPV assessed within 30 days of SMH and VA at 12 months after PPV. Accessible abstract does not list granular exclusions.</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Primary outcome was rate of SMH per injection type. Secondary outcomes were time from SMH diagnosis to last anti-VEGF injection, number of injections before SMH, treatment interval at time of SMH, VA before and 12 months after SMH, PPV within 30 days of SMH, and VA before PPV and 12 months after PPV.</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nAMD/exudative AMD diagnosis plus accompanying SMH diagnosis in Vestrum data. No ICD code list for nAMD or SMH reported in accessible records. Injection types explicitly included bevacizumab, brolucizumab-dbll, aflibercept, ranibizumab, and faricimab-svoa. No NDC/HCPCS list reported in accessible records. ScienceDirect/AJO page indicates supplemental material may be available at the journal site, but accessible snippets did not expose ICD/HCPCS/NDC lists. Use the AJO/ScienceDirect source URL for supplement retrieval if institutional/browser access is available.</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61">
              <w:r>
                <w:rPr>
                  <w:color w:val="2A5DB0"/>
                  <w:u w:val="single"/>
                </w:rPr>
                <w:t>2025 PubMed</w:t>
              </w:r>
            </w:hyperlink>
            <w:r>
              <w:rPr>
                <w:sz w:val="13"/>
              </w:rPr>
              <w:br/>
            </w:r>
            <w:hyperlink r:id="rId74">
              <w:r>
                <w:rPr>
                  <w:color w:val="2A5DB0"/>
                  <w:u w:val="single"/>
                </w:rPr>
                <w:t>2025 ScienceDirect</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Real-World Persistence, Switching, and Reinitiation in Patients with nAMD and DME Treated with Faricimab or Other Anti-VEGF Therapies (2026)</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Eyes with nAMD or DME diagnosis and at least 2 faricimab or anti-VEGF injections between Jan 1 2022 and May 31 2023. Required at least 12 months of pre-index data and at least 24 months of follow-up. Index date was first faricimab or anti-VEGF injection. Treatment-naive was no anti-VEGF injection during the 12-month pre-index period; prior anti-VEGF-treated was at least 1 anti-VEGF injection in that period. Persistence was receipt of index treatment without a gap &gt;=180 days.</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At least 24 months post-index follow-up. Sensitivity analysis added eyes reinitiating faricimab after a &gt;=180-day gap to persistent eyes. Poster does not expose a detailed exclusion list beyond diagnosis, injection count, pre-index data, and follow-up requirements.</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Post-gap outcomes among nonpersistent eyes were mutually exclusive and hierarchical: switching to anti-VEGF, then reinitiating faricimab, then discontinuing faricimab/all anti-VEGF therapies. Outcomes included persistence, switching, reinitiation, discontinuation, and descriptive patient/eye characteristics.</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nAMD or DME diagnosis in Vestrum EHR; no ICD code list reported on poster. Faricimab compared with other anti-VEGF therapies. Other anti-VEGF list included aflibercept 2 mg, bevacizumab, brolucizumab, and ranibizumab/biosimilars. No NDC/HCPCS list reported. No appendix or code list found in the poster/PDF. Poster PDF is saved locally.</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75">
              <w:r>
                <w:rPr>
                  <w:color w:val="2A5DB0"/>
                  <w:u w:val="single"/>
                </w:rPr>
                <w:t>2026 Poster/PDF</w:t>
              </w:r>
            </w:hyperlink>
            <w:r>
              <w:rPr>
                <w:sz w:val="13"/>
              </w:rPr>
              <w:br/>
            </w:r>
            <w:hyperlink r:id="rId54">
              <w:r>
                <w:rPr>
                  <w:color w:val="2A5DB0"/>
                  <w:u w:val="single"/>
                </w:rPr>
                <w:t>2026 Poster/PDF</w:t>
              </w:r>
            </w:hyperlink>
          </w:p>
        </w:tc>
      </w:tr>
      <w:tr>
        <w:tc>
          <w:tcPr>
            <w:tcW w:type="dxa" w:w="2150"/>
            <w:shd w:val="clear" w:color="auto" w:fill="F6F1E8"/>
            <w:vAlign w:val="top"/>
            <w:tcMar>
              <w:top w:w="90" w:type="dxa"/>
              <w:bottom w:w="90" w:type="dxa"/>
              <w:left w:w="110" w:type="dxa"/>
              <w:right w:w="110" w:type="dxa"/>
            </w:tcMar>
          </w:tcPr>
          <w:p>
            <w:pPr>
              <w:spacing w:before="0" w:after="0" w:line="269" w:lineRule="auto"/>
            </w:pPr>
            <w:r/>
            <w:r>
              <w:rPr>
                <w:b/>
                <w:caps w:val="0"/>
                <w:color w:val="10120F"/>
                <w:sz w:val="13"/>
              </w:rPr>
              <w:t>Treatment Gaps Linked to Worse Long-Term Vision Outcomes in Wet AMD (2026)</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Treatment-naive wet AMD/nAMD patients managed with intravitreal anti-VEGF therapy. Exposure was having a treatment gap of at least 180 days versus no such gap. The 180-day threshold was described as clinically meaningful relative to expected anti-VEGF duration.</w:t>
            </w:r>
          </w:p>
        </w:tc>
        <w:tc>
          <w:tcPr>
            <w:tcW w:type="dxa" w:w="25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Follow-up reported across years 1-7. Detailed inclusion/exclusion criteria were not available in coverage.</w:t>
            </w:r>
          </w:p>
        </w:tc>
        <w:tc>
          <w:tcPr>
            <w:tcW w:type="dxa" w:w="280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Outcomes were prevalence of &gt;=180-day treatment gaps over time and VA trajectories comparing gap versus no-gap patients. Coverage reports about 40% had a gap by year 1, up to 80% by year 7, and gap patients had less early improvement and more decline.</w:t>
            </w:r>
          </w:p>
        </w:tc>
        <w:tc>
          <w:tcPr>
            <w:tcW w:type="dxa" w:w="2850"/>
            <w:shd w:val="clear" w:color="auto" w:fill="F6F1E8"/>
            <w:vAlign w:val="top"/>
            <w:tcMar>
              <w:top w:w="90" w:type="dxa"/>
              <w:bottom w:w="90" w:type="dxa"/>
              <w:left w:w="110" w:type="dxa"/>
              <w:right w:w="110" w:type="dxa"/>
            </w:tcMar>
          </w:tcPr>
          <w:p>
            <w:pPr>
              <w:spacing w:before="0" w:after="0" w:line="269" w:lineRule="auto"/>
            </w:pPr>
            <w:r/>
            <w:r>
              <w:rPr>
                <w:b w:val="0"/>
                <w:caps w:val="0"/>
                <w:color w:val="10120F"/>
                <w:sz w:val="13"/>
              </w:rPr>
              <w:t>Wet AMD/nAMD diagnosis in Vestrum database; no ICD code list reported in coverage. Intravitreal anti-VEGF therapy; no agent list or drug-code list reported in coverage. No diagnostic-code, drug-code, or appendix details found in available coverage. Underlying ARVO abstract/poster should be retrieved if available through ARVO or the authors.</w:t>
            </w:r>
          </w:p>
        </w:tc>
        <w:tc>
          <w:tcPr>
            <w:tcW w:type="dxa" w:w="1380"/>
            <w:shd w:val="clear" w:color="auto" w:fill="F6F1E8"/>
            <w:vAlign w:val="top"/>
            <w:tcMar>
              <w:top w:w="90" w:type="dxa"/>
              <w:bottom w:w="90" w:type="dxa"/>
              <w:left w:w="110" w:type="dxa"/>
              <w:right w:w="110" w:type="dxa"/>
            </w:tcMar>
          </w:tcPr>
          <w:p>
            <w:pPr>
              <w:spacing w:before="0" w:after="0" w:line="240" w:lineRule="auto"/>
            </w:pPr>
            <w:r>
              <w:rPr>
                <w:sz w:val="13"/>
              </w:rPr>
            </w:r>
            <w:hyperlink r:id="rId55">
              <w:r>
                <w:rPr>
                  <w:color w:val="2A5DB0"/>
                  <w:u w:val="single"/>
                </w:rPr>
                <w:t>2026 Retinal Physician</w:t>
              </w:r>
            </w:hyperlink>
          </w:p>
        </w:tc>
      </w:tr>
      <w:tr>
        <w:tc>
          <w:tcPr>
            <w:tcW w:type="dxa" w:w="2150"/>
            <w:shd w:val="clear" w:color="auto" w:fill="EBE4D6"/>
            <w:vAlign w:val="top"/>
            <w:tcMar>
              <w:top w:w="90" w:type="dxa"/>
              <w:bottom w:w="90" w:type="dxa"/>
              <w:left w:w="110" w:type="dxa"/>
              <w:right w:w="110" w:type="dxa"/>
            </w:tcMar>
          </w:tcPr>
          <w:p>
            <w:pPr>
              <w:spacing w:before="0" w:after="0" w:line="269" w:lineRule="auto"/>
            </w:pPr>
            <w:r/>
            <w:r>
              <w:rPr>
                <w:b/>
                <w:caps w:val="0"/>
                <w:color w:val="10120F"/>
                <w:sz w:val="13"/>
              </w:rPr>
              <w:t>Visual Acuity and Durability Outcomes of Faricimab Compared With Other Anti-VEGF Agents Within Routine Clinical Practice for Neovascular Age-Related Macular Degeneration (2026)</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nAMD eyes treated with bevacizumab, ranibizumab, aflibercept, or faricimab from Jan 2021-Dec 2023. Included treatment-naive and treatment-experienced/switch cohorts. For treatment-naive eyes, index was first treatment with the relevant agent and outcomes were followed through 6 injections. For switched eyes, switch date/agent was used and outcomes were followed through 2 injections after switch.</w:t>
            </w:r>
          </w:p>
        </w:tc>
        <w:tc>
          <w:tcPr>
            <w:tcW w:type="dxa" w:w="25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Short-term outcomes through 6 injections in treatment-naive eyes and through 2 injections in switched eyes. Durability used interval between final two injections in each analysis window. Detailed exclusions not available in accessible abstract/PubMed text.</w:t>
            </w:r>
          </w:p>
        </w:tc>
        <w:tc>
          <w:tcPr>
            <w:tcW w:type="dxa" w:w="280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Outcomes were mean VA change and mean days between injections. Durability also measured the proportion of eyes extended &gt;50 days between the final 2 injections. Interpretation adjusted/accounted for baseline VA and switch-date VA differences.</w:t>
            </w:r>
          </w:p>
        </w:tc>
        <w:tc>
          <w:tcPr>
            <w:tcW w:type="dxa" w:w="2850"/>
            <w:shd w:val="clear" w:color="auto" w:fill="EBE4D6"/>
            <w:vAlign w:val="top"/>
            <w:tcMar>
              <w:top w:w="90" w:type="dxa"/>
              <w:bottom w:w="90" w:type="dxa"/>
              <w:left w:w="110" w:type="dxa"/>
              <w:right w:w="110" w:type="dxa"/>
            </w:tcMar>
          </w:tcPr>
          <w:p>
            <w:pPr>
              <w:spacing w:before="0" w:after="0" w:line="269" w:lineRule="auto"/>
            </w:pPr>
            <w:r/>
            <w:r>
              <w:rPr>
                <w:b w:val="0"/>
                <w:caps w:val="0"/>
                <w:color w:val="10120F"/>
                <w:sz w:val="13"/>
              </w:rPr>
              <w:t>nAMD diagnosis in Vestrum EMR; no ICD code list visible in accessible text. Agents were bevacizumab, ranibizumab, aflibercept, and faricimab. No NDC/HCPCS list visible in accessible text. Sage lists supplemental DOCX materials, but scripted access returned 403. Use the Sage DOI supplement area if browser or institutional access is available: https://journals.sagepub.com/doi/suppl/10.1177/24741264261428749. PMCID PMC13068786 is listed by PubMed as available Apr 9 2027.</w:t>
            </w:r>
          </w:p>
        </w:tc>
        <w:tc>
          <w:tcPr>
            <w:tcW w:type="dxa" w:w="1380"/>
            <w:shd w:val="clear" w:color="auto" w:fill="EBE4D6"/>
            <w:vAlign w:val="top"/>
            <w:tcMar>
              <w:top w:w="90" w:type="dxa"/>
              <w:bottom w:w="90" w:type="dxa"/>
              <w:left w:w="110" w:type="dxa"/>
              <w:right w:w="110" w:type="dxa"/>
            </w:tcMar>
          </w:tcPr>
          <w:p>
            <w:pPr>
              <w:spacing w:before="0" w:after="0" w:line="240" w:lineRule="auto"/>
            </w:pPr>
            <w:r>
              <w:rPr>
                <w:sz w:val="13"/>
              </w:rPr>
            </w:r>
            <w:hyperlink r:id="rId59">
              <w:r>
                <w:rPr>
                  <w:color w:val="2A5DB0"/>
                  <w:u w:val="single"/>
                </w:rPr>
                <w:t>2026 Sage</w:t>
              </w:r>
            </w:hyperlink>
            <w:r>
              <w:rPr>
                <w:sz w:val="13"/>
              </w:rPr>
              <w:br/>
            </w:r>
            <w:hyperlink r:id="rId76">
              <w:r>
                <w:rPr>
                  <w:color w:val="2A5DB0"/>
                  <w:u w:val="single"/>
                </w:rPr>
                <w:t>2026 PubMed</w:t>
              </w:r>
            </w:hyperlink>
          </w:p>
        </w:tc>
      </w:tr>
    </w:tbl>
    <w:p>
      <w:pPr>
        <w:sectPr>
          <w:pgSz w:w="15840" w:h="12240" w:orient="landscape"/>
          <w:pgMar w:top="1080" w:right="1080" w:bottom="1080" w:left="1080" w:header="708" w:footer="708" w:gutter="0"/>
          <w:cols w:space="720"/>
          <w:docGrid w:linePitch="360"/>
          <w:shd w:fill="F6F1E8"/>
        </w:sectPr>
      </w:pPr>
    </w:p>
    <w:p>
      <w:pPr>
        <w:spacing w:before="360" w:after="160" w:line="320" w:lineRule="auto"/>
        <w:keepNext/>
        <w:pBdr>
          <w:bottom w:val="single" w:sz="6" w:space="6" w:color="10120F"/>
        </w:pBdr>
      </w:pPr>
      <w:r>
        <w:rPr>
          <w:b/>
          <w:color w:val="10120F"/>
          <w:sz w:val="30"/>
        </w:rPr>
        <w:t>5.  Evidence Gaps and Caveats</w:t>
      </w:r>
    </w:p>
    <w:p>
      <w:pPr>
        <w:spacing w:before="0" w:after="200" w:line="300" w:lineRule="auto"/>
      </w:pPr>
      <w:r>
        <w:rPr>
          <w:color w:val="1B1F17"/>
        </w:rPr>
        <w:t>Accessible Vestrum publications generally provide strong outcome-window and treatment-exposure definitions but do not provide complete diagnosis, procedure, and drug-code lists. That limits exact reproducibility even where the analytic design is clear.</w:t>
      </w:r>
      <w:r>
        <w:t xml:space="preserve"> </w:t>
      </w:r>
      <w:r>
        <w:t>(</w:t>
      </w:r>
      <w:hyperlink r:id="rId49">
        <w:r>
          <w:rPr>
            <w:color w:val="2A5DB0"/>
            <w:u w:val="single"/>
          </w:rPr>
          <w:t>Detailed extraction</w:t>
        </w:r>
      </w:hyperlink>
      <w:r>
        <w:t xml:space="preserve">; </w:t>
      </w:r>
      <w:hyperlink r:id="rId48">
        <w:r>
          <w:rPr>
            <w:color w:val="2A5DB0"/>
            <w:u w:val="single"/>
          </w:rPr>
          <w:t>Vestrum Media</w:t>
        </w:r>
      </w:hyperlink>
      <w:r>
        <w:t>)</w:t>
      </w:r>
    </w:p>
    <w:p>
      <w:pPr>
        <w:spacing w:before="0" w:after="200" w:line="300" w:lineRule="auto"/>
      </w:pPr>
      <w:r>
        <w:rPr>
          <w:color w:val="1B1F17"/>
        </w:rPr>
        <w:t>Several potentially relevant supplements remained blocked or incomplete in this evidence set: the Moshfeghi 2021 supplement endpoint returned a proof-of-work stub, Rowe 2026 Sage supplements returned 403 and PubMed lists PMCID availability for Apr 9 2027, and Kaufmann 2025/AJO supplemental snippets did not expose ICD/HCPCS/NDC lists.</w:t>
      </w:r>
      <w:r>
        <w:t xml:space="preserve"> </w:t>
      </w:r>
      <w:r>
        <w:t>(</w:t>
      </w:r>
      <w:hyperlink r:id="rId56">
        <w:r>
          <w:rPr>
            <w:color w:val="2A5DB0"/>
            <w:u w:val="single"/>
          </w:rPr>
          <w:t>Moshfeghi 2021</w:t>
        </w:r>
      </w:hyperlink>
      <w:r>
        <w:t xml:space="preserve">; </w:t>
      </w:r>
      <w:hyperlink r:id="rId59">
        <w:r>
          <w:rPr>
            <w:color w:val="2A5DB0"/>
            <w:u w:val="single"/>
          </w:rPr>
          <w:t>Rowe 2026</w:t>
        </w:r>
      </w:hyperlink>
      <w:r>
        <w:t xml:space="preserve">; </w:t>
      </w:r>
      <w:hyperlink r:id="rId61">
        <w:r>
          <w:rPr>
            <w:color w:val="2A5DB0"/>
            <w:u w:val="single"/>
          </w:rPr>
          <w:t>Kaufmann 2025</w:t>
        </w:r>
      </w:hyperlink>
      <w:r>
        <w:t>)</w:t>
      </w:r>
    </w:p>
    <w:p>
      <w:pPr>
        <w:spacing w:before="0" w:after="200" w:line="300" w:lineRule="auto"/>
      </w:pPr>
      <w:r>
        <w:rPr>
          <w:color w:val="1B1F17"/>
        </w:rPr>
        <w:t>For future Vestrum analyses, the methods supplement should include ICD-9/ICD-10 disease codes, anti-VEGF NDC/HCPCS/procedure codes, exclusion-code lists, VA conversion and visit-window rules, lookback windows, censoring rules, and gap/persistence definitions.</w:t>
      </w:r>
      <w:r>
        <w:t xml:space="preserve"> </w:t>
      </w:r>
      <w:r>
        <w:t>(</w:t>
      </w:r>
      <w:hyperlink r:id="rId57">
        <w:r>
          <w:rPr>
            <w:color w:val="2A5DB0"/>
            <w:u w:val="single"/>
          </w:rPr>
          <w:t>Luttrull 2023</w:t>
        </w:r>
      </w:hyperlink>
      <w:r>
        <w:t xml:space="preserve">; </w:t>
      </w:r>
      <w:hyperlink r:id="rId54">
        <w:r>
          <w:rPr>
            <w:color w:val="2A5DB0"/>
            <w:u w:val="single"/>
          </w:rPr>
          <w:t>Ko 2026</w:t>
        </w:r>
      </w:hyperlink>
      <w:r>
        <w:t>)</w:t>
      </w:r>
    </w:p>
    <w:p>
      <w:pPr>
        <w:sectPr>
          <w:pgSz w:w="12240" w:h="15840"/>
          <w:pgMar w:top="1080" w:right="1080" w:bottom="1080" w:left="1080" w:header="708" w:footer="708" w:gutter="0"/>
          <w:cols w:space="720"/>
          <w:docGrid w:linePitch="360"/>
          <w:shd w:fill="F6F1E8"/>
        </w:sectPr>
      </w:pPr>
    </w:p>
    <w:p>
      <w:pPr>
        <w:spacing w:before="360" w:after="160" w:line="320" w:lineRule="auto"/>
        <w:keepNext/>
        <w:pBdr>
          <w:bottom w:val="single" w:sz="6" w:space="6" w:color="10120F"/>
        </w:pBdr>
      </w:pPr>
      <w:r>
        <w:rPr>
          <w:b/>
          <w:color w:val="10120F"/>
          <w:sz w:val="30"/>
        </w:rPr>
        <w:t>6.  Source Links</w:t>
      </w:r>
    </w:p>
    <w:p>
      <w:pPr>
        <w:spacing w:before="0" w:after="200" w:line="300" w:lineRule="auto"/>
      </w:pPr>
      <w:r>
        <w:rPr>
          <w:color w:val="1B1F17"/>
        </w:rPr>
        <w:t>The links below are the publication landing pages, abstracts, full-text records, posters, or source pages used for inline citation in this report.</w:t>
      </w:r>
      <w:r>
        <w:t xml:space="preserve"> </w:t>
      </w:r>
      <w:r>
        <w:t>(</w:t>
      </w:r>
      <w:hyperlink r:id="rId48">
        <w:r>
          <w:rPr>
            <w:color w:val="2A5DB0"/>
            <w:u w:val="single"/>
          </w:rPr>
          <w:t>Vestrum Media</w:t>
        </w:r>
      </w:hyperlink>
      <w:r>
        <w:t xml:space="preserve">; </w:t>
      </w:r>
      <w:hyperlink r:id="rId49">
        <w:r>
          <w:rPr>
            <w:color w:val="2A5DB0"/>
            <w:u w:val="single"/>
          </w:rPr>
          <w:t>Methods extraction file</w:t>
        </w:r>
      </w:hyperlink>
      <w:r>
        <w:t>)</w:t>
      </w:r>
    </w:p>
    <w:p>
      <w:pPr>
        <w:tabs>
          <w:tab w:pos="460" w:val="left"/>
        </w:tabs>
        <w:spacing w:before="0" w:after="120" w:line="300" w:lineRule="auto"/>
        <w:ind w:left="460" w:hanging="280"/>
      </w:pPr>
      <w:r>
        <w:rPr>
          <w:color w:val="10120F"/>
          <w:sz w:val="17"/>
        </w:rPr>
        <w:t>—</w:t>
        <w:tab/>
      </w:r>
      <w:r>
        <w:rPr>
          <w:color w:val="10120F"/>
          <w:sz w:val="17"/>
        </w:rPr>
        <w:t xml:space="preserve">Real-world Outcomes of Anti-VEGF Therapy in Neovascular Age-Related Macular Degeneration in the United States (2018): </w:t>
      </w:r>
      <w:hyperlink r:id="rId62">
        <w:r>
          <w:rPr>
            <w:color w:val="2A5DB0"/>
            <w:u w:val="single"/>
          </w:rPr>
          <w:t>ScienceDirect</w:t>
        </w:r>
      </w:hyperlink>
      <w:r>
        <w:t xml:space="preserve">; </w:t>
      </w:r>
      <w:hyperlink r:id="rId50">
        <w:r>
          <w:rPr>
            <w:color w:val="2A5DB0"/>
            <w:u w:val="single"/>
          </w:rPr>
          <w:t>PubMed</w:t>
        </w:r>
      </w:hyperlink>
    </w:p>
    <w:p>
      <w:pPr>
        <w:tabs>
          <w:tab w:pos="460" w:val="left"/>
        </w:tabs>
        <w:spacing w:before="0" w:after="120" w:line="300" w:lineRule="auto"/>
        <w:ind w:left="460" w:hanging="280"/>
      </w:pPr>
      <w:r>
        <w:rPr>
          <w:color w:val="10120F"/>
          <w:sz w:val="17"/>
        </w:rPr>
        <w:t>—</w:t>
        <w:tab/>
      </w:r>
      <w:r>
        <w:rPr>
          <w:color w:val="10120F"/>
          <w:sz w:val="17"/>
        </w:rPr>
        <w:t xml:space="preserve">Visual Acuity Outcomes in Patients Receiving Frequent Treatment of Neovascular Age-Related Macular Degeneration in Clinical Practice (2021): </w:t>
      </w:r>
      <w:hyperlink r:id="rId56">
        <w:r>
          <w:rPr>
            <w:color w:val="2A5DB0"/>
            <w:u w:val="single"/>
          </w:rPr>
          <w:t>PMC</w:t>
        </w:r>
      </w:hyperlink>
      <w:r>
        <w:t xml:space="preserve">; </w:t>
      </w:r>
      <w:hyperlink r:id="rId63">
        <w:r>
          <w:rPr>
            <w:color w:val="2A5DB0"/>
            <w:u w:val="single"/>
          </w:rPr>
          <w:t>PubMed</w:t>
        </w:r>
      </w:hyperlink>
    </w:p>
    <w:p>
      <w:pPr>
        <w:tabs>
          <w:tab w:pos="460" w:val="left"/>
        </w:tabs>
        <w:spacing w:before="0" w:after="120" w:line="300" w:lineRule="auto"/>
        <w:ind w:left="460" w:hanging="280"/>
      </w:pPr>
      <w:r>
        <w:rPr>
          <w:color w:val="10120F"/>
          <w:sz w:val="17"/>
        </w:rPr>
        <w:t>—</w:t>
        <w:tab/>
      </w:r>
      <w:r>
        <w:rPr>
          <w:color w:val="10120F"/>
          <w:sz w:val="17"/>
        </w:rPr>
        <w:t xml:space="preserve">Visual Acuity Outcomes and Anti-VEGF Therapy Intensity in Neovascular Age-Related Macular Degeneration Patients: A Real-World Analysis of 49,485 Eyes (2020): </w:t>
      </w:r>
      <w:hyperlink r:id="rId64">
        <w:r>
          <w:rPr>
            <w:color w:val="2A5DB0"/>
            <w:u w:val="single"/>
          </w:rPr>
          <w:t>ScienceDirect</w:t>
        </w:r>
      </w:hyperlink>
      <w:r>
        <w:t xml:space="preserve">; </w:t>
      </w:r>
      <w:hyperlink r:id="rId51">
        <w:r>
          <w:rPr>
            <w:color w:val="2A5DB0"/>
            <w:u w:val="single"/>
          </w:rPr>
          <w:t>PubMed</w:t>
        </w:r>
      </w:hyperlink>
    </w:p>
    <w:p>
      <w:pPr>
        <w:tabs>
          <w:tab w:pos="460" w:val="left"/>
        </w:tabs>
        <w:spacing w:before="0" w:after="120" w:line="300" w:lineRule="auto"/>
        <w:ind w:left="460" w:hanging="280"/>
      </w:pPr>
      <w:r>
        <w:rPr>
          <w:color w:val="10120F"/>
          <w:sz w:val="17"/>
        </w:rPr>
        <w:t>—</w:t>
        <w:tab/>
      </w:r>
      <w:r>
        <w:rPr>
          <w:color w:val="10120F"/>
          <w:sz w:val="17"/>
        </w:rPr>
        <w:t xml:space="preserve">SIERRA-AMD: A Retrospective, Real-World Evidence Study of Patients with Neovascular Age-Related Macular Degeneration in the United States (2020): </w:t>
      </w:r>
      <w:hyperlink r:id="rId65">
        <w:r>
          <w:rPr>
            <w:color w:val="2A5DB0"/>
            <w:u w:val="single"/>
          </w:rPr>
          <w:t>ScienceDirect</w:t>
        </w:r>
      </w:hyperlink>
      <w:r>
        <w:t xml:space="preserve">; </w:t>
      </w:r>
      <w:hyperlink r:id="rId53">
        <w:r>
          <w:rPr>
            <w:color w:val="2A5DB0"/>
            <w:u w:val="single"/>
          </w:rPr>
          <w:t>PubMed</w:t>
        </w:r>
      </w:hyperlink>
    </w:p>
    <w:p>
      <w:pPr>
        <w:tabs>
          <w:tab w:pos="460" w:val="left"/>
        </w:tabs>
        <w:spacing w:before="0" w:after="120" w:line="300" w:lineRule="auto"/>
        <w:ind w:left="460" w:hanging="280"/>
      </w:pPr>
      <w:r>
        <w:rPr>
          <w:color w:val="10120F"/>
          <w:sz w:val="17"/>
        </w:rPr>
        <w:t>—</w:t>
        <w:tab/>
      </w:r>
      <w:r>
        <w:rPr>
          <w:color w:val="10120F"/>
          <w:sz w:val="17"/>
        </w:rPr>
        <w:t xml:space="preserve">Increasing Incidence and Prevalence of Common Retinal Diseases in Retina Practices Across the United States (2021): </w:t>
      </w:r>
      <w:hyperlink r:id="rId66">
        <w:r>
          <w:rPr>
            <w:color w:val="2A5DB0"/>
            <w:u w:val="single"/>
          </w:rPr>
          <w:t>PubMed</w:t>
        </w:r>
      </w:hyperlink>
      <w:r>
        <w:t xml:space="preserve">; </w:t>
      </w:r>
      <w:hyperlink r:id="rId67">
        <w:r>
          <w:rPr>
            <w:color w:val="2A5DB0"/>
            <w:u w:val="single"/>
          </w:rPr>
          <w:t>stanfordhealthcare.org</w:t>
        </w:r>
      </w:hyperlink>
    </w:p>
    <w:p>
      <w:pPr>
        <w:tabs>
          <w:tab w:pos="460" w:val="left"/>
        </w:tabs>
        <w:spacing w:before="0" w:after="120" w:line="300" w:lineRule="auto"/>
        <w:ind w:left="460" w:hanging="280"/>
      </w:pPr>
      <w:r>
        <w:rPr>
          <w:color w:val="10120F"/>
          <w:sz w:val="17"/>
        </w:rPr>
        <w:t>—</w:t>
        <w:tab/>
      </w:r>
      <w:r>
        <w:rPr>
          <w:color w:val="10120F"/>
          <w:sz w:val="17"/>
        </w:rPr>
        <w:t xml:space="preserve">Characterizing Progression to Neovascular Age-Related Macular Degeneration in Fellow Eyes of Patients with Neovascular Age-Related Macular Degeneration (2021): </w:t>
      </w:r>
      <w:hyperlink r:id="rId58">
        <w:r>
          <w:rPr>
            <w:color w:val="2A5DB0"/>
            <w:u w:val="single"/>
          </w:rPr>
          <w:t>PubMed</w:t>
        </w:r>
      </w:hyperlink>
      <w:r>
        <w:t xml:space="preserve">; </w:t>
      </w:r>
      <w:hyperlink r:id="rId68">
        <w:r>
          <w:rPr>
            <w:color w:val="2A5DB0"/>
            <w:u w:val="single"/>
          </w:rPr>
          <w:t>mayoclinic.elsevierpure.com</w:t>
        </w:r>
      </w:hyperlink>
    </w:p>
    <w:p>
      <w:pPr>
        <w:tabs>
          <w:tab w:pos="460" w:val="left"/>
        </w:tabs>
        <w:spacing w:before="0" w:after="120" w:line="300" w:lineRule="auto"/>
        <w:ind w:left="460" w:hanging="280"/>
      </w:pPr>
      <w:r>
        <w:rPr>
          <w:color w:val="10120F"/>
          <w:sz w:val="17"/>
        </w:rPr>
        <w:t>—</w:t>
        <w:tab/>
      </w:r>
      <w:r>
        <w:rPr>
          <w:color w:val="10120F"/>
          <w:sz w:val="17"/>
        </w:rPr>
        <w:t xml:space="preserve">Longer-Term Anti-VEGF Therapy Outcomes in Neovascular Age-Related Macular Degeneration, Diabetic Macular Edema, and Retinal Vein Occlusion-Related Macular Edema (2022): </w:t>
      </w:r>
      <w:hyperlink r:id="rId52">
        <w:r>
          <w:rPr>
            <w:color w:val="2A5DB0"/>
            <w:u w:val="single"/>
          </w:rPr>
          <w:t>PubMed</w:t>
        </w:r>
      </w:hyperlink>
      <w:r>
        <w:t xml:space="preserve">; </w:t>
      </w:r>
      <w:hyperlink r:id="rId69">
        <w:r>
          <w:rPr>
            <w:color w:val="2A5DB0"/>
            <w:u w:val="single"/>
          </w:rPr>
          <w:t>ScienceDirect</w:t>
        </w:r>
      </w:hyperlink>
    </w:p>
    <w:p>
      <w:pPr>
        <w:tabs>
          <w:tab w:pos="460" w:val="left"/>
        </w:tabs>
        <w:spacing w:before="0" w:after="120" w:line="300" w:lineRule="auto"/>
        <w:ind w:left="460" w:hanging="280"/>
      </w:pPr>
      <w:r>
        <w:rPr>
          <w:color w:val="10120F"/>
          <w:sz w:val="17"/>
        </w:rPr>
        <w:t>—</w:t>
        <w:tab/>
      </w:r>
      <w:r>
        <w:rPr>
          <w:color w:val="10120F"/>
          <w:sz w:val="17"/>
        </w:rPr>
        <w:t xml:space="preserve">Levodopa Is Associated with Reduced Development of Neovascular Age-Related Macular Degeneration (2023): </w:t>
      </w:r>
      <w:hyperlink r:id="rId70">
        <w:r>
          <w:rPr>
            <w:color w:val="2A5DB0"/>
            <w:u w:val="single"/>
          </w:rPr>
          <w:t>PMC</w:t>
        </w:r>
      </w:hyperlink>
      <w:r>
        <w:t xml:space="preserve">; </w:t>
      </w:r>
      <w:hyperlink r:id="rId71">
        <w:r>
          <w:rPr>
            <w:color w:val="2A5DB0"/>
            <w:u w:val="single"/>
          </w:rPr>
          <w:t>PubMed</w:t>
        </w:r>
      </w:hyperlink>
    </w:p>
    <w:p>
      <w:pPr>
        <w:tabs>
          <w:tab w:pos="460" w:val="left"/>
        </w:tabs>
        <w:spacing w:before="0" w:after="120" w:line="300" w:lineRule="auto"/>
        <w:ind w:left="460" w:hanging="280"/>
      </w:pPr>
      <w:r>
        <w:rPr>
          <w:color w:val="10120F"/>
          <w:sz w:val="17"/>
        </w:rPr>
        <w:t>—</w:t>
        <w:tab/>
      </w:r>
      <w:r>
        <w:rPr>
          <w:color w:val="10120F"/>
          <w:sz w:val="17"/>
        </w:rPr>
        <w:t xml:space="preserve">Vision Protection Therapy for Prevention of Neovascular Age-Related Macular Degeneration (2023): </w:t>
      </w:r>
      <w:hyperlink r:id="rId57">
        <w:r>
          <w:rPr>
            <w:color w:val="2A5DB0"/>
            <w:u w:val="single"/>
          </w:rPr>
          <w:t>PMC</w:t>
        </w:r>
      </w:hyperlink>
      <w:r>
        <w:t xml:space="preserve">; </w:t>
      </w:r>
      <w:hyperlink r:id="rId72">
        <w:r>
          <w:rPr>
            <w:color w:val="2A5DB0"/>
            <w:u w:val="single"/>
          </w:rPr>
          <w:t>Nature</w:t>
        </w:r>
      </w:hyperlink>
    </w:p>
    <w:p>
      <w:pPr>
        <w:tabs>
          <w:tab w:pos="460" w:val="left"/>
        </w:tabs>
        <w:spacing w:before="0" w:after="120" w:line="300" w:lineRule="auto"/>
        <w:ind w:left="460" w:hanging="280"/>
      </w:pPr>
      <w:r>
        <w:rPr>
          <w:color w:val="10120F"/>
          <w:sz w:val="17"/>
        </w:rPr>
        <w:t>—</w:t>
        <w:tab/>
      </w:r>
      <w:r>
        <w:rPr>
          <w:color w:val="10120F"/>
          <w:sz w:val="17"/>
        </w:rPr>
        <w:t xml:space="preserve">Maintenance of Vision Needed to Drive After Anti-VEGF Therapy in Neovascular Age-Related Macular Degeneration and Diabetic Macular Edema (2024): </w:t>
      </w:r>
      <w:hyperlink r:id="rId60">
        <w:r>
          <w:rPr>
            <w:color w:val="2A5DB0"/>
            <w:u w:val="single"/>
          </w:rPr>
          <w:t>PubMed</w:t>
        </w:r>
      </w:hyperlink>
      <w:r>
        <w:t xml:space="preserve">; </w:t>
      </w:r>
      <w:hyperlink r:id="rId73">
        <w:r>
          <w:rPr>
            <w:color w:val="2A5DB0"/>
            <w:u w:val="single"/>
          </w:rPr>
          <w:t>ScienceDirect</w:t>
        </w:r>
      </w:hyperlink>
    </w:p>
    <w:p>
      <w:pPr>
        <w:tabs>
          <w:tab w:pos="460" w:val="left"/>
        </w:tabs>
        <w:spacing w:before="0" w:after="120" w:line="300" w:lineRule="auto"/>
        <w:ind w:left="460" w:hanging="280"/>
      </w:pPr>
      <w:r>
        <w:rPr>
          <w:color w:val="10120F"/>
          <w:sz w:val="17"/>
        </w:rPr>
        <w:t>—</w:t>
        <w:tab/>
      </w:r>
      <w:r>
        <w:rPr>
          <w:color w:val="10120F"/>
          <w:sz w:val="17"/>
        </w:rPr>
        <w:t xml:space="preserve">Submacular Hemorrhage Rates Following Anti-VEGF Injections for Exudative Age-Related Macular Degeneration (2025): </w:t>
      </w:r>
      <w:hyperlink r:id="rId61">
        <w:r>
          <w:rPr>
            <w:color w:val="2A5DB0"/>
            <w:u w:val="single"/>
          </w:rPr>
          <w:t>PubMed</w:t>
        </w:r>
      </w:hyperlink>
      <w:r>
        <w:t xml:space="preserve">; </w:t>
      </w:r>
      <w:hyperlink r:id="rId74">
        <w:r>
          <w:rPr>
            <w:color w:val="2A5DB0"/>
            <w:u w:val="single"/>
          </w:rPr>
          <w:t>ScienceDirect</w:t>
        </w:r>
      </w:hyperlink>
    </w:p>
    <w:p>
      <w:pPr>
        <w:tabs>
          <w:tab w:pos="460" w:val="left"/>
        </w:tabs>
        <w:spacing w:before="0" w:after="120" w:line="300" w:lineRule="auto"/>
        <w:ind w:left="460" w:hanging="280"/>
      </w:pPr>
      <w:r>
        <w:rPr>
          <w:color w:val="10120F"/>
          <w:sz w:val="17"/>
        </w:rPr>
        <w:t>—</w:t>
        <w:tab/>
      </w:r>
      <w:r>
        <w:rPr>
          <w:color w:val="10120F"/>
          <w:sz w:val="17"/>
        </w:rPr>
        <w:t xml:space="preserve">Real-World Persistence, Switching, and Reinitiation in Patients with nAMD and DME Treated with Faricimab or Other Anti-VEGF Therapies (2026): </w:t>
      </w:r>
      <w:hyperlink r:id="rId75">
        <w:r>
          <w:rPr>
            <w:color w:val="2A5DB0"/>
            <w:u w:val="single"/>
          </w:rPr>
          <w:t>Poster/PDF</w:t>
        </w:r>
      </w:hyperlink>
      <w:r>
        <w:t xml:space="preserve">; </w:t>
      </w:r>
      <w:hyperlink r:id="rId54">
        <w:r>
          <w:rPr>
            <w:color w:val="2A5DB0"/>
            <w:u w:val="single"/>
          </w:rPr>
          <w:t>Poster/PDF</w:t>
        </w:r>
      </w:hyperlink>
    </w:p>
    <w:p>
      <w:pPr>
        <w:tabs>
          <w:tab w:pos="460" w:val="left"/>
        </w:tabs>
        <w:spacing w:before="0" w:after="120" w:line="300" w:lineRule="auto"/>
        <w:ind w:left="460" w:hanging="280"/>
      </w:pPr>
      <w:r>
        <w:rPr>
          <w:color w:val="10120F"/>
          <w:sz w:val="17"/>
        </w:rPr>
        <w:t>—</w:t>
        <w:tab/>
      </w:r>
      <w:r>
        <w:rPr>
          <w:color w:val="10120F"/>
          <w:sz w:val="17"/>
        </w:rPr>
        <w:t xml:space="preserve">Treatment Gaps Linked to Worse Long-Term Vision Outcomes in Wet AMD (2026): </w:t>
      </w:r>
      <w:hyperlink r:id="rId55">
        <w:r>
          <w:rPr>
            <w:color w:val="2A5DB0"/>
            <w:u w:val="single"/>
          </w:rPr>
          <w:t>Retinal Physician</w:t>
        </w:r>
      </w:hyperlink>
    </w:p>
    <w:p>
      <w:pPr>
        <w:tabs>
          <w:tab w:pos="460" w:val="left"/>
        </w:tabs>
        <w:spacing w:before="0" w:after="120" w:line="300" w:lineRule="auto"/>
        <w:ind w:left="460" w:hanging="280"/>
      </w:pPr>
      <w:r>
        <w:rPr>
          <w:color w:val="10120F"/>
          <w:sz w:val="17"/>
        </w:rPr>
        <w:t>—</w:t>
        <w:tab/>
      </w:r>
      <w:r>
        <w:rPr>
          <w:color w:val="10120F"/>
          <w:sz w:val="17"/>
        </w:rPr>
        <w:t xml:space="preserve">Visual Acuity and Durability Outcomes of Faricimab Compared With Other Anti-VEGF Agents Within Routine Clinical Practice for Neovascular Age-Related Macular Degeneration (2026): </w:t>
      </w:r>
      <w:hyperlink r:id="rId59">
        <w:r>
          <w:rPr>
            <w:color w:val="2A5DB0"/>
            <w:u w:val="single"/>
          </w:rPr>
          <w:t>Sage</w:t>
        </w:r>
      </w:hyperlink>
      <w:r>
        <w:t xml:space="preserve">; </w:t>
      </w:r>
      <w:hyperlink r:id="rId76">
        <w:r>
          <w:rPr>
            <w:color w:val="2A5DB0"/>
            <w:u w:val="single"/>
          </w:rPr>
          <w:t>PubMed</w:t>
        </w:r>
      </w:hyperlink>
    </w:p>
    <w:sectPr w:rsidR="002537A4">
      <w:pgSz w:w="12240" w:h="15840"/>
      <w:pgMar w:top="1080" w:right="1080" w:bottom="1080" w:left="1080" w:header="708" w:footer="708" w:gutter="0"/>
      <w:cols w:space="720"/>
      <w:docGrid w:linePitch="360"/>
      <w:shd w:fill="F6F1E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5375" w14:textId="77777777" w:rsidR="0073024C" w:rsidRDefault="0073024C">
      <w:r>
        <w:separator/>
      </w:r>
    </w:p>
  </w:endnote>
  <w:endnote w:type="continuationSeparator" w:id="0">
    <w:p w14:paraId="1EB6AAB5" w14:textId="77777777" w:rsidR="0073024C" w:rsidRDefault="00730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libri"/>
    <w:panose1 w:val="02000503000000020004"/>
    <w:charset w:val="00"/>
    <w:family w:val="auto"/>
    <w:pitch w:val="variable"/>
    <w:sig w:usb0="E0000AFF" w:usb1="5200A1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5667" w14:textId="77777777" w:rsidR="00707F1A" w:rsidRDefault="00707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E7F7" w14:textId="77777777" w:rsidR="00592533" w:rsidRDefault="00000000">
    <w:pPr>
      <w:jc w:val="right"/>
    </w:pPr>
    <w:r>
      <w:rPr>
        <w:color w:val="5C6257"/>
        <w:sz w:val="16"/>
        <w:szCs w:val="16"/>
      </w:rPr>
      <w:t xml:space="preserve">Page </w:t>
    </w:r>
    <w:r>
      <w:rPr>
        <w:color w:val="5C6257"/>
        <w:sz w:val="16"/>
        <w:szCs w:val="16"/>
      </w:rPr>
      <w:fldChar w:fldCharType="begin"/>
    </w:r>
    <w:r>
      <w:rPr>
        <w:color w:val="5C6257"/>
        <w:sz w:val="16"/>
        <w:szCs w:val="16"/>
      </w:rPr>
      <w:instrText>PAGE</w:instrText>
    </w:r>
    <w:r>
      <w:rPr>
        <w:color w:val="5C6257"/>
        <w:sz w:val="16"/>
        <w:szCs w:val="16"/>
      </w:rPr>
      <w:fldChar w:fldCharType="separate"/>
    </w:r>
    <w:r w:rsidR="00707F1A">
      <w:rPr>
        <w:noProof/>
        <w:color w:val="5C6257"/>
        <w:sz w:val="16"/>
        <w:szCs w:val="16"/>
      </w:rPr>
      <w:t>1</w:t>
    </w:r>
    <w:r>
      <w:rPr>
        <w:color w:val="5C625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318C" w14:textId="77777777" w:rsidR="00707F1A" w:rsidRDefault="00707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75A2" w14:textId="77777777" w:rsidR="0073024C" w:rsidRDefault="0073024C">
      <w:r>
        <w:separator/>
      </w:r>
    </w:p>
  </w:footnote>
  <w:footnote w:type="continuationSeparator" w:id="0">
    <w:p w14:paraId="2F9C3AC7" w14:textId="77777777" w:rsidR="0073024C" w:rsidRDefault="00730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9A9F" w14:textId="77777777" w:rsidR="00707F1A" w:rsidRDefault="00707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5EFE" w14:textId="77777777" w:rsidR="00592533" w:rsidRDefault="00000000">
    <w:r>
      <w:rPr>
        <w:caps/>
        <w:color w:val="5C6257"/>
        <w:spacing w:val="30"/>
        <w:sz w:val="16"/>
        <w:szCs w:val="16"/>
      </w:rPr>
      <w:t>Vestrum Wet AMD Methods Comparison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323F" w14:textId="77777777" w:rsidR="00707F1A" w:rsidRDefault="00707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351"/>
    <w:multiLevelType w:val="hybridMultilevel"/>
    <w:tmpl w:val="944A5FC2"/>
    <w:lvl w:ilvl="0" w:tplc="273A52A4">
      <w:start w:val="1"/>
      <w:numFmt w:val="bullet"/>
      <w:lvlText w:val="—"/>
      <w:lvlJc w:val="left"/>
      <w:pPr>
        <w:ind w:left="460" w:hanging="280"/>
      </w:pPr>
    </w:lvl>
    <w:lvl w:ilvl="1" w:tplc="C482269E">
      <w:numFmt w:val="decimal"/>
      <w:lvlText w:val=""/>
      <w:lvlJc w:val="left"/>
    </w:lvl>
    <w:lvl w:ilvl="2" w:tplc="DB90CE4E">
      <w:numFmt w:val="decimal"/>
      <w:lvlText w:val=""/>
      <w:lvlJc w:val="left"/>
    </w:lvl>
    <w:lvl w:ilvl="3" w:tplc="FD9AAA5A">
      <w:numFmt w:val="decimal"/>
      <w:lvlText w:val=""/>
      <w:lvlJc w:val="left"/>
    </w:lvl>
    <w:lvl w:ilvl="4" w:tplc="F3882856">
      <w:numFmt w:val="decimal"/>
      <w:lvlText w:val=""/>
      <w:lvlJc w:val="left"/>
    </w:lvl>
    <w:lvl w:ilvl="5" w:tplc="E3024EA2">
      <w:numFmt w:val="decimal"/>
      <w:lvlText w:val=""/>
      <w:lvlJc w:val="left"/>
    </w:lvl>
    <w:lvl w:ilvl="6" w:tplc="301E6EEA">
      <w:numFmt w:val="decimal"/>
      <w:lvlText w:val=""/>
      <w:lvlJc w:val="left"/>
    </w:lvl>
    <w:lvl w:ilvl="7" w:tplc="6016A02E">
      <w:numFmt w:val="decimal"/>
      <w:lvlText w:val=""/>
      <w:lvlJc w:val="left"/>
    </w:lvl>
    <w:lvl w:ilvl="8" w:tplc="6F5E0494">
      <w:numFmt w:val="decimal"/>
      <w:lvlText w:val=""/>
      <w:lvlJc w:val="left"/>
    </w:lvl>
  </w:abstractNum>
  <w:abstractNum w:abstractNumId="1" w15:restartNumberingAfterBreak="0">
    <w:nsid w:val="17AB405F"/>
    <w:multiLevelType w:val="hybridMultilevel"/>
    <w:tmpl w:val="4E84AB3A"/>
    <w:lvl w:ilvl="0" w:tplc="4BDA47C6">
      <w:start w:val="1"/>
      <w:numFmt w:val="bullet"/>
      <w:lvlText w:val="●"/>
      <w:lvlJc w:val="left"/>
      <w:pPr>
        <w:ind w:left="720" w:hanging="360"/>
      </w:pPr>
    </w:lvl>
    <w:lvl w:ilvl="1" w:tplc="EC20398E">
      <w:start w:val="1"/>
      <w:numFmt w:val="bullet"/>
      <w:lvlText w:val="○"/>
      <w:lvlJc w:val="left"/>
      <w:pPr>
        <w:ind w:left="1440" w:hanging="360"/>
      </w:pPr>
    </w:lvl>
    <w:lvl w:ilvl="2" w:tplc="678CEA7A">
      <w:start w:val="1"/>
      <w:numFmt w:val="bullet"/>
      <w:lvlText w:val="■"/>
      <w:lvlJc w:val="left"/>
      <w:pPr>
        <w:ind w:left="2160" w:hanging="360"/>
      </w:pPr>
    </w:lvl>
    <w:lvl w:ilvl="3" w:tplc="E140EE96">
      <w:start w:val="1"/>
      <w:numFmt w:val="bullet"/>
      <w:lvlText w:val="●"/>
      <w:lvlJc w:val="left"/>
      <w:pPr>
        <w:ind w:left="2880" w:hanging="360"/>
      </w:pPr>
    </w:lvl>
    <w:lvl w:ilvl="4" w:tplc="A30C8984">
      <w:start w:val="1"/>
      <w:numFmt w:val="bullet"/>
      <w:lvlText w:val="○"/>
      <w:lvlJc w:val="left"/>
      <w:pPr>
        <w:ind w:left="3600" w:hanging="360"/>
      </w:pPr>
    </w:lvl>
    <w:lvl w:ilvl="5" w:tplc="0C766288">
      <w:start w:val="1"/>
      <w:numFmt w:val="bullet"/>
      <w:lvlText w:val="■"/>
      <w:lvlJc w:val="left"/>
      <w:pPr>
        <w:ind w:left="4320" w:hanging="360"/>
      </w:pPr>
    </w:lvl>
    <w:lvl w:ilvl="6" w:tplc="6D68A91E">
      <w:start w:val="1"/>
      <w:numFmt w:val="bullet"/>
      <w:lvlText w:val="●"/>
      <w:lvlJc w:val="left"/>
      <w:pPr>
        <w:ind w:left="5040" w:hanging="360"/>
      </w:pPr>
    </w:lvl>
    <w:lvl w:ilvl="7" w:tplc="667656AC">
      <w:start w:val="1"/>
      <w:numFmt w:val="bullet"/>
      <w:lvlText w:val="●"/>
      <w:lvlJc w:val="left"/>
      <w:pPr>
        <w:ind w:left="5760" w:hanging="360"/>
      </w:pPr>
    </w:lvl>
    <w:lvl w:ilvl="8" w:tplc="81D666A6">
      <w:start w:val="1"/>
      <w:numFmt w:val="bullet"/>
      <w:lvlText w:val="●"/>
      <w:lvlJc w:val="left"/>
      <w:pPr>
        <w:ind w:left="6480" w:hanging="360"/>
      </w:pPr>
    </w:lvl>
  </w:abstractNum>
  <w:num w:numId="1" w16cid:durableId="1527138191">
    <w:abstractNumId w:val="1"/>
    <w:lvlOverride w:ilvl="0">
      <w:startOverride w:val="1"/>
    </w:lvlOverride>
  </w:num>
  <w:num w:numId="2" w16cid:durableId="1052119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533"/>
    <w:rsid w:val="0022477B"/>
    <w:rsid w:val="002537A4"/>
    <w:rsid w:val="003A3A9E"/>
    <w:rsid w:val="00437172"/>
    <w:rsid w:val="00472417"/>
    <w:rsid w:val="00592533"/>
    <w:rsid w:val="00707F1A"/>
    <w:rsid w:val="00715A81"/>
    <w:rsid w:val="0073024C"/>
    <w:rsid w:val="007454B4"/>
    <w:rsid w:val="00AB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BF75"/>
  <w15:docId w15:val="{8F18C187-5D52-4D7F-9EAA-74916A27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B1F1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7F1A"/>
    <w:pPr>
      <w:tabs>
        <w:tab w:val="center" w:pos="4680"/>
        <w:tab w:val="right" w:pos="9360"/>
      </w:tabs>
    </w:pPr>
  </w:style>
  <w:style w:type="character" w:customStyle="1" w:styleId="HeaderChar">
    <w:name w:val="Header Char"/>
    <w:basedOn w:val="DefaultParagraphFont"/>
    <w:link w:val="Header"/>
    <w:uiPriority w:val="99"/>
    <w:rsid w:val="00707F1A"/>
  </w:style>
  <w:style w:type="paragraph" w:styleId="Footer">
    <w:name w:val="footer"/>
    <w:basedOn w:val="Normal"/>
    <w:link w:val="FooterChar"/>
    <w:uiPriority w:val="99"/>
    <w:unhideWhenUsed/>
    <w:rsid w:val="00707F1A"/>
    <w:pPr>
      <w:tabs>
        <w:tab w:val="center" w:pos="4680"/>
        <w:tab w:val="right" w:pos="9360"/>
      </w:tabs>
    </w:pPr>
  </w:style>
  <w:style w:type="character" w:customStyle="1" w:styleId="FooterChar">
    <w:name w:val="Footer Char"/>
    <w:basedOn w:val="DefaultParagraphFont"/>
    <w:link w:val="Footer"/>
    <w:uiPriority w:val="99"/>
    <w:rsid w:val="0070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ice.org.uk/process/pmg36/chapter/introduction-to-health-technology-evaluatio" TargetMode="External"/><Relationship Id="rId18" Type="http://schemas.openxmlformats.org/officeDocument/2006/relationships/hyperlink" Target="https://genesisrg.com/evidence-solutions/" TargetMode="External"/><Relationship Id="rId26" Type="http://schemas.openxmlformats.org/officeDocument/2006/relationships/hyperlink" Target="https://www.nice.org.uk/process/pmg36/chapter/introduction-to-health-technology-evaluatio" TargetMode="External"/><Relationship Id="rId39" Type="http://schemas.openxmlformats.org/officeDocument/2006/relationships/hyperlink" Target="https://advisory.avalerehealth.com/services/market-access-reimbursement" TargetMode="External"/><Relationship Id="rId21" Type="http://schemas.openxmlformats.org/officeDocument/2006/relationships/hyperlink" Target="https://www.fda.gov/drugs/guidances-drugs/withdrawn-and-expired-guidances-drugs" TargetMode="External"/><Relationship Id="rId34" Type="http://schemas.openxmlformats.org/officeDocument/2006/relationships/hyperlink" Target="https://genesisrg.com/evidence-solutions/"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hyperlink" Target="https://www.fda.gov/media/95015/download" TargetMode="External"/><Relationship Id="rId2" Type="http://schemas.openxmlformats.org/officeDocument/2006/relationships/styles" Target="styles.xml"/><Relationship Id="rId16" Type="http://schemas.openxmlformats.org/officeDocument/2006/relationships/hyperlink" Target="https://advisory.avalerehealth.com/services/market-access-reimbursement" TargetMode="External"/><Relationship Id="rId29" Type="http://schemas.openxmlformats.org/officeDocument/2006/relationships/hyperlink" Target="https://www.iqvia.com/solutions/commercialization/commercial-analytics/pricing-and-market-acc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da.gov/regulatory-information/search-fda-guidance-documents/considerations-use-real-world-data-and-real-world-evidence-support-regulatory-decision-making-drug?key=2022" TargetMode="External"/><Relationship Id="rId24" Type="http://schemas.openxmlformats.org/officeDocument/2006/relationships/hyperlink" Target="https://www.fda.gov/regulatory-information/search-fda-guidance-documents/considerations-use-real-world-data-and-real-world-evidence-support-regulatory-decision-making-drug?key=2022" TargetMode="External"/><Relationship Id="rId32" Type="http://schemas.openxmlformats.org/officeDocument/2006/relationships/hyperlink" Target="https://www.certara.com/evidence-access/" TargetMode="External"/><Relationship Id="rId37" Type="http://schemas.openxmlformats.org/officeDocument/2006/relationships/hyperlink" Target="https://www.drevidence.com/solutions/heor-market-access"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fda.gov/media/95015/download" TargetMode="External"/><Relationship Id="rId23" Type="http://schemas.openxmlformats.org/officeDocument/2006/relationships/hyperlink" Target="https://www.ninds.nih.gov/current-research/research-funded-ninds/translational-research/create-bio/create-bio-application-support-library/create-bio-example-target-product-profile-tpp" TargetMode="External"/><Relationship Id="rId28" Type="http://schemas.openxmlformats.org/officeDocument/2006/relationships/hyperlink" Target="https://www.ispor.org/heor-resources/good-practices" TargetMode="External"/><Relationship Id="rId36" Type="http://schemas.openxmlformats.org/officeDocument/2006/relationships/hyperlink" Target="https://www.rtihs.org/value-access-and-heor" TargetMode="External"/><Relationship Id="rId10" Type="http://schemas.openxmlformats.org/officeDocument/2006/relationships/hyperlink" Target="https://www.fda.gov/media/159500/download" TargetMode="External"/><Relationship Id="rId19" Type="http://schemas.openxmlformats.org/officeDocument/2006/relationships/hyperlink" Target="https://clarivate.com/products/real-world-data/" TargetMode="External"/><Relationship Id="rId31" Type="http://schemas.openxmlformats.org/officeDocument/2006/relationships/hyperlink" Target="https://www.ppd.com/our-solutions/clinical/health-economics-and-market-access/market-access/"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fda.gov/media/95015/download" TargetMode="External"/><Relationship Id="rId14" Type="http://schemas.openxmlformats.org/officeDocument/2006/relationships/hyperlink" Target="https://www.nice.org.uk/process/pmg36/chapter/economic-evaluation-2" TargetMode="External"/><Relationship Id="rId22" Type="http://schemas.openxmlformats.org/officeDocument/2006/relationships/hyperlink" Target="https://www.fda.gov/media/95015/download" TargetMode="External"/><Relationship Id="rId27" Type="http://schemas.openxmlformats.org/officeDocument/2006/relationships/hyperlink" Target="https://www.nice.org.uk/process/pmg36/chapter/economic-evaluation-2" TargetMode="External"/><Relationship Id="rId30" Type="http://schemas.openxmlformats.org/officeDocument/2006/relationships/hyperlink" Target="https://www.openhealthgroup.com/what-we-do/heor-market-access/" TargetMode="External"/><Relationship Id="rId35" Type="http://schemas.openxmlformats.org/officeDocument/2006/relationships/hyperlink" Target="https://www.eversana.com/our-services/market-access-and-value/heor-value-evidence/" TargetMode="External"/><Relationship Id="rId43" Type="http://schemas.openxmlformats.org/officeDocument/2006/relationships/footer" Target="footer2.xml"/><Relationship Id="rId8" Type="http://schemas.openxmlformats.org/officeDocument/2006/relationships/hyperlink" Target="https://www.fda.gov/drugs/guidances-drugs/withdrawn-and-expired-guidances-drugs" TargetMode="External"/><Relationship Id="rId3" Type="http://schemas.openxmlformats.org/officeDocument/2006/relationships/settings" Target="settings.xml"/><Relationship Id="rId12" Type="http://schemas.openxmlformats.org/officeDocument/2006/relationships/hyperlink" Target="https://www.ispor.org/heor-resources/good-practices" TargetMode="External"/><Relationship Id="rId17" Type="http://schemas.openxmlformats.org/officeDocument/2006/relationships/hyperlink" Target="https://www.drevidence.com/solutions/heor-market-access" TargetMode="External"/><Relationship Id="rId25" Type="http://schemas.openxmlformats.org/officeDocument/2006/relationships/hyperlink" Target="https://www.fda.gov/media/159500/download" TargetMode="External"/><Relationship Id="rId33" Type="http://schemas.openxmlformats.org/officeDocument/2006/relationships/hyperlink" Target="https://www.putassoc.com/our-expertise/value-pricing-access/" TargetMode="External"/><Relationship Id="rId38" Type="http://schemas.openxmlformats.org/officeDocument/2006/relationships/hyperlink" Target="https://clarivate.com/products/real-world-data/" TargetMode="External"/><Relationship Id="rId46" Type="http://schemas.openxmlformats.org/officeDocument/2006/relationships/fontTable" Target="fontTable.xml"/><Relationship Id="rId20" Type="http://schemas.openxmlformats.org/officeDocument/2006/relationships/hyperlink" Target="https://www.rtihs.org/value-access-and-heor" TargetMode="External"/><Relationship Id="rId41" Type="http://schemas.openxmlformats.org/officeDocument/2006/relationships/header" Target="header2.xml"/><Relationship Id="rId48" Type="http://schemas.openxmlformats.org/officeDocument/2006/relationships/hyperlink" Target="https://www.vestrumhealth.com/media.php" TargetMode="External"/><Relationship Id="rId49" Type="http://schemas.openxmlformats.org/officeDocument/2006/relationships/hyperlink" Target="file:///C:/Users/Justin/Desktop/linkedin-posts-mac/vestrum_wet_amd_publications/methods_comparison.md" TargetMode="External"/><Relationship Id="rId50" Type="http://schemas.openxmlformats.org/officeDocument/2006/relationships/hyperlink" Target="https://pubmed.ncbi.nlm.nih.gov/31047372/" TargetMode="External"/><Relationship Id="rId51" Type="http://schemas.openxmlformats.org/officeDocument/2006/relationships/hyperlink" Target="https://pubmed.ncbi.nlm.nih.gov/31324588/" TargetMode="External"/><Relationship Id="rId52" Type="http://schemas.openxmlformats.org/officeDocument/2006/relationships/hyperlink" Target="https://pubmed.ncbi.nlm.nih.gov/35381391/" TargetMode="External"/><Relationship Id="rId53" Type="http://schemas.openxmlformats.org/officeDocument/2006/relationships/hyperlink" Target="https://pubmed.ncbi.nlm.nih.gov/31812631/" TargetMode="External"/><Relationship Id="rId54" Type="http://schemas.openxmlformats.org/officeDocument/2006/relationships/hyperlink" Target="https://medically.gene.com/content/dam/pdmahub/restricted/ophthalmology/amcp-2026/AMCP-2026-poster-ko-real-world-persistence-switching-and-reinitiation-in-patients.pdf" TargetMode="External"/><Relationship Id="rId55" Type="http://schemas.openxmlformats.org/officeDocument/2006/relationships/hyperlink" Target="https://www.retinalphysician.com/issues/2026/may-june/arvo32/" TargetMode="External"/><Relationship Id="rId56" Type="http://schemas.openxmlformats.org/officeDocument/2006/relationships/hyperlink" Target="https://pmc.ncbi.nlm.nih.gov/articles/PMC9979036/" TargetMode="External"/><Relationship Id="rId57" Type="http://schemas.openxmlformats.org/officeDocument/2006/relationships/hyperlink" Target="https://pmc.ncbi.nlm.nih.gov/articles/PMC10550910/" TargetMode="External"/><Relationship Id="rId58" Type="http://schemas.openxmlformats.org/officeDocument/2006/relationships/hyperlink" Target="https://pubmed.ncbi.nlm.nih.gov/34038686/" TargetMode="External"/><Relationship Id="rId59" Type="http://schemas.openxmlformats.org/officeDocument/2006/relationships/hyperlink" Target="https://journals.sagepub.com/doi/10.1177/24741264261428749" TargetMode="External"/><Relationship Id="rId60" Type="http://schemas.openxmlformats.org/officeDocument/2006/relationships/hyperlink" Target="https://pubmed.ncbi.nlm.nih.gov/37866681/" TargetMode="External"/><Relationship Id="rId61" Type="http://schemas.openxmlformats.org/officeDocument/2006/relationships/hyperlink" Target="https://pubmed.ncbi.nlm.nih.gov/39455036/" TargetMode="External"/><Relationship Id="rId62" Type="http://schemas.openxmlformats.org/officeDocument/2006/relationships/hyperlink" Target="https://www.sciencedirect.com/science/article/pii/S246865301730297X" TargetMode="External"/><Relationship Id="rId63" Type="http://schemas.openxmlformats.org/officeDocument/2006/relationships/hyperlink" Target="https://pubmed.ncbi.nlm.nih.gov/36909242/" TargetMode="External"/><Relationship Id="rId64" Type="http://schemas.openxmlformats.org/officeDocument/2006/relationships/hyperlink" Target="https://www.sciencedirect.com/science/article/pii/S2468653019302805" TargetMode="External"/><Relationship Id="rId65" Type="http://schemas.openxmlformats.org/officeDocument/2006/relationships/hyperlink" Target="https://www.sciencedirect.com/science/article/pii/S246865301930569X" TargetMode="External"/><Relationship Id="rId66" Type="http://schemas.openxmlformats.org/officeDocument/2006/relationships/hyperlink" Target="https://pubmed.ncbi.nlm.nih.gov/33471912/" TargetMode="External"/><Relationship Id="rId67" Type="http://schemas.openxmlformats.org/officeDocument/2006/relationships/hyperlink" Target="https://stanfordhealthcare.org/publications/807/807898.html" TargetMode="External"/><Relationship Id="rId68" Type="http://schemas.openxmlformats.org/officeDocument/2006/relationships/hyperlink" Target="https://mayoclinic.elsevierpure.com/en/publications/characterizing-progression-to-neovascular-amd-in-fellow-eyes-of-p/" TargetMode="External"/><Relationship Id="rId69" Type="http://schemas.openxmlformats.org/officeDocument/2006/relationships/hyperlink" Target="https://www.sciencedirect.com/science/article/pii/S2468653022000435" TargetMode="External"/><Relationship Id="rId70" Type="http://schemas.openxmlformats.org/officeDocument/2006/relationships/hyperlink" Target="https://pmc.ncbi.nlm.nih.gov/articles/PMC10524303/" TargetMode="External"/><Relationship Id="rId71" Type="http://schemas.openxmlformats.org/officeDocument/2006/relationships/hyperlink" Target="https://pubmed.ncbi.nlm.nih.gov/37146684/" TargetMode="External"/><Relationship Id="rId72" Type="http://schemas.openxmlformats.org/officeDocument/2006/relationships/hyperlink" Target="https://www.nature.com/articles/s41598-023-43605-w" TargetMode="External"/><Relationship Id="rId73" Type="http://schemas.openxmlformats.org/officeDocument/2006/relationships/hyperlink" Target="https://www.sciencedirect.com/science/article/abs/pii/S2468653023005122" TargetMode="External"/><Relationship Id="rId74" Type="http://schemas.openxmlformats.org/officeDocument/2006/relationships/hyperlink" Target="https://www.sciencedirect.com/science/article/pii/S0002939424004860" TargetMode="External"/><Relationship Id="rId75" Type="http://schemas.openxmlformats.org/officeDocument/2006/relationships/hyperlink" Target="https://medically.gene.com/global/en/unrestricted/ophthalmology/AMCP-2026/amcp-2026-poster-ko-real-world-persistence-switching-an.html" TargetMode="External"/><Relationship Id="rId76" Type="http://schemas.openxmlformats.org/officeDocument/2006/relationships/hyperlink" Target="https://pubmed.ncbi.nlm.nih.gov/41971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4087F6-09E8-4547-BF53-446491A34146}">
  <we:reference id="wa200010453" version="1.0.0.1" store="en-US" storeType="OMEX"/>
  <we:alternateReferences>
    <we:reference id="wa200010453" version="1.0.0.1" store="WA200010453" storeType="OMEX"/>
  </we:alternateReferences>
  <we:properties>
    <we:property name="claude.fileId" value="&quot;89923693-bc1a-4411-bccd-ea7159a9b0f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165</TotalTime>
  <Pages>7</Pages>
  <Words>2886</Words>
  <Characters>16455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Codex</dc:creator>
  <cp:lastModifiedBy>Justin Yu</cp:lastModifiedBy>
  <cp:revision>4</cp:revision>
  <dcterms:created xsi:type="dcterms:W3CDTF">2026-05-23T18:04:00Z</dcterms:created>
  <dcterms:modified xsi:type="dcterms:W3CDTF">2026-06-02T15:30:00Z</dcterms:modified>
  <dc:title>Vestrum Wet AMD Methods Comparison</dc:title>
</cp:coreProperties>
</file>