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A5F"/>
          <w:sz w:val="26"/>
          <w:szCs w:val="26"/>
        </w:rPr>
        <w:t xml:space="preserve">BioCryst Pharmaceuticals</w:t>
      </w:r>
    </w:p>
    <w:p>
      <w:pPr>
        <w:spacing w:after="60"/>
        <w:jc w:val="left"/>
      </w:pPr>
      <w:r>
        <w:rPr>
          <w:b/>
          <w:bCs/>
          <w:color w:val="0F2A4A"/>
          <w:sz w:val="40"/>
          <w:szCs w:val="40"/>
        </w:rPr>
        <w:t xml:space="preserve">Indirect Treatment Comparison (ITC) Landscape</w:t>
      </w:r>
    </w:p>
    <w:p>
      <w:pPr>
        <w:spacing w:after="60"/>
        <w:jc w:val="left"/>
      </w:pPr>
      <w:r>
        <w:rPr>
          <w:i/>
          <w:iCs/>
          <w:color w:val="555555"/>
          <w:sz w:val="24"/>
          <w:szCs w:val="24"/>
        </w:rPr>
        <w:t xml:space="preserve">Opportunities, Strategic Rationale, and Published Evidence Review</w:t>
      </w:r>
    </w:p>
    <w:p>
      <w:pPr>
        <w:pBdr>
          <w:bottom w:val="single" w:color="1F3A5F" w:sz="12" w:space="4"/>
        </w:pBdr>
        <w:spacing w:after="240"/>
        <w:jc w:val="left"/>
      </w:pPr>
      <w:r>
        <w:rPr>
          <w:color w:val="777777"/>
          <w:sz w:val="20"/>
          <w:szCs w:val="20"/>
        </w:rPr>
        <w:t xml:space="preserve">Prepared May 2026</w:t>
      </w:r>
    </w:p>
    <w:p>
      <w:pPr>
        <w:pStyle w:val="Heading1"/>
        <w:spacing w:after="200" w:before="320"/>
      </w:pPr>
      <w:r>
        <w:t xml:space="preserve">1. Executive Summary</w:t>
      </w:r>
    </w:p>
    <w:p>
      <w:pPr>
        <w:spacing w:after="120"/>
      </w:pPr>
      <w:r>
        <w:t xml:space="preserve">BioCryst Pharmaceuticals enters mid-2026 as a focused rare-disease company anchored by ORLADEYO (berotralstat), an oral, once-daily plasma kallikrein inhibitor approved for prophylaxis of hereditary angioedema (HAE) in patients aged 2 years and older (oral pellets for ages 2–11 approved December 2025). The company has materially reshaped its pipeline over the last twelve months: it discontinued the avoralstat program in diabetic macular edema in Q1 2026, acquired Astria Therapeutics in October 2025 to obtain navenibart (a long-acting subcutaneous plasma kallikrein mAb dosed every 3 or 6 months, now in Phase 3 ALPHA-ORBIT with readout expected in early 2027), and continues to advance BCX17725 — an investigational KLK5 inhibitor for Netherton syndrome — through a Phase 1 trial expected to read out by year-end 2026.</w:t>
      </w:r>
    </w:p>
    <w:p>
      <w:pPr>
        <w:spacing w:after="120"/>
      </w:pPr>
      <w:r>
        <w:t xml:space="preserve">Against this portfolio, the indication where ITCs are most strategically valuable is unambiguously HAE long-term prophylaxis (LTP). HAE LTP has become highly competitive in 2025–2026 with three new launches (Andembry/garadacimab, Dawnzera/donidalorsen, and Ekterly/sebetralstat on the on-demand side) joining established options (Takhzyro, Haegarda, Cinryze, Orladeyo). Because no head-to-head RCTs exist between any of these prophylactic agents, every payer dossier, HTA submission, KOL slide deck, and conference debate now relies on indirect treatment comparisons. The published ITC literature has already begun to skew unfavorably for Orladeyo (Takeda- and CSL-sponsored NMAs and MAICs consistently rank lanadelumab and garadacimab ahead of berotralstat on attack rate reduction), creating both a defensive imperative for BioCryst and a clear opportunity to commission and publish balanced, methodologically rigorous comparisons that incorporate real-world evidence, persistence/adherence, and patient-centered outcomes.</w:t>
      </w:r>
    </w:p>
    <w:p>
      <w:pPr>
        <w:spacing w:after="120"/>
      </w:pPr>
      <w:r>
        <w:t xml:space="preserve">Looking forward, ITC needs for navenibart will become urgent within 12–18 months of Phase 3 readout. Navenibart’s differentiating attributes — Q3M/Q6M dosing, prolonged half-life — invite comparisons against every existing prophylactic, with the most important being garadacimab (closest mechanism-of-action and dosing competitor), donidalorsen (newest entrant, Q4W–Q8W), and lanadelumab (current SC mAb standard). For BCX17725, the absence of any approved Netherton therapy means the comparator set is heterogeneous (off-label retinoids, biologics, supportive care) and the most defensible ITC approach will rely on natural history / external control arms rather than classical anchored NMA.</w:t>
      </w:r>
    </w:p>
    <w:p>
      <w:pPr>
        <w:spacing w:after="120"/>
      </w:pPr>
      <w:r>
        <w:t xml:space="preserve">This document maps BioCryst’s portfolio to specific ITC opportunities, identifies the comparator sets and methodologies likely to be most productive, and catalogues the existing published ITCs and HTA evaluations that BioCryst Medical Affairs, HEOR, and Market Access teams should be aware of.</w:t>
      </w:r>
    </w:p>
    <w:p>
      <w:pPr>
        <w:pStyle w:val="Heading1"/>
        <w:spacing w:after="200" w:before="320"/>
      </w:pPr>
      <w:r>
        <w:t xml:space="preserve">2. BioCryst Product Portfolio (May 2026)</w:t>
      </w:r>
    </w:p>
    <w:p>
      <w:pPr>
        <w:spacing w:after="120"/>
      </w:pPr>
      <w:r>
        <w:t xml:space="preserve">The portfolio is summarized below; subsequent sections discuss ITC implications by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200"/>
        <w:gridCol w:w="1700"/>
        <w:gridCol w:w="1660"/>
      </w:tblGrid>
      <w:tr>
        <w:trPr>
          <w:tblHeader/>
        </w:trPr>
        <w:tc>
          <w:tcPr>
            <w:tcW w:type="dxa" w:w="1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Asset</w:t>
            </w:r>
          </w:p>
        </w:tc>
        <w:tc>
          <w:tcPr>
            <w:tcW w:type="dxa" w:w="21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Mechanism</w:t>
            </w:r>
          </w:p>
        </w:tc>
        <w:tc>
          <w:tcPr>
            <w:tcW w:type="dxa" w:w="22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Indication</w:t>
            </w:r>
          </w:p>
        </w:tc>
        <w:tc>
          <w:tcPr>
            <w:tcW w:type="dxa" w:w="1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Status</w:t>
            </w:r>
          </w:p>
        </w:tc>
        <w:tc>
          <w:tcPr>
            <w:tcW w:type="dxa" w:w="16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Strategic role</w:t>
            </w:r>
          </w:p>
        </w:tc>
      </w:tr>
      <w:tr>
        <w:tc>
          <w:tcPr>
            <w:tcW w:type="dxa" w:w="17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ORLADEYO (berotralstat)</w:t>
            </w:r>
          </w:p>
        </w:tc>
        <w:tc>
          <w:tcPr>
            <w:tcW w:type="dxa" w:w="21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Oral, once-daily plasma kallikrein (pKal) inhibitor</w:t>
            </w:r>
          </w:p>
        </w:tc>
        <w:tc>
          <w:tcPr>
            <w:tcW w:type="dxa" w:w="2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HAE prophylaxis, age ≥2 (oral pellets for 2–11 yrs)</w:t>
            </w:r>
          </w:p>
        </w:tc>
        <w:tc>
          <w:tcPr>
            <w:tcW w:type="dxa" w:w="17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Approved 2020 (adults/adolescents); pediatric pellets approved Dec 2025; $601M FY2025 sales</w:t>
            </w:r>
          </w:p>
        </w:tc>
        <w:tc>
          <w:tcPr>
            <w:tcW w:type="dxa" w:w="166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Core revenue driver; major ITC focus</w:t>
            </w:r>
          </w:p>
        </w:tc>
      </w:tr>
      <w:tr>
        <w:tc>
          <w:tcPr>
            <w:tcW w:type="dxa" w:w="17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RAPIVAB / RAPIACTA / PERAMIFLU (peramivir)</w:t>
            </w:r>
          </w:p>
        </w:tc>
        <w:tc>
          <w:tcPr>
            <w:tcW w:type="dxa" w:w="21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IV neuraminidase inhibitor</w:t>
            </w:r>
          </w:p>
        </w:tc>
        <w:tc>
          <w:tcPr>
            <w:tcW w:type="dxa" w:w="2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Acute uncomplicated influenza (≥6 months)</w:t>
            </w:r>
          </w:p>
        </w:tc>
        <w:tc>
          <w:tcPr>
            <w:tcW w:type="dxa" w:w="17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Approved; supplied to U.S. Strategic National Stockpile</w:t>
            </w:r>
          </w:p>
        </w:tc>
        <w:tc>
          <w:tcPr>
            <w:tcW w:type="dxa" w:w="166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Stable; limited ITC priority</w:t>
            </w:r>
          </w:p>
        </w:tc>
      </w:tr>
      <w:tr>
        <w:tc>
          <w:tcPr>
            <w:tcW w:type="dxa" w:w="17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Navenibart (STAR-0215)</w:t>
            </w:r>
          </w:p>
        </w:tc>
        <w:tc>
          <w:tcPr>
            <w:tcW w:type="dxa" w:w="21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Long-acting SC monoclonal antibody pKal inhibitor (YTE-modified)</w:t>
            </w:r>
          </w:p>
        </w:tc>
        <w:tc>
          <w:tcPr>
            <w:tcW w:type="dxa" w:w="2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HAE prophylaxis</w:t>
            </w:r>
          </w:p>
        </w:tc>
        <w:tc>
          <w:tcPr>
            <w:tcW w:type="dxa" w:w="17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Phase 3 ALPHA-ORBIT; readout expected early 2027; EU rights licensed to Neopharmed Gentili (May 2026)</w:t>
            </w:r>
          </w:p>
        </w:tc>
        <w:tc>
          <w:tcPr>
            <w:tcW w:type="dxa" w:w="166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Highest future ITC priority</w:t>
            </w:r>
          </w:p>
        </w:tc>
      </w:tr>
      <w:tr>
        <w:tc>
          <w:tcPr>
            <w:tcW w:type="dxa" w:w="17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BCX17725</w:t>
            </w:r>
          </w:p>
        </w:tc>
        <w:tc>
          <w:tcPr>
            <w:tcW w:type="dxa" w:w="21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KLK5 (kallikrein-related peptidase 5) inhibitor</w:t>
            </w:r>
          </w:p>
        </w:tc>
        <w:tc>
          <w:tcPr>
            <w:tcW w:type="dxa" w:w="2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Netherton syndrome</w:t>
            </w:r>
          </w:p>
        </w:tc>
        <w:tc>
          <w:tcPr>
            <w:tcW w:type="dxa" w:w="17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Phase 1, Part 4 dosing in progress; data expected end 2026</w:t>
            </w:r>
          </w:p>
        </w:tc>
        <w:tc>
          <w:tcPr>
            <w:tcW w:type="dxa" w:w="166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ITC framing essential — no approved comparator</w:t>
            </w:r>
          </w:p>
        </w:tc>
      </w:tr>
    </w:tbl>
    <w:p>
      <w:pPr>
        <w:spacing w:after="120"/>
      </w:pPr>
      <w:r>
        <w:t xml:space="preserve"/>
      </w:r>
    </w:p>
    <w:p>
      <w:pPr>
        <w:spacing w:after="120"/>
      </w:pPr>
      <w:r>
        <w:t xml:space="preserve">Discontinued in 2025–2026: avoralstat (DME) and BCX9250 (an oral ALK-2 inhibitor for fibrodysplasia ossificans progressiva, FOP). Although FOP is no longer in the portfolio, the FOP competitive landscape (Ipsen's palovarotene approved 2023, Regeneron's garetosmab under FDA Priority Review with target action date August 2026) is referenced only as historical context.</w:t>
      </w:r>
    </w:p>
    <w:p>
      <w:pPr>
        <w:pStyle w:val="Heading1"/>
        <w:spacing w:after="200" w:before="320"/>
      </w:pPr>
      <w:r>
        <w:t xml:space="preserve">3. ITC Opportunities by Asset</w:t>
      </w:r>
    </w:p>
    <w:p>
      <w:pPr>
        <w:pStyle w:val="Heading2"/>
        <w:spacing w:after="140" w:before="260"/>
      </w:pPr>
      <w:r>
        <w:t xml:space="preserve">3.1 ORLADEYO (berotralstat) — HAE prophylaxis</w:t>
      </w:r>
    </w:p>
    <w:p>
      <w:pPr>
        <w:spacing w:after="120"/>
      </w:pPr>
      <w:r>
        <w:t xml:space="preserve">HAE LTP is the most ITC-intensive arena in BioCryst’s portfolio. As of mid-2026 the U.S. landscape contains five LTP options for adults and adolescents (and three for ages 2–11), all with placebo-controlled pivotal data but no head-to-head trials. Berotralstat’s positioning — the only oral LTP, modest absolute attack-rate reduction relative to subcutaneous biologics in cross-trial comparisons, but materially better convenience, no injection-site reactions, and a strong real-world persistence profile — means ITC framing is decisive.</w:t>
      </w:r>
    </w:p>
    <w:p>
      <w:pPr>
        <w:pStyle w:val="Heading3"/>
        <w:spacing w:after="100" w:before="200"/>
      </w:pPr>
      <w:r>
        <w:t xml:space="preserve">Competitor set (LTP, U.S./EU)</w:t>
      </w:r>
    </w:p>
    <w:p>
      <w:pPr>
        <w:pStyle w:val="ListParagraph"/>
        <w:numPr>
          <w:ilvl w:val="0"/>
          <w:numId w:val="2"/>
        </w:numPr>
        <w:spacing w:after="80"/>
      </w:pPr>
      <w:r>
        <w:t xml:space="preserve">Lanadelumab (Takhzyro, Takeda) — SC mAb anti-plasma kallikrein, Q2W or Q4W; pediatric indication ≥2 years.</w:t>
      </w:r>
    </w:p>
    <w:p>
      <w:pPr>
        <w:pStyle w:val="ListParagraph"/>
        <w:numPr>
          <w:ilvl w:val="0"/>
          <w:numId w:val="2"/>
        </w:numPr>
        <w:spacing w:after="80"/>
      </w:pPr>
      <w:r>
        <w:t xml:space="preserve">Subcutaneous C1-INH (Haegarda, CSL Behring) — pdC1-INH twice-weekly SC.</w:t>
      </w:r>
    </w:p>
    <w:p>
      <w:pPr>
        <w:pStyle w:val="ListParagraph"/>
        <w:numPr>
          <w:ilvl w:val="0"/>
          <w:numId w:val="2"/>
        </w:numPr>
        <w:spacing w:after="80"/>
      </w:pPr>
      <w:r>
        <w:t xml:space="preserve">Intravenous C1-INH (Cinryze, Takeda) — pdC1-INH every 3–4 days IV.</w:t>
      </w:r>
    </w:p>
    <w:p>
      <w:pPr>
        <w:pStyle w:val="ListParagraph"/>
        <w:numPr>
          <w:ilvl w:val="0"/>
          <w:numId w:val="2"/>
        </w:numPr>
        <w:spacing w:after="80"/>
      </w:pPr>
      <w:r>
        <w:t xml:space="preserve">Garadacimab (Andembry, CSL Behring) — SC mAb anti-FXIIa, once monthly; approved 2025.</w:t>
      </w:r>
    </w:p>
    <w:p>
      <w:pPr>
        <w:pStyle w:val="ListParagraph"/>
        <w:numPr>
          <w:ilvl w:val="0"/>
          <w:numId w:val="2"/>
        </w:numPr>
        <w:spacing w:after="80"/>
      </w:pPr>
      <w:r>
        <w:t xml:space="preserve">Donidalorsen (Dawnzera, Ionis) — antisense oligonucleotide targeting prekallikrein, SC Q4W or Q8W; approved August 2025.</w:t>
      </w:r>
    </w:p>
    <w:p>
      <w:pPr>
        <w:pStyle w:val="Heading3"/>
        <w:spacing w:after="100" w:before="200"/>
      </w:pPr>
      <w:r>
        <w:t xml:space="preserve">Priority ITC questions for Orladeyo</w:t>
      </w:r>
    </w:p>
    <w:p>
      <w:pPr>
        <w:pStyle w:val="ListParagraph"/>
        <w:numPr>
          <w:ilvl w:val="0"/>
          <w:numId w:val="2"/>
        </w:numPr>
        <w:spacing w:after="80"/>
      </w:pPr>
      <w:r>
        <w:t xml:space="preserve">Berotralstat vs garadacimab — currently no published ITC; CSL has published MAICs ranking garadacimab favorably vs lanadelumab and donidalorsen, leaving berotralstat under-defended.</w:t>
      </w:r>
    </w:p>
    <w:p>
      <w:pPr>
        <w:pStyle w:val="ListParagraph"/>
        <w:numPr>
          <w:ilvl w:val="0"/>
          <w:numId w:val="2"/>
        </w:numPr>
        <w:spacing w:after="80"/>
      </w:pPr>
      <w:r>
        <w:t xml:space="preserve">Berotralstat vs donidalorsen — Ionis’s OASISplus switch cohort suggests a 73% additional attack-rate reduction in patients switching from berotralstat; a methodologically rigorous response (anchored or unanchored MAIC over APeX-2 / APeX-S vs OASIS-HAE) is a strategic priority.</w:t>
      </w:r>
    </w:p>
    <w:p>
      <w:pPr>
        <w:pStyle w:val="ListParagraph"/>
        <w:numPr>
          <w:ilvl w:val="0"/>
          <w:numId w:val="2"/>
        </w:numPr>
        <w:spacing w:after="80"/>
      </w:pPr>
      <w:r>
        <w:t xml:space="preserve">Berotralstat vs lanadelumab in pediatric populations (ages 2–11) — APeX-P data now available; lanadelumab SPRING data exists; an ITC anchored on placebo or natural history would support pediatric formulary access.</w:t>
      </w:r>
    </w:p>
    <w:p>
      <w:pPr>
        <w:pStyle w:val="ListParagraph"/>
        <w:numPr>
          <w:ilvl w:val="0"/>
          <w:numId w:val="2"/>
        </w:numPr>
        <w:spacing w:after="80"/>
      </w:pPr>
      <w:r>
        <w:t xml:space="preserve">Quality of life and patient preference (AE-QoL, TSQM, route-of-administration preference) — emerging dimension where oral therapy has structural advantages; should be built into any ITC to broaden the evidentiary frame beyond attack rate.</w:t>
      </w:r>
    </w:p>
    <w:p>
      <w:pPr>
        <w:pStyle w:val="ListParagraph"/>
        <w:numPr>
          <w:ilvl w:val="0"/>
          <w:numId w:val="2"/>
        </w:numPr>
        <w:spacing w:after="80"/>
      </w:pPr>
      <w:r>
        <w:t xml:space="preserve">Real-world persistence, adherence, and total cost of care — RWE-based ITCs (e.g., propensity-score-matched claims analyses) can complement RCT-based ITCs and are typically more favorable to oral therapies.</w:t>
      </w:r>
    </w:p>
    <w:p>
      <w:pPr>
        <w:pStyle w:val="Heading2"/>
        <w:spacing w:after="140" w:before="260"/>
      </w:pPr>
      <w:r>
        <w:t xml:space="preserve">3.2 Navenibart — HAE prophylaxis (Phase 3)</w:t>
      </w:r>
    </w:p>
    <w:p>
      <w:pPr>
        <w:spacing w:after="120"/>
      </w:pPr>
      <w:r>
        <w:t xml:space="preserve">Navenibart is the long-acting (Q3M/Q6M SC) plasma kallikrein mAb acquired through the Astria Therapeutics transaction in October 2025. Phase 1b/2 ALPHA-STAR data (published in JACI 2026) show monthly attack-rate reductions of ~90% from a baseline of 2.23/month, with mean half-life of 82–105 days and durable PD effect supporting Q3M and Q6M dosing. Phase 3 ALPHA-ORBIT is enrolling; topline readout is expected in early 2027.</w:t>
      </w:r>
    </w:p>
    <w:p>
      <w:pPr>
        <w:pStyle w:val="Heading3"/>
        <w:spacing w:after="100" w:before="200"/>
      </w:pPr>
      <w:r>
        <w:t xml:space="preserve">Comparator set</w:t>
      </w:r>
    </w:p>
    <w:p>
      <w:pPr>
        <w:pStyle w:val="ListParagraph"/>
        <w:numPr>
          <w:ilvl w:val="0"/>
          <w:numId w:val="2"/>
        </w:numPr>
        <w:spacing w:after="80"/>
      </w:pPr>
      <w:r>
        <w:t xml:space="preserve">All LTP agents listed above for berotralstat.</w:t>
      </w:r>
    </w:p>
    <w:p>
      <w:pPr>
        <w:pStyle w:val="ListParagraph"/>
        <w:numPr>
          <w:ilvl w:val="0"/>
          <w:numId w:val="2"/>
        </w:numPr>
        <w:spacing w:after="80"/>
      </w:pPr>
      <w:r>
        <w:t xml:space="preserve">Special emphasis on garadacimab (closest mAb / dosing competitor in terms of monthly SC administration), donidalorsen (newest entrant with Q4W/Q8W dosing), and lanadelumab (current SC standard with the longest pediatric experience).</w:t>
      </w:r>
    </w:p>
    <w:p>
      <w:pPr>
        <w:pStyle w:val="Heading3"/>
        <w:spacing w:after="100" w:before="200"/>
      </w:pPr>
      <w:r>
        <w:t xml:space="preserve">Priority ITC questions for navenibart</w:t>
      </w:r>
    </w:p>
    <w:p>
      <w:pPr>
        <w:pStyle w:val="ListParagraph"/>
        <w:numPr>
          <w:ilvl w:val="0"/>
          <w:numId w:val="2"/>
        </w:numPr>
        <w:spacing w:after="80"/>
      </w:pPr>
      <w:r>
        <w:t xml:space="preserve">Attack rate reduction at the population level vs garadacimab, lanadelumab, donidalorsen, and SC C1-INH — anchored NMAs (placebo-controlled trials) and MAICs (using IPD from ALPHA-STAR / ALPHA-ORBIT) will both be needed.</w:t>
      </w:r>
    </w:p>
    <w:p>
      <w:pPr>
        <w:pStyle w:val="ListParagraph"/>
        <w:numPr>
          <w:ilvl w:val="0"/>
          <w:numId w:val="2"/>
        </w:numPr>
        <w:spacing w:after="80"/>
      </w:pPr>
      <w:r>
        <w:t xml:space="preserve">Dosing interval / patient burden — a structured comparison of injections per year (navenibart Q3M = 4/yr, Q6M = 2/yr vs lanadelumab Q2W = 26/yr, garadacimab QM = 12/yr, donidalorsen Q4W = 13/yr or Q8W = 6.5/yr, Haegarda = 104/yr) is a marketing-relevant ITC even if not classically methodological.</w:t>
      </w:r>
    </w:p>
    <w:p>
      <w:pPr>
        <w:pStyle w:val="ListParagraph"/>
        <w:numPr>
          <w:ilvl w:val="0"/>
          <w:numId w:val="2"/>
        </w:numPr>
        <w:spacing w:after="80"/>
      </w:pPr>
      <w:r>
        <w:t xml:space="preserve">Patient-reported outcomes (AE-QoL, TSQM, satisfaction, treatment burden) — likely to be a core differentiator; MAIC should preserve these outcomes where possible.</w:t>
      </w:r>
    </w:p>
    <w:p>
      <w:pPr>
        <w:pStyle w:val="ListParagraph"/>
        <w:numPr>
          <w:ilvl w:val="0"/>
          <w:numId w:val="2"/>
        </w:numPr>
        <w:spacing w:after="80"/>
      </w:pPr>
      <w:r>
        <w:t xml:space="preserve">Persistence / discontinuation in real-world use post-launch — this will become an ITC opportunity within 24 months of approval.</w:t>
      </w:r>
    </w:p>
    <w:p>
      <w:pPr>
        <w:pStyle w:val="Heading2"/>
        <w:spacing w:after="140" w:before="260"/>
      </w:pPr>
      <w:r>
        <w:t xml:space="preserve">3.3 BCX17725 — Netherton syndrome (Phase 1)</w:t>
      </w:r>
    </w:p>
    <w:p>
      <w:pPr>
        <w:spacing w:after="120"/>
      </w:pPr>
      <w:r>
        <w:t xml:space="preserve">Netherton syndrome (autosomal recessive ichthyosis caused by SPINK5 loss-of-function leading to LEKTI deficiency and uncontrolled KLK5/KLK7 activity) currently has no FDA-approved disease-modifying therapy. Patients receive emollients, topical corticosteroids, calcineurin inhibitors, oral retinoids (acitretin), and increasingly off-label biologics (dupilumab, IL-17 inhibitors, anti-TNFα). This is a classic 'ITC against external controls' situation.</w:t>
      </w:r>
    </w:p>
    <w:p>
      <w:pPr>
        <w:pStyle w:val="Heading3"/>
        <w:spacing w:after="100" w:before="200"/>
      </w:pPr>
      <w:r>
        <w:t xml:space="preserve">Comparator set</w:t>
      </w:r>
    </w:p>
    <w:p>
      <w:pPr>
        <w:pStyle w:val="ListParagraph"/>
        <w:numPr>
          <w:ilvl w:val="0"/>
          <w:numId w:val="2"/>
        </w:numPr>
        <w:spacing w:after="80"/>
      </w:pPr>
      <w:r>
        <w:t xml:space="preserve">Standard of care / supportive therapy (emollients, topical corticosteroids, calcineurin inhibitors).</w:t>
      </w:r>
    </w:p>
    <w:p>
      <w:pPr>
        <w:pStyle w:val="ListParagraph"/>
        <w:numPr>
          <w:ilvl w:val="0"/>
          <w:numId w:val="2"/>
        </w:numPr>
        <w:spacing w:after="80"/>
      </w:pPr>
      <w:r>
        <w:t xml:space="preserve">Off-label systemic options (acitretin, dupilumab, secukinumab, ixekizumab, infliximab; selective use of IVIg).</w:t>
      </w:r>
    </w:p>
    <w:p>
      <w:pPr>
        <w:pStyle w:val="ListParagraph"/>
        <w:numPr>
          <w:ilvl w:val="0"/>
          <w:numId w:val="2"/>
        </w:numPr>
        <w:spacing w:after="80"/>
      </w:pPr>
      <w:r>
        <w:t xml:space="preserve">Emerging direct competitors: LM-030 / LMX-030 (LifeMax; topical KLK inhibitor, pivotal-ready, with FDA Fast Track, Orphan Drug, and Rare Pediatric Disease designations); Quoin Pharmaceuticals QRX003 (topical serine protease inhibitor, Phase 2/3); Sixera Pharma SXR1096 (topical KLK5/7 inhibitor); Daiichi Sankyo DS-2325; investigational bispecific KLK5/KLK7 antibodies.</w:t>
      </w:r>
    </w:p>
    <w:p>
      <w:pPr>
        <w:pStyle w:val="Heading3"/>
        <w:spacing w:after="100" w:before="200"/>
      </w:pPr>
      <w:r>
        <w:t xml:space="preserve">Priority ITC questions for BCX17725</w:t>
      </w:r>
    </w:p>
    <w:p>
      <w:pPr>
        <w:pStyle w:val="ListParagraph"/>
        <w:numPr>
          <w:ilvl w:val="0"/>
          <w:numId w:val="2"/>
        </w:numPr>
        <w:spacing w:after="80"/>
      </w:pPr>
      <w:r>
        <w:t xml:space="preserve">External-control / natural history comparisons — register-based or retrospective real-world cohorts (e.g., from Netherton patient registries in France, Germany, U.S.) versus BCX17725-treated patients on key outcomes (Investigator Global Assessment, EASI/IGA-like scores adapted for Netherton, transepidermal water loss, infections, growth, QoL).</w:t>
      </w:r>
    </w:p>
    <w:p>
      <w:pPr>
        <w:pStyle w:val="ListParagraph"/>
        <w:numPr>
          <w:ilvl w:val="0"/>
          <w:numId w:val="2"/>
        </w:numPr>
        <w:spacing w:after="80"/>
      </w:pPr>
      <w:r>
        <w:t xml:space="preserve">Indirect comparisons vs systemic biologics used off-label — challenging because of small heterogeneous case series, but high-value for payer dossiers in Europe.</w:t>
      </w:r>
    </w:p>
    <w:p>
      <w:pPr>
        <w:pStyle w:val="ListParagraph"/>
        <w:numPr>
          <w:ilvl w:val="0"/>
          <w:numId w:val="2"/>
        </w:numPr>
        <w:spacing w:after="80"/>
      </w:pPr>
      <w:r>
        <w:t xml:space="preserve">Comparisons vs other KLK-targeted programs (LM-030, QRX003) as they generate Phase 2/3 data — likely to become important by 2027–2028.</w:t>
      </w:r>
    </w:p>
    <w:p>
      <w:pPr>
        <w:pStyle w:val="ListParagraph"/>
        <w:numPr>
          <w:ilvl w:val="0"/>
          <w:numId w:val="2"/>
        </w:numPr>
        <w:spacing w:after="80"/>
      </w:pPr>
      <w:r>
        <w:t xml:space="preserve">Patient-reported outcomes and burden-of-illness studies — pre-launch evidence generation that supports any future ITC.</w:t>
      </w:r>
    </w:p>
    <w:p>
      <w:pPr>
        <w:pStyle w:val="Heading2"/>
        <w:spacing w:after="140" w:before="260"/>
      </w:pPr>
      <w:r>
        <w:t xml:space="preserve">3.4 RAPIVAB (peramivir) — Acute influenza</w:t>
      </w:r>
    </w:p>
    <w:p>
      <w:pPr>
        <w:spacing w:after="120"/>
      </w:pPr>
      <w:r>
        <w:t xml:space="preserve">Although RAPIVAB is a commercial asset, ITC priority is low. The neuraminidase inhibitor class is well-characterized, indirect comparisons with oseltamivir and baloxavir have been published in the broader influenza literature, and the U.S. franchise is driven primarily by the Strategic National Stockpile contract rather than head-to-head clinical positioning. New ITC investment would be hard to justify unless tied to a pediatric label expansion or a stockpile re-procurement cycle.</w:t>
      </w:r>
    </w:p>
    <w:p>
      <w:pPr>
        <w:pStyle w:val="Heading1"/>
        <w:spacing w:after="200" w:before="320"/>
      </w:pPr>
      <w:r>
        <w:t xml:space="preserve">4. Existing Published ITCs — Detailed Review</w:t>
      </w:r>
    </w:p>
    <w:p>
      <w:pPr>
        <w:spacing w:after="120"/>
      </w:pPr>
      <w:r>
        <w:t xml:space="preserve">The HAE prophylaxis ITC literature has expanded rapidly since 2022. The table below catalogues the principal published or conference-presented indirect comparisons that BioCryst Medical Affairs, HEOR, and Market Access teams should be aware of. All studies are anchored on placebo where available; MAICs are unanchored where IPD on placebo is not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200"/>
        <w:gridCol w:w="2660"/>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Study / Citation</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Comparators</w:t>
            </w:r>
          </w:p>
        </w:tc>
        <w:tc>
          <w:tcPr>
            <w:tcW w:type="dxa" w:w="15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Methodology</w:t>
            </w:r>
          </w:p>
        </w:tc>
        <w:tc>
          <w:tcPr>
            <w:tcW w:type="dxa" w:w="12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Sponsor</w:t>
            </w:r>
          </w:p>
        </w:tc>
        <w:tc>
          <w:tcPr>
            <w:tcW w:type="dxa" w:w="26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b/>
                <w:bCs/>
                <w:color w:val="FFFFFF"/>
                <w:sz w:val="20"/>
                <w:szCs w:val="20"/>
              </w:rPr>
              <w:t xml:space="preserve">Key finding / relevance to BioCryst</w:t>
            </w:r>
          </w:p>
        </w:tc>
      </w:tr>
      <w:tr>
        <w:tc>
          <w:tcPr>
            <w:tcW w:type="dxa" w:w="2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Watt M, Malmenäs M, Romanus D, Haeussler K. Network meta-analysis for indirect comparison of lanadelumab and berotralstat for the treatment of HAE. J Comp Eff Res. 2023;12(6):e220188. (PMC10402909; DOI 10.57264/cer-2022-0188)</w:t>
            </w:r>
          </w:p>
        </w:tc>
        <w:tc>
          <w:tcPr>
            <w:tcW w:type="dxa" w:w="18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Lanadelumab 300mg Q2W &amp; Q4W vs berotralstat 110mg &amp; 150mg QD</w:t>
            </w:r>
          </w:p>
        </w:tc>
        <w:tc>
          <w:tcPr>
            <w:tcW w:type="dxa" w:w="15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Bayesian NMA via common placebo node (HELP, APeX-2)</w:t>
            </w:r>
          </w:p>
        </w:tc>
        <w:tc>
          <w:tcPr>
            <w:tcW w:type="dxa" w:w="1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Takeda</w:t>
            </w:r>
          </w:p>
        </w:tc>
        <w:tc>
          <w:tcPr>
            <w:tcW w:type="dxa" w:w="266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Concluded that both lanadelumab doses are statistically superior to both berotralstat doses on attack rate and ≥90% attack reduction. The single most-cited ITC unfavorable to Orladeyo; competitors routinely use it. BioCryst should review it (and the published Letter to the Editor critique in CER 2024) closely and consider a rebuttal/sensitivity NMA.</w:t>
            </w:r>
          </w:p>
        </w:tc>
      </w:tr>
      <w:tr>
        <w:tc>
          <w:tcPr>
            <w:tcW w:type="dxa" w:w="2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Matching-Adjusted Indirect Treatment Comparison Between Lanadelumab and Berotralstat for HAE Prophylaxis. Ann Allergy Asthma Immunol. 2022 ACAAI Annual Meeting abstract (S1081-1206(22)01261-3).</w:t>
            </w:r>
          </w:p>
        </w:tc>
        <w:tc>
          <w:tcPr>
            <w:tcW w:type="dxa" w:w="18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Lanadelumab 300mg Q2W vs berotralstat 150mg QD</w:t>
            </w:r>
          </w:p>
        </w:tc>
        <w:tc>
          <w:tcPr>
            <w:tcW w:type="dxa" w:w="15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MAIC using HELP OLE (lanadelumab) and APeX-2 IPD (berotralstat)</w:t>
            </w:r>
          </w:p>
        </w:tc>
        <w:tc>
          <w:tcPr>
            <w:tcW w:type="dxa" w:w="1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Takeda</w:t>
            </w:r>
          </w:p>
        </w:tc>
        <w:tc>
          <w:tcPr>
            <w:tcW w:type="dxa" w:w="266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Reports a 73% lower attack rate per 28 days with lanadelumab Q2W vs berotralstat 150mg over 48 weeks. Frequently cited in payer dossiers against Orladeyo.</w:t>
            </w:r>
          </w:p>
        </w:tc>
      </w:tr>
      <w:tr>
        <w:tc>
          <w:tcPr>
            <w:tcW w:type="dxa" w:w="2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Letter to the Editor (response to Bernstein NMA). J Comp Eff Res. 2024;13(6):e230165. (PMC11036881)</w:t>
            </w:r>
          </w:p>
        </w:tc>
        <w:tc>
          <w:tcPr>
            <w:tcW w:type="dxa" w:w="18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Methodological critique of Bernstein 2023</w:t>
            </w:r>
          </w:p>
        </w:tc>
        <w:tc>
          <w:tcPr>
            <w:tcW w:type="dxa" w:w="15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Commentary</w:t>
            </w:r>
          </w:p>
        </w:tc>
        <w:tc>
          <w:tcPr>
            <w:tcW w:type="dxa" w:w="1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Independent (BioCryst-aligned authors)</w:t>
            </w:r>
          </w:p>
        </w:tc>
        <w:tc>
          <w:tcPr>
            <w:tcW w:type="dxa" w:w="266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Critiques Bernstein NMA on follow-up duration heterogeneity, choice of effect estimator, and pediatric inclusion. A useful precedent and reference for any BioCryst-sponsored rebuttal evidence.</w:t>
            </w:r>
          </w:p>
        </w:tc>
      </w:tr>
      <w:tr>
        <w:tc>
          <w:tcPr>
            <w:tcW w:type="dxa" w:w="2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Network Meta-Analysis of Pharmacological Therapies for Long-Term Prophylactic Treatment of HAE. Drugs in R&amp;D. 2025. (PMID: 40434599; PMC12185836; DOI 10.1007/s40268-025-00511-y)</w:t>
            </w:r>
          </w:p>
        </w:tc>
        <w:tc>
          <w:tcPr>
            <w:tcW w:type="dxa" w:w="18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Garadacimab vs lanadelumab Q2W/Q4W, SC C1-INH, berotralstat</w:t>
            </w:r>
          </w:p>
        </w:tc>
        <w:tc>
          <w:tcPr>
            <w:tcW w:type="dxa" w:w="15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Bayesian NMA on time-normalized attack rate, moderate/severe attacks, AE-QoL, AEs</w:t>
            </w:r>
          </w:p>
        </w:tc>
        <w:tc>
          <w:tcPr>
            <w:tcW w:type="dxa" w:w="1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CSL Behring</w:t>
            </w:r>
          </w:p>
        </w:tc>
        <w:tc>
          <w:tcPr>
            <w:tcW w:type="dxa" w:w="266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Ranks garadacimab as the most probable effective option; reports statistically significant attack-rate reduction for garadacimab vs lanadelumab Q4W and vs berotralstat, and AE-QoL improvement vs berotralstat. The principal NMA used by CSL to position Andembry; BioCryst should track its uptake in HTA submissions.</w:t>
            </w:r>
          </w:p>
        </w:tc>
      </w:tr>
      <w:tr>
        <w:tc>
          <w:tcPr>
            <w:tcW w:type="dxa" w:w="2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Matching-adjusted indirect comparison between garadacimab and lanadelumab for the long-term prophylactic treatment of HAE. J Comp Eff Res. 2025;14(8):e240237. (PMID: 40637159; PMC12308543; DOI 10.57264/cer-2024-0237)</w:t>
            </w:r>
          </w:p>
        </w:tc>
        <w:tc>
          <w:tcPr>
            <w:tcW w:type="dxa" w:w="18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Garadacimab 200mg QM vs lanadelumab 300mg Q2W &amp; Q4W</w:t>
            </w:r>
          </w:p>
        </w:tc>
        <w:tc>
          <w:tcPr>
            <w:tcW w:type="dxa" w:w="15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MAIC using garadacimab Phase 2/VANGUARD IPD vs HELP published data</w:t>
            </w:r>
          </w:p>
        </w:tc>
        <w:tc>
          <w:tcPr>
            <w:tcW w:type="dxa" w:w="1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CSL Behring</w:t>
            </w:r>
          </w:p>
        </w:tc>
        <w:tc>
          <w:tcPr>
            <w:tcW w:type="dxa" w:w="266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Reports statistically significant reduction in moderate/severe attacks and AE-QoL improvement with garadacimab vs lanadelumab Q2W; broader efficacy/QoL advantages vs Q4W. Establishes CSL's evidence base supporting garadacimab as preferred over lanadelumab.</w:t>
            </w:r>
          </w:p>
        </w:tc>
      </w:tr>
      <w:tr>
        <w:tc>
          <w:tcPr>
            <w:tcW w:type="dxa" w:w="2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ISPOR Europe 2025 poster: Matching-Adjusted Indirect Comparison Between Garadacimab and Donidalorsen for Long-Term Prophylaxis in HAE (Poster Session 4-2).</w:t>
            </w:r>
          </w:p>
        </w:tc>
        <w:tc>
          <w:tcPr>
            <w:tcW w:type="dxa" w:w="18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Garadacimab 200mg QM vs donidalorsen 80mg Q4W &amp; Q8W</w:t>
            </w:r>
          </w:p>
        </w:tc>
        <w:tc>
          <w:tcPr>
            <w:tcW w:type="dxa" w:w="15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Unanchored MAIC (VANGUARD vs OASIS-HAE)</w:t>
            </w:r>
          </w:p>
        </w:tc>
        <w:tc>
          <w:tcPr>
            <w:tcW w:type="dxa" w:w="1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CSL Behring</w:t>
            </w:r>
          </w:p>
        </w:tc>
        <w:tc>
          <w:tcPr>
            <w:tcW w:type="dxa" w:w="266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Likely shows garadacimab numerically favorable; sets the methodological template that BioCryst should mirror for berotralstat or navenibart vs donidalorsen.</w:t>
            </w:r>
          </w:p>
        </w:tc>
      </w:tr>
      <w:tr>
        <w:tc>
          <w:tcPr>
            <w:tcW w:type="dxa" w:w="2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ASH 2025 abstract: Comparative efficacy and safety of FDA-approved prophylactic treatments for HAE, including garadacimab, Haegarda, lanadelumab, and berotralstat: a network meta-analysis. Blood. 2025;146 Suppl 1:2699.</w:t>
            </w:r>
          </w:p>
        </w:tc>
        <w:tc>
          <w:tcPr>
            <w:tcW w:type="dxa" w:w="18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Garadacimab, Haegarda, lanadelumab, berotralstat</w:t>
            </w:r>
          </w:p>
        </w:tc>
        <w:tc>
          <w:tcPr>
            <w:tcW w:type="dxa" w:w="15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NMA on attack rate and ≥50%/≥90% responder rates</w:t>
            </w:r>
          </w:p>
        </w:tc>
        <w:tc>
          <w:tcPr>
            <w:tcW w:type="dxa" w:w="1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Likely CSL Behring (sponsorship to be confirmed)</w:t>
            </w:r>
          </w:p>
        </w:tc>
        <w:tc>
          <w:tcPr>
            <w:tcW w:type="dxa" w:w="266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Hematology-conference dissemination of NMA evidence in front of clinical decision-makers; BioCryst Medical Affairs should review the full poster and any subsequent peer-reviewed publication.</w:t>
            </w:r>
          </w:p>
        </w:tc>
      </w:tr>
      <w:tr>
        <w:tc>
          <w:tcPr>
            <w:tcW w:type="dxa" w:w="2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Comparison of real-world healthcare resource utilization and costs among patients with HAE on lanadelumab or berotralstat long-term prophylaxis. J Comp Eff Res. 2024;13(12):e240205. (DOI 10.57264/cer-2024-0205)</w:t>
            </w:r>
          </w:p>
        </w:tc>
        <w:tc>
          <w:tcPr>
            <w:tcW w:type="dxa" w:w="18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Lanadelumab vs berotralstat (real-world)</w:t>
            </w:r>
          </w:p>
        </w:tc>
        <w:tc>
          <w:tcPr>
            <w:tcW w:type="dxa" w:w="15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Retrospective claims analysis with propensity-score-style adjustment</w:t>
            </w:r>
          </w:p>
        </w:tc>
        <w:tc>
          <w:tcPr>
            <w:tcW w:type="dxa" w:w="1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Takeda</w:t>
            </w:r>
          </w:p>
        </w:tc>
        <w:tc>
          <w:tcPr>
            <w:tcW w:type="dxa" w:w="266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A RWE-based ITC; berotralstat's HCRU profile typically appears favorable on certain metrics in claims data. Useful precedent for BioCryst-sponsored RWE comparisons.</w:t>
            </w:r>
          </w:p>
        </w:tc>
      </w:tr>
      <w:tr>
        <w:tc>
          <w:tcPr>
            <w:tcW w:type="dxa" w:w="2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Indirect comparison of intravenous vs subcutaneous C1-INH placebo-controlled trials for routine prevention of HAE attacks. Allergy Asthma Clin Immunol. 2019;15:65 (BioMed Central).</w:t>
            </w:r>
          </w:p>
        </w:tc>
        <w:tc>
          <w:tcPr>
            <w:tcW w:type="dxa" w:w="18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IV C1-INH (CHANGE) vs SC C1-INH (COMPACT)</w:t>
            </w:r>
          </w:p>
        </w:tc>
        <w:tc>
          <w:tcPr>
            <w:tcW w:type="dxa" w:w="15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Bayesian indirect comparison via placebo</w:t>
            </w:r>
          </w:p>
        </w:tc>
        <w:tc>
          <w:tcPr>
            <w:tcW w:type="dxa" w:w="1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CSL Behring</w:t>
            </w:r>
          </w:p>
        </w:tc>
        <w:tc>
          <w:tcPr>
            <w:tcW w:type="dxa" w:w="266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Older but methodologically important reference for ITC design in HAE; commonly cited in HTA dossiers (CADTH, NICE, G-BA).</w:t>
            </w:r>
          </w:p>
        </w:tc>
      </w:tr>
      <w:tr>
        <w:tc>
          <w:tcPr>
            <w:tcW w:type="dxa" w:w="2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Indirect Comparison of Lanadelumab and IV C1-INH using HELP and CHANGE (Bayesian / Frequentist analyses). 2021.</w:t>
            </w:r>
          </w:p>
        </w:tc>
        <w:tc>
          <w:tcPr>
            <w:tcW w:type="dxa" w:w="18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Lanadelumab vs IV C1-INH (Cinryze)</w:t>
            </w:r>
          </w:p>
        </w:tc>
        <w:tc>
          <w:tcPr>
            <w:tcW w:type="dxa" w:w="15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Bayesian and frequentist anchored ITC</w:t>
            </w:r>
          </w:p>
        </w:tc>
        <w:tc>
          <w:tcPr>
            <w:tcW w:type="dxa" w:w="120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Takeda</w:t>
            </w:r>
          </w:p>
        </w:tc>
        <w:tc>
          <w:tcPr>
            <w:tcW w:type="dxa" w:w="2660"/>
            <w:tcBorders>
              <w:top w:val="single" w:color="BBBBBB" w:sz="4"/>
              <w:left w:val="single" w:color="BBBBBB" w:sz="4"/>
              <w:bottom w:val="single" w:color="BBBBBB" w:sz="4"/>
              <w:right w:val="single" w:color="BBBBBB" w:sz="4"/>
            </w:tcBorders>
            <w:shd w:fill="F2F4F8" w:color="auto" w:val="clear"/>
            <w:tcMar>
              <w:top w:type="dxa" w:w="90"/>
              <w:left w:type="dxa" w:w="140"/>
              <w:bottom w:type="dxa" w:w="90"/>
              <w:right w:type="dxa" w:w="140"/>
            </w:tcMar>
          </w:tcPr>
          <w:p>
            <w:r>
              <w:rPr>
                <w:sz w:val="20"/>
                <w:szCs w:val="20"/>
              </w:rPr>
              <w:t xml:space="preserve">Key historical reference; demonstrates how anchored ITCs across heterogeneous trial designs have been operationalized in HAE.</w:t>
            </w:r>
          </w:p>
        </w:tc>
      </w:tr>
      <w:tr>
        <w:tc>
          <w:tcPr>
            <w:tcW w:type="dxa" w:w="2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CADTH Reimbursement Recommendation: Berotralstat (Orladeyo). PMID: 37883605; NCBI Bookshelf NBK596623 / NBK596626 / NBK596312.</w:t>
            </w:r>
          </w:p>
        </w:tc>
        <w:tc>
          <w:tcPr>
            <w:tcW w:type="dxa" w:w="18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Berotralstat vs no-prophylaxis and vs SC/IV C1-INH and lanadelumab (HTA review)</w:t>
            </w:r>
          </w:p>
        </w:tc>
        <w:tc>
          <w:tcPr>
            <w:tcW w:type="dxa" w:w="15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HTA economic evaluation; sponsor's CEM critiqued for absence of formal comparative effectiveness evidence</w:t>
            </w:r>
          </w:p>
        </w:tc>
        <w:tc>
          <w:tcPr>
            <w:tcW w:type="dxa" w:w="120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CADTH (Canadian HTA)</w:t>
            </w:r>
          </w:p>
        </w:tc>
        <w:tc>
          <w:tcPr>
            <w:tcW w:type="dxa" w:w="2660"/>
            <w:tcBorders>
              <w:top w:val="single" w:color="BBBBBB" w:sz="4"/>
              <w:left w:val="single" w:color="BBBBBB" w:sz="4"/>
              <w:bottom w:val="single" w:color="BBBBBB" w:sz="4"/>
              <w:right w:val="single" w:color="BBBBBB" w:sz="4"/>
            </w:tcBorders>
            <w:tcMar>
              <w:top w:type="dxa" w:w="90"/>
              <w:left w:type="dxa" w:w="140"/>
              <w:bottom w:type="dxa" w:w="90"/>
              <w:right w:type="dxa" w:w="140"/>
            </w:tcMar>
          </w:tcPr>
          <w:p>
            <w:r>
              <w:rPr>
                <w:sz w:val="20"/>
                <w:szCs w:val="20"/>
              </w:rPr>
              <w:t xml:space="preserve">CADTH base-case ICER of ~$14.5M/QALY; recommended for reimbursement only with substantial price reduction. The clearest existing demonstration of why a strong ITC is required for international market access; BioCryst should ensure any new ITC directly addresses the CADTH critiques.</w:t>
            </w:r>
          </w:p>
        </w:tc>
      </w:tr>
    </w:tbl>
    <w:p>
      <w:pPr>
        <w:spacing w:after="120"/>
      </w:pPr>
      <w:r>
        <w:t xml:space="preserve"/>
      </w:r>
    </w:p>
    <w:p>
      <w:pPr>
        <w:spacing w:after="120"/>
      </w:pPr>
      <w:r>
        <w:t xml:space="preserve">Observed patterns across this evidence base:</w:t>
      </w:r>
    </w:p>
    <w:p>
      <w:pPr>
        <w:pStyle w:val="ListParagraph"/>
        <w:numPr>
          <w:ilvl w:val="0"/>
          <w:numId w:val="2"/>
        </w:numPr>
        <w:spacing w:after="80"/>
      </w:pPr>
      <w:r>
        <w:t xml:space="preserve">Every published ITC sponsored by a competitor concludes that the sponsor's product is statistically or numerically superior to berotralstat or lanadelumab. This is unsurprising given selection of analyses, but reinforces the need for BioCryst-sponsored ITCs that surface counterbalancing dimensions (route of administration, persistence, total cost of care, patient preference).</w:t>
      </w:r>
    </w:p>
    <w:p>
      <w:pPr>
        <w:pStyle w:val="ListParagraph"/>
        <w:numPr>
          <w:ilvl w:val="0"/>
          <w:numId w:val="2"/>
        </w:numPr>
        <w:spacing w:after="80"/>
      </w:pPr>
      <w:r>
        <w:t xml:space="preserve">No published ITC currently compares berotralstat directly to garadacimab. This is a clear gap that BioCryst should fill, ideally before garadacimab achieves broad formulary uptake.</w:t>
      </w:r>
    </w:p>
    <w:p>
      <w:pPr>
        <w:pStyle w:val="ListParagraph"/>
        <w:numPr>
          <w:ilvl w:val="0"/>
          <w:numId w:val="2"/>
        </w:numPr>
        <w:spacing w:after="80"/>
      </w:pPr>
      <w:r>
        <w:t xml:space="preserve">Donidalorsen's OASISplus switch cohort produced a striking 73% additional attack-rate reduction in patients moving from berotralstat to donidalorsen; this is being interpreted by clinicians as a quasi-head-to-head signal. BioCryst should commission a methodologically rigorous response (e.g., MAIC over baseline-defined responders, or RWE-based persistence comparison).</w:t>
      </w:r>
    </w:p>
    <w:p>
      <w:pPr>
        <w:pStyle w:val="ListParagraph"/>
        <w:numPr>
          <w:ilvl w:val="0"/>
          <w:numId w:val="2"/>
        </w:numPr>
        <w:spacing w:after="80"/>
      </w:pPr>
      <w:r>
        <w:t xml:space="preserve">HTA bodies (CADTH; NICE TA in progress for garadacimab and donidalorsen; G-BA early benefit assessments) consistently flag the absence of robust comparative effectiveness evidence as the central limitation. The ITC investment that BioCryst makes should be specifically designed to satisfy HTA evidence-quality standards (PRISMA, ISPOR ITC Good Practices), not solely to generate marketing claims.</w:t>
      </w:r>
    </w:p>
    <w:p>
      <w:pPr>
        <w:pStyle w:val="Heading1"/>
        <w:spacing w:after="200" w:before="320"/>
      </w:pPr>
      <w:r>
        <w:t xml:space="preserve">5. Strategic Recommendations</w:t>
      </w:r>
    </w:p>
    <w:p>
      <w:pPr>
        <w:spacing w:after="120"/>
      </w:pPr>
      <w:r>
        <w:t xml:space="preserve">Based on the portfolio analysis and the published evidence review, the following ITC investments would have the highest strategic return for BioCryst over the next 12–24 months.</w:t>
      </w:r>
    </w:p>
    <w:p>
      <w:pPr>
        <w:pStyle w:val="Heading2"/>
        <w:spacing w:after="140" w:before="260"/>
      </w:pPr>
      <w:r>
        <w:t xml:space="preserve">Near-term (next 6–12 months)</w:t>
      </w:r>
    </w:p>
    <w:p>
      <w:pPr>
        <w:pStyle w:val="ListParagraph"/>
        <w:numPr>
          <w:ilvl w:val="0"/>
          <w:numId w:val="2"/>
        </w:numPr>
        <w:spacing w:after="80"/>
      </w:pPr>
      <w:r>
        <w:t xml:space="preserve">Commission an anchored NMA and an unanchored MAIC of berotralstat vs garadacimab using APeX-2 IPD and VANGUARD published data; target peer-reviewed publication in JACI or a HEOR journal to support payer rebuttals.</w:t>
      </w:r>
    </w:p>
    <w:p>
      <w:pPr>
        <w:pStyle w:val="ListParagraph"/>
        <w:numPr>
          <w:ilvl w:val="0"/>
          <w:numId w:val="2"/>
        </w:numPr>
        <w:spacing w:after="80"/>
      </w:pPr>
      <w:r>
        <w:t xml:space="preserve">Develop a berotralstat vs donidalorsen MAIC using APeX-2 vs OASIS-HAE, focused on baseline-stratified subgroups and AE-QoL; counter the OASISplus switch-cohort narrative.</w:t>
      </w:r>
    </w:p>
    <w:p>
      <w:pPr>
        <w:pStyle w:val="ListParagraph"/>
        <w:numPr>
          <w:ilvl w:val="0"/>
          <w:numId w:val="2"/>
        </w:numPr>
        <w:spacing w:after="80"/>
      </w:pPr>
      <w:r>
        <w:t xml:space="preserve">Publish a pediatric (ages 2–11) ITC using APeX-P data anchored where possible against SPRING (lanadelumab pediatric).</w:t>
      </w:r>
    </w:p>
    <w:p>
      <w:pPr>
        <w:pStyle w:val="ListParagraph"/>
        <w:numPr>
          <w:ilvl w:val="0"/>
          <w:numId w:val="2"/>
        </w:numPr>
        <w:spacing w:after="80"/>
      </w:pPr>
      <w:r>
        <w:t xml:space="preserve">Initiate a real-world ITC program in U.S. claims (Komodo / Optum) and EU registry data comparing persistence, healthcare resource utilization, and total cost of care across all five LTP options.</w:t>
      </w:r>
    </w:p>
    <w:p>
      <w:pPr>
        <w:pStyle w:val="Heading2"/>
        <w:spacing w:after="140" w:before="260"/>
      </w:pPr>
      <w:r>
        <w:t xml:space="preserve">Medium-term (12–24 months)</w:t>
      </w:r>
    </w:p>
    <w:p>
      <w:pPr>
        <w:pStyle w:val="ListParagraph"/>
        <w:numPr>
          <w:ilvl w:val="0"/>
          <w:numId w:val="2"/>
        </w:numPr>
        <w:spacing w:after="80"/>
      </w:pPr>
      <w:r>
        <w:t xml:space="preserve">Plan navenibart ITC strategy now so that anchored NMAs and MAICs can be submitted alongside the Phase 3 ALPHA-ORBIT readout. Comparators to prioritize: garadacimab, donidalorsen, lanadelumab, SC C1-INH. Endpoints to prioritize: attack rate, AE-QoL, persistence, dosing burden.</w:t>
      </w:r>
    </w:p>
    <w:p>
      <w:pPr>
        <w:pStyle w:val="ListParagraph"/>
        <w:numPr>
          <w:ilvl w:val="0"/>
          <w:numId w:val="2"/>
        </w:numPr>
        <w:spacing w:after="80"/>
      </w:pPr>
      <w:r>
        <w:t xml:space="preserve">Establish a Netherton syndrome external-control cohort and burden-of-illness platform to support eventual BCX17725 indirect comparisons. Engage with Netherton patient registries (NEUSO in France, U.S./EU dermatology networks).</w:t>
      </w:r>
    </w:p>
    <w:p>
      <w:pPr>
        <w:pStyle w:val="ListParagraph"/>
        <w:numPr>
          <w:ilvl w:val="0"/>
          <w:numId w:val="2"/>
        </w:numPr>
        <w:spacing w:after="80"/>
      </w:pPr>
      <w:r>
        <w:t xml:space="preserve">Update the Orladeyo health economic model with the most recent comparator pricing and dosing schedules to support new HTA submissions (e.g., updated CADTH review post-pediatric approval).</w:t>
      </w:r>
    </w:p>
    <w:p>
      <w:pPr>
        <w:pStyle w:val="Heading2"/>
        <w:spacing w:after="140" w:before="260"/>
      </w:pPr>
      <w:r>
        <w:t xml:space="preserve">Methodological priorities cross-cutting all programs</w:t>
      </w:r>
    </w:p>
    <w:p>
      <w:pPr>
        <w:pStyle w:val="ListParagraph"/>
        <w:numPr>
          <w:ilvl w:val="0"/>
          <w:numId w:val="2"/>
        </w:numPr>
        <w:spacing w:after="80"/>
      </w:pPr>
      <w:r>
        <w:t xml:space="preserve">Adhere to ISPOR / NICE DSU TSDs on indirect comparisons; pre-register protocols where feasible (PROSPERO).</w:t>
      </w:r>
    </w:p>
    <w:p>
      <w:pPr>
        <w:pStyle w:val="ListParagraph"/>
        <w:numPr>
          <w:ilvl w:val="0"/>
          <w:numId w:val="2"/>
        </w:numPr>
        <w:spacing w:after="80"/>
      </w:pPr>
      <w:r>
        <w:t xml:space="preserve">Where IPD is available, MAIC is preferred over naïve NMA; where IPD is not available, anchored Bucher / NMA on common placebo node is the minimum acceptable standard.</w:t>
      </w:r>
    </w:p>
    <w:p>
      <w:pPr>
        <w:pStyle w:val="ListParagraph"/>
        <w:numPr>
          <w:ilvl w:val="0"/>
          <w:numId w:val="2"/>
        </w:numPr>
        <w:spacing w:after="80"/>
      </w:pPr>
      <w:r>
        <w:t xml:space="preserve">Always pre-specify analyses on attack rate, ≥50% and ≥90% responder rates, AE-QoL, treatment satisfaction, and safety; report sensitivity analyses on follow-up duration, run-in periods, and analysis-population definitions.</w:t>
      </w:r>
    </w:p>
    <w:p>
      <w:pPr>
        <w:pStyle w:val="ListParagraph"/>
        <w:numPr>
          <w:ilvl w:val="0"/>
          <w:numId w:val="2"/>
        </w:numPr>
        <w:spacing w:after="80"/>
      </w:pPr>
      <w:r>
        <w:t xml:space="preserve">Build comparator-agnostic real-world evidence infrastructure (claims data partnerships, registry collaborations) so that emerging competitors can be folded into ITCs without bespoke trial-design effort.</w:t>
      </w:r>
    </w:p>
    <w:p>
      <w:pPr>
        <w:pStyle w:val="Heading1"/>
        <w:spacing w:after="200" w:before="320"/>
      </w:pPr>
      <w:r>
        <w:t xml:space="preserve">6. Sources and References</w:t>
      </w:r>
    </w:p>
    <w:p>
      <w:pPr>
        <w:spacing w:after="120"/>
      </w:pPr>
      <w:r>
        <w:t xml:space="preserve">Selected sources used to compile this landscape; ITC studies are listed in Section 4.</w:t>
      </w:r>
    </w:p>
    <w:p>
      <w:pPr>
        <w:pStyle w:val="ListParagraph"/>
        <w:numPr>
          <w:ilvl w:val="0"/>
          <w:numId w:val="2"/>
        </w:numPr>
        <w:spacing w:after="60"/>
      </w:pPr>
      <w:hyperlink w:history="1" r:id="rIdrgith4du1hm5wpnffsiwm">
        <w:r>
          <w:rPr>
            <w:rStyle w:val="Hyperlink"/>
          </w:rPr>
          <w:t xml:space="preserve">BioCryst pipeline (corporate site)</w:t>
        </w:r>
      </w:hyperlink>
    </w:p>
    <w:p>
      <w:pPr>
        <w:pStyle w:val="ListParagraph"/>
        <w:numPr>
          <w:ilvl w:val="0"/>
          <w:numId w:val="2"/>
        </w:numPr>
        <w:spacing w:after="60"/>
      </w:pPr>
      <w:hyperlink w:history="1" r:id="rIds28m3q1p3nmxorhv-cbws">
        <w:r>
          <w:rPr>
            <w:rStyle w:val="Hyperlink"/>
          </w:rPr>
          <w:t xml:space="preserve">BioCryst Q1 2026 Financial Results and Business Update</w:t>
        </w:r>
      </w:hyperlink>
    </w:p>
    <w:p>
      <w:pPr>
        <w:pStyle w:val="ListParagraph"/>
        <w:numPr>
          <w:ilvl w:val="0"/>
          <w:numId w:val="2"/>
        </w:numPr>
        <w:spacing w:after="60"/>
      </w:pPr>
      <w:hyperlink w:history="1" r:id="rIdt0mkxx9fko88ci9qb1oo8">
        <w:r>
          <w:rPr>
            <w:rStyle w:val="Hyperlink"/>
          </w:rPr>
          <w:t xml:space="preserve">BioCryst to Acquire Astria Therapeutics (HAE pipeline)</w:t>
        </w:r>
      </w:hyperlink>
    </w:p>
    <w:p>
      <w:pPr>
        <w:pStyle w:val="ListParagraph"/>
        <w:numPr>
          <w:ilvl w:val="0"/>
          <w:numId w:val="2"/>
        </w:numPr>
        <w:spacing w:after="60"/>
      </w:pPr>
      <w:hyperlink w:history="1" r:id="rId0_7-129pcmpdc2rwwkkvk">
        <w:r>
          <w:rPr>
            <w:rStyle w:val="Hyperlink"/>
          </w:rPr>
          <w:t xml:space="preserve">BioCryst FDA Approval of ORLADEYO Oral Pellets (ages 2–11)</w:t>
        </w:r>
      </w:hyperlink>
    </w:p>
    <w:p>
      <w:pPr>
        <w:pStyle w:val="ListParagraph"/>
        <w:numPr>
          <w:ilvl w:val="0"/>
          <w:numId w:val="2"/>
        </w:numPr>
        <w:spacing w:after="60"/>
      </w:pPr>
      <w:hyperlink w:history="1" r:id="rIdccltygf5fx87qggcbli73">
        <w:r>
          <w:rPr>
            <w:rStyle w:val="Hyperlink"/>
          </w:rPr>
          <w:t xml:space="preserve">ALPHA-STAR navenibart phase 1b/2 (JACI)</w:t>
        </w:r>
      </w:hyperlink>
    </w:p>
    <w:p>
      <w:pPr>
        <w:pStyle w:val="ListParagraph"/>
        <w:numPr>
          <w:ilvl w:val="0"/>
          <w:numId w:val="2"/>
        </w:numPr>
        <w:spacing w:after="60"/>
      </w:pPr>
      <w:hyperlink w:history="1" r:id="rIdg5e2o1xayfgiv6kmevgni">
        <w:r>
          <w:rPr>
            <w:rStyle w:val="Hyperlink"/>
          </w:rPr>
          <w:t xml:space="preserve">Safety and PK of long-acting plasma kallikrein inhibitor navenibart in healthy adults</w:t>
        </w:r>
      </w:hyperlink>
    </w:p>
    <w:p>
      <w:pPr>
        <w:pStyle w:val="ListParagraph"/>
        <w:numPr>
          <w:ilvl w:val="0"/>
          <w:numId w:val="2"/>
        </w:numPr>
        <w:spacing w:after="60"/>
      </w:pPr>
      <w:hyperlink w:history="1" r:id="rIdxmack7z4duolnub4bjit-">
        <w:r>
          <w:rPr>
            <w:rStyle w:val="Hyperlink"/>
          </w:rPr>
          <w:t xml:space="preserve">Bernstein NMA: lanadelumab vs berotralstat (PMC)</w:t>
        </w:r>
      </w:hyperlink>
    </w:p>
    <w:p>
      <w:pPr>
        <w:pStyle w:val="ListParagraph"/>
        <w:numPr>
          <w:ilvl w:val="0"/>
          <w:numId w:val="2"/>
        </w:numPr>
        <w:spacing w:after="60"/>
      </w:pPr>
      <w:hyperlink w:history="1" r:id="rIdr5z8vhbwf4-9fd1dwhafp">
        <w:r>
          <w:rPr>
            <w:rStyle w:val="Hyperlink"/>
          </w:rPr>
          <w:t xml:space="preserve">Letter to the Editor on Bernstein NMA (PMC)</w:t>
        </w:r>
      </w:hyperlink>
    </w:p>
    <w:p>
      <w:pPr>
        <w:pStyle w:val="ListParagraph"/>
        <w:numPr>
          <w:ilvl w:val="0"/>
          <w:numId w:val="2"/>
        </w:numPr>
        <w:spacing w:after="60"/>
      </w:pPr>
      <w:hyperlink w:history="1" r:id="rIdhwcmifsbj26ulq8hpjxni">
        <w:r>
          <w:rPr>
            <w:rStyle w:val="Hyperlink"/>
          </w:rPr>
          <w:t xml:space="preserve">MAIC garadacimab vs lanadelumab (PubMed)</w:t>
        </w:r>
      </w:hyperlink>
    </w:p>
    <w:p>
      <w:pPr>
        <w:pStyle w:val="ListParagraph"/>
        <w:numPr>
          <w:ilvl w:val="0"/>
          <w:numId w:val="2"/>
        </w:numPr>
        <w:spacing w:after="60"/>
      </w:pPr>
      <w:hyperlink w:history="1" r:id="rIdpffsnyxgn13gzuxxpshat">
        <w:r>
          <w:rPr>
            <w:rStyle w:val="Hyperlink"/>
          </w:rPr>
          <w:t xml:space="preserve">NMA of LTP therapies for HAE — garadacimab, lanadelumab, SC C1-INH, berotralstat (Drugs R&amp;D 2025)</w:t>
        </w:r>
      </w:hyperlink>
    </w:p>
    <w:p>
      <w:pPr>
        <w:pStyle w:val="ListParagraph"/>
        <w:numPr>
          <w:ilvl w:val="0"/>
          <w:numId w:val="2"/>
        </w:numPr>
        <w:spacing w:after="60"/>
      </w:pPr>
      <w:hyperlink w:history="1" r:id="rIdvx4nb_xqeaatiiwplyjmb">
        <w:r>
          <w:rPr>
            <w:rStyle w:val="Hyperlink"/>
          </w:rPr>
          <w:t xml:space="preserve">ISPOR poster: MAIC garadacimab vs donidalorsen</w:t>
        </w:r>
      </w:hyperlink>
    </w:p>
    <w:p>
      <w:pPr>
        <w:pStyle w:val="ListParagraph"/>
        <w:numPr>
          <w:ilvl w:val="0"/>
          <w:numId w:val="2"/>
        </w:numPr>
        <w:spacing w:after="60"/>
      </w:pPr>
      <w:hyperlink w:history="1" r:id="rIdferbzx3znbr_2_dyj_rpi">
        <w:r>
          <w:rPr>
            <w:rStyle w:val="Hyperlink"/>
          </w:rPr>
          <w:t xml:space="preserve">MAIC lanadelumab vs berotralstat (ScienceDirect / Ann Allergy)</w:t>
        </w:r>
      </w:hyperlink>
    </w:p>
    <w:p>
      <w:pPr>
        <w:pStyle w:val="ListParagraph"/>
        <w:numPr>
          <w:ilvl w:val="0"/>
          <w:numId w:val="2"/>
        </w:numPr>
        <w:spacing w:after="60"/>
      </w:pPr>
      <w:hyperlink w:history="1" r:id="rId0xitwhspyq5wdn1oqa_7e">
        <w:r>
          <w:rPr>
            <w:rStyle w:val="Hyperlink"/>
          </w:rPr>
          <w:t xml:space="preserve">ASH 2025 NMA: garadacimab, Haegarda, lanadelumab, berotralstat</w:t>
        </w:r>
      </w:hyperlink>
    </w:p>
    <w:p>
      <w:pPr>
        <w:pStyle w:val="ListParagraph"/>
        <w:numPr>
          <w:ilvl w:val="0"/>
          <w:numId w:val="2"/>
        </w:numPr>
        <w:spacing w:after="60"/>
      </w:pPr>
      <w:hyperlink w:history="1" r:id="rIdz2jjkb-vcdjat14fl9smj">
        <w:r>
          <w:rPr>
            <w:rStyle w:val="Hyperlink"/>
          </w:rPr>
          <w:t xml:space="preserve">Real-world HCRU lanadelumab vs berotralstat</w:t>
        </w:r>
      </w:hyperlink>
    </w:p>
    <w:p>
      <w:pPr>
        <w:pStyle w:val="ListParagraph"/>
        <w:numPr>
          <w:ilvl w:val="0"/>
          <w:numId w:val="2"/>
        </w:numPr>
        <w:spacing w:after="60"/>
      </w:pPr>
      <w:hyperlink w:history="1" r:id="rIdvrgnlf1jvts02pul5vfwd">
        <w:r>
          <w:rPr>
            <w:rStyle w:val="Hyperlink"/>
          </w:rPr>
          <w:t xml:space="preserve">Indirect comparison IV vs SC C1-INH (Allergy Asthma Clin Immunol)</w:t>
        </w:r>
      </w:hyperlink>
    </w:p>
    <w:p>
      <w:pPr>
        <w:pStyle w:val="ListParagraph"/>
        <w:numPr>
          <w:ilvl w:val="0"/>
          <w:numId w:val="2"/>
        </w:numPr>
        <w:spacing w:after="60"/>
      </w:pPr>
      <w:hyperlink w:history="1" r:id="rIdxnewwin2otks_zxxzopzt">
        <w:r>
          <w:rPr>
            <w:rStyle w:val="Hyperlink"/>
          </w:rPr>
          <w:t xml:space="preserve">CADTH Reimbursement Review — Berotralstat (Orladeyo)</w:t>
        </w:r>
      </w:hyperlink>
    </w:p>
    <w:p>
      <w:pPr>
        <w:pStyle w:val="ListParagraph"/>
        <w:numPr>
          <w:ilvl w:val="0"/>
          <w:numId w:val="2"/>
        </w:numPr>
        <w:spacing w:after="60"/>
      </w:pPr>
      <w:hyperlink w:history="1" r:id="rIdyizb6xzmtntlwv-vzfhxe">
        <w:r>
          <w:rPr>
            <w:rStyle w:val="Hyperlink"/>
          </w:rPr>
          <w:t xml:space="preserve">Ionis donidalorsen OASIS-HAE / OASISplus</w:t>
        </w:r>
      </w:hyperlink>
    </w:p>
    <w:p>
      <w:pPr>
        <w:pStyle w:val="ListParagraph"/>
        <w:numPr>
          <w:ilvl w:val="0"/>
          <w:numId w:val="2"/>
        </w:numPr>
        <w:spacing w:after="60"/>
      </w:pPr>
      <w:hyperlink w:history="1" r:id="rId36qo3g0uq1d4r-n8geyuo">
        <w:r>
          <w:rPr>
            <w:rStyle w:val="Hyperlink"/>
          </w:rPr>
          <w:t xml:space="preserve">KalVista sebetralstat (EKTERLY) FDA approval</w:t>
        </w:r>
      </w:hyperlink>
    </w:p>
    <w:p>
      <w:pPr>
        <w:pStyle w:val="ListParagraph"/>
        <w:numPr>
          <w:ilvl w:val="0"/>
          <w:numId w:val="2"/>
        </w:numPr>
        <w:spacing w:after="60"/>
      </w:pPr>
      <w:hyperlink w:history="1" r:id="rIdh2tufaufunc64vbh4pty6">
        <w:r>
          <w:rPr>
            <w:rStyle w:val="Hyperlink"/>
          </w:rPr>
          <w:t xml:space="preserve">Netherton syndrome treatment landscape (DelveInsight)</w:t>
        </w:r>
      </w:hyperlink>
    </w:p>
    <w:p>
      <w:pPr>
        <w:pStyle w:val="ListParagraph"/>
        <w:numPr>
          <w:ilvl w:val="0"/>
          <w:numId w:val="2"/>
        </w:numPr>
        <w:spacing w:after="60"/>
      </w:pPr>
      <w:hyperlink w:history="1" r:id="rIdq5rgzp0_59qzc16rp97mu">
        <w:r>
          <w:rPr>
            <w:rStyle w:val="Hyperlink"/>
          </w:rPr>
          <w:t xml:space="preserve">Dual KLK5/KLK7 antibody for Netherton (Science Translational Medicine)</w:t>
        </w:r>
      </w:hyperlink>
    </w:p>
    <w:p>
      <w:pPr>
        <w:pStyle w:val="ListParagraph"/>
        <w:numPr>
          <w:ilvl w:val="0"/>
          <w:numId w:val="2"/>
        </w:numPr>
        <w:spacing w:after="60"/>
      </w:pPr>
      <w:hyperlink w:history="1" r:id="rIdriffxqh0jb_ykqkavb3j0">
        <w:r>
          <w:rPr>
            <w:rStyle w:val="Hyperlink"/>
          </w:rPr>
          <w:t xml:space="preserve">FOP — palovarotene approval / garetosmab review (context only)</w:t>
        </w:r>
      </w:hyperlink>
    </w:p>
    <w:p>
      <w:pPr>
        <w:pStyle w:val="ListParagraph"/>
        <w:numPr>
          <w:ilvl w:val="0"/>
          <w:numId w:val="2"/>
        </w:numPr>
        <w:spacing w:after="60"/>
      </w:pPr>
      <w:hyperlink w:history="1" r:id="rIdiqm8g_85slpybyuupenw5">
        <w:r>
          <w:rPr>
            <w:rStyle w:val="Hyperlink"/>
          </w:rPr>
          <w:t xml:space="preserve">BioCryst ISPOR 2026 pediatric HAE real-world evidence</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BioCryst ITC Landscape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F2A4A"/>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gith4du1hm5wpnffsiwm" Type="http://schemas.openxmlformats.org/officeDocument/2006/relationships/hyperlink" Target="https://www.biocryst.com/science/pipeline/" TargetMode="External"/><Relationship Id="rIds28m3q1p3nmxorhv-cbws" Type="http://schemas.openxmlformats.org/officeDocument/2006/relationships/hyperlink" Target="https://ir.biocryst.com/news-releases/news-release-details/biocryst-reports-first-quarter-2026-financial-results-and" TargetMode="External"/><Relationship Id="rIdt0mkxx9fko88ci9qb1oo8" Type="http://schemas.openxmlformats.org/officeDocument/2006/relationships/hyperlink" Target="https://ir.biocryst.com/news-releases/news-release-details/biocryst-acquire-astria-therapeutics-strengthening-presence-hae" TargetMode="External"/><Relationship Id="rId0_7-129pcmpdc2rwwkkvk" Type="http://schemas.openxmlformats.org/officeDocument/2006/relationships/hyperlink" Target="https://ir.biocryst.com/news-releases/news-release-details/biocryst-announces-fda-approval-orladeyor-berotralstat-oral" TargetMode="External"/><Relationship Id="rIdccltygf5fx87qggcbli73" Type="http://schemas.openxmlformats.org/officeDocument/2006/relationships/hyperlink" Target="https://www.jacionline.org/article/S0091-6749(26)00171-5/fulltext" TargetMode="External"/><Relationship Id="rIdg5e2o1xayfgiv6kmevgni" Type="http://schemas.openxmlformats.org/officeDocument/2006/relationships/hyperlink" Target="https://www.sciencedirect.com/science/article/pii/S108112062500153X" TargetMode="External"/><Relationship Id="rIdxmack7z4duolnub4bjit-" Type="http://schemas.openxmlformats.org/officeDocument/2006/relationships/hyperlink" Target="https://pmc.ncbi.nlm.nih.gov/articles/PMC10402909/" TargetMode="External"/><Relationship Id="rIdr5z8vhbwf4-9fd1dwhafp" Type="http://schemas.openxmlformats.org/officeDocument/2006/relationships/hyperlink" Target="https://pmc.ncbi.nlm.nih.gov/articles/PMC11036881/" TargetMode="External"/><Relationship Id="rIdhwcmifsbj26ulq8hpjxni" Type="http://schemas.openxmlformats.org/officeDocument/2006/relationships/hyperlink" Target="https://pubmed.ncbi.nlm.nih.gov/40637159/" TargetMode="External"/><Relationship Id="rIdpffsnyxgn13gzuxxpshat" Type="http://schemas.openxmlformats.org/officeDocument/2006/relationships/hyperlink" Target="https://link.springer.com/article/10.1007/s40268-025-00511-y" TargetMode="External"/><Relationship Id="rIdvx4nb_xqeaatiiwplyjmb" Type="http://schemas.openxmlformats.org/officeDocument/2006/relationships/hyperlink" Target="https://www.ispor.org/heor-resources/presentations-database/presentation-cti/ispor-europe-2025/poster-session-4-2/matching-adjusted-indirect-comparison-between-garadacimab-and-donidalorsen-for-long-term-prophylaxis-in-hereditary-angioedema" TargetMode="External"/><Relationship Id="rIdferbzx3znbr_2_dyj_rpi" Type="http://schemas.openxmlformats.org/officeDocument/2006/relationships/hyperlink" Target="https://www.sciencedirect.com/science/article/pii/S1081120622012613" TargetMode="External"/><Relationship Id="rId0xitwhspyq5wdn1oqa_7e" Type="http://schemas.openxmlformats.org/officeDocument/2006/relationships/hyperlink" Target="https://ashpublications.org/blood/article/146/Supplement%201/2699/554869" TargetMode="External"/><Relationship Id="rIdz2jjkb-vcdjat14fl9smj" Type="http://schemas.openxmlformats.org/officeDocument/2006/relationships/hyperlink" Target="https://becarispublishing.com/doi/10.57264/cer-2024-0205" TargetMode="External"/><Relationship Id="rIdvrgnlf1jvts02pul5vfwd" Type="http://schemas.openxmlformats.org/officeDocument/2006/relationships/hyperlink" Target="https://aacijournal.biomedcentral.com/articles/10.1186/s13223-019-0328-3" TargetMode="External"/><Relationship Id="rIdxnewwin2otks_zxxzopzt" Type="http://schemas.openxmlformats.org/officeDocument/2006/relationships/hyperlink" Target="https://www.ncbi.nlm.nih.gov/books/NBK596623/" TargetMode="External"/><Relationship Id="rIdyizb6xzmtntlwv-vzfhxe" Type="http://schemas.openxmlformats.org/officeDocument/2006/relationships/hyperlink" Target="https://ir.ionis.com/news-releases/news-release-details/ionis-presents-positive-results-oasis-hae-and-oasisplus-studies" TargetMode="External"/><Relationship Id="rId36qo3g0uq1d4r-n8geyuo" Type="http://schemas.openxmlformats.org/officeDocument/2006/relationships/hyperlink" Target="https://ir.kalvista.com/news-releases/news-release-details/kalvista-pharmaceuticals-announces-fda-approval-ekterlyr/" TargetMode="External"/><Relationship Id="rIdh2tufaufunc64vbh4pty6" Type="http://schemas.openxmlformats.org/officeDocument/2006/relationships/hyperlink" Target="https://www.delveinsight.com/blog/netherton-syndrome-treatment" TargetMode="External"/><Relationship Id="rIdq5rgzp0_59qzc16rp97mu" Type="http://schemas.openxmlformats.org/officeDocument/2006/relationships/hyperlink" Target="https://www.science.org/doi/10.1126/scitranslmed.abp9159" TargetMode="External"/><Relationship Id="rIdriffxqh0jb_ykqkavb3j0" Type="http://schemas.openxmlformats.org/officeDocument/2006/relationships/hyperlink" Target="https://allsci.com/news/regenerons-garetosmab-gains-fda-priority-review-for-ultra-rare-disease-fop/" TargetMode="External"/><Relationship Id="rIdiqm8g_85slpybyuupenw5" Type="http://schemas.openxmlformats.org/officeDocument/2006/relationships/hyperlink" Target="https://www.globenewswire.com/news-release/2026/05/13/3293832/29446/en/BioCryst-to-Present-New-Real-World-Evidence-Underscoring-the-Ongoing-Burden-of-Pediatric-Hereditary-Angioedema-at-ISPOR-2026.html"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BioCryst ITC Landscape</dc:title>
  <dc:creator>BioCryst HEOR/Market Access Research</dc:creator>
  <dc:description>Indirect Treatment Comparison opportunities and published evidence review for BioCryst Pharmaceuticals</dc:description>
  <cp:lastModifiedBy>Un-named</cp:lastModifiedBy>
  <cp:revision>1</cp:revision>
  <dcterms:created xsi:type="dcterms:W3CDTF">2026-05-14T05:23:19.175Z</dcterms:created>
  <dcterms:modified xsi:type="dcterms:W3CDTF">2026-05-14T05:23:19.176Z</dcterms:modified>
</cp:coreProperties>
</file>

<file path=docProps/custom.xml><?xml version="1.0" encoding="utf-8"?>
<Properties xmlns="http://schemas.openxmlformats.org/officeDocument/2006/custom-properties" xmlns:vt="http://schemas.openxmlformats.org/officeDocument/2006/docPropsVTypes"/>
</file>