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NICE TA1120 — Clarification Review</w:t>
      </w:r>
    </w:p>
    <w:p>
      <w:pPr>
        <w:jc w:val="center"/>
      </w:pPr>
      <w:r>
        <w:rPr>
          <w:i/>
          <w:sz w:val="32"/>
        </w:rPr>
        <w:t>Avelumab with axitinib for untreated advanced renal cell carcinoma</w:t>
      </w:r>
    </w:p>
    <w:p>
      <w:pPr>
        <w:jc w:val="center"/>
      </w:pPr>
      <w:r>
        <w:rPr>
          <w:i/>
          <w:sz w:val="32"/>
        </w:rPr>
        <w:t>(MA review of TA645)</w:t>
      </w:r>
    </w:p>
    <w:p/>
    <w:p/>
    <w:p/>
    <w:p/>
    <w:p>
      <w:pPr>
        <w:jc w:val="center"/>
      </w:pPr>
      <w:r>
        <w:rPr>
          <w:sz w:val="26"/>
        </w:rPr>
        <w:t>Prepared by: AI-assisted EAG simulation</w:t>
      </w:r>
    </w:p>
    <w:p>
      <w:pPr>
        <w:jc w:val="center"/>
      </w:pPr>
      <w:r>
        <w:rPr>
          <w:sz w:val="26"/>
        </w:rPr>
        <w:t>Date: 22 May 2026</w:t>
      </w:r>
    </w:p>
    <w:p>
      <w:r>
        <w:br w:type="page"/>
      </w:r>
    </w:p>
    <w:p>
      <w:pPr>
        <w:pStyle w:val="Heading1"/>
      </w:pPr>
      <w:r>
        <w:rPr>
          <w:color w:val="1F3864"/>
          <w:sz w:val="32"/>
        </w:rPr>
        <w:t>Executive summary</w:t>
      </w:r>
    </w:p>
    <w:p>
      <w:r>
        <w:rPr>
          <w:b w:val="0"/>
          <w:i w:val="0"/>
          <w:sz w:val="22"/>
        </w:rPr>
        <w:t>This report documents an AI-assisted simulation of an EAG (External Assessment Group) clarification review for NICE TA1120 (Avelumab with axitinib for untreated advanced renal cell carcinoma — MA review of TA645). Four specialist personas (clinical, statistician, health economist, information specialist) independently generated clarification questions from the public Committee papers, blinded to the company response and the EAG Assessment Report. The generated question set was then de-duplicated, merged, and compared against the actual NICE clarification letter issued to Merck on 16 December 2024.</w:t>
      </w:r>
    </w:p>
    <w:p>
      <w:r>
        <w:rPr>
          <w:b w:val="0"/>
          <w:i w:val="0"/>
          <w:sz w:val="22"/>
        </w:rPr>
        <w:t>The four specialists produced 151 individual questions, which de-duplicated to 61 merged topics. NICE itself asked 23 unique questions. Sixteen of the NICE questions were also identified by the AI review (hit rate 69.6%), including all three NICE priority "Yes" items related to time horizon, proportional hazards, and the utility regression methodology. Forty-five topics were generated only by the AI review and not asked by NICE; seven NICE topics were missed by the AI review.</w:t>
      </w:r>
    </w:p>
    <w:p>
      <w:r>
        <w:rPr>
          <w:b w:val="0"/>
          <w:i w:val="0"/>
          <w:sz w:val="22"/>
        </w:rPr>
        <w:t>The seven missed items share a single signature: they are all reactive findings from direct, cell-by-cell audit of the executable Excel model and the full CSR — artefacts the specialists did not have in front of them. They are not gaps in the methodological scope of the AI review but limitations of the inputs available to it at the pre-clarification stage.</w:t>
      </w:r>
    </w:p>
    <w:p>
      <w:pPr>
        <w:pStyle w:val="Heading2"/>
      </w:pPr>
      <w:r>
        <w:rPr>
          <w:color w:val="1F3864"/>
          <w:sz w:val="28"/>
        </w:rPr>
        <w:t>Headline counts</w:t>
      </w:r>
    </w:p>
    <w:tbl>
      <w:tblPr>
        <w:jc w:val="left"/>
        <w:tblLook w:firstColumn="1" w:firstRow="1" w:lastColumn="0" w:lastRow="0" w:noHBand="0" w:noVBand="1" w:val="04A0"/>
        <w:tblW w:w="936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4680"/>
        <w:gridCol w:w="4680"/>
      </w:tblGrid>
      <w:tr>
        <w:tc>
          <w:tcPr>
            <w:tcW w:w="4680" w:type="dxa"/>
            <w:shd w:val="clear" w:color="auto" w:fill="1F3864"/>
            <w:tcBorders>
              <w:top w:val="single" w:sz="4" w:color="888888"/>
              <w:left w:val="single" w:sz="4" w:color="888888"/>
              <w:bottom w:val="single" w:sz="4" w:color="888888"/>
              <w:right w:val="single" w:sz="4" w:color="888888"/>
            </w:tcBorders>
          </w:tcPr>
          <w:p>
            <w:r/>
            <w:r>
              <w:rPr>
                <w:b/>
                <w:color w:val="FFFFFF"/>
                <w:sz w:val="20"/>
              </w:rPr>
              <w:t>Metric</w:t>
            </w:r>
          </w:p>
        </w:tc>
        <w:tc>
          <w:tcPr>
            <w:tcW w:w="4680" w:type="dxa"/>
            <w:shd w:val="clear" w:color="auto" w:fill="1F3864"/>
            <w:tcBorders>
              <w:top w:val="single" w:sz="4" w:color="888888"/>
              <w:left w:val="single" w:sz="4" w:color="888888"/>
              <w:bottom w:val="single" w:sz="4" w:color="888888"/>
              <w:right w:val="single" w:sz="4" w:color="888888"/>
            </w:tcBorders>
          </w:tcPr>
          <w:p>
            <w:r/>
            <w:r>
              <w:rPr>
                <w:b/>
                <w:color w:val="FFFFFF"/>
                <w:sz w:val="20"/>
              </w:rPr>
              <w:t>Value</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Generated topics (unique, post-merge)</w:t>
            </w:r>
          </w:p>
        </w:tc>
        <w:tc>
          <w:tcPr>
            <w:tcW w:w="4680" w:type="dxa"/>
            <w:tcBorders>
              <w:top w:val="single" w:sz="4" w:color="888888"/>
              <w:left w:val="single" w:sz="4" w:color="888888"/>
              <w:bottom w:val="single" w:sz="4" w:color="888888"/>
              <w:right w:val="single" w:sz="4" w:color="888888"/>
            </w:tcBorders>
          </w:tcPr>
          <w:p>
            <w:r>
              <w:rPr>
                <w:b/>
              </w:rPr>
            </w:r>
            <w:r>
              <w:rPr>
                <w:b/>
                <w:sz w:val="24"/>
              </w:rPr>
              <w:t>61</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Actual NICE topics (unique)</w:t>
            </w:r>
          </w:p>
        </w:tc>
        <w:tc>
          <w:tcPr>
            <w:tcW w:w="4680" w:type="dxa"/>
            <w:tcBorders>
              <w:top w:val="single" w:sz="4" w:color="888888"/>
              <w:left w:val="single" w:sz="4" w:color="888888"/>
              <w:bottom w:val="single" w:sz="4" w:color="888888"/>
              <w:right w:val="single" w:sz="4" w:color="888888"/>
            </w:tcBorders>
          </w:tcPr>
          <w:p>
            <w:r>
              <w:rPr>
                <w:b/>
              </w:rPr>
            </w:r>
            <w:r>
              <w:rPr>
                <w:b/>
                <w:sz w:val="24"/>
              </w:rPr>
              <w:t>23</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Both (matched)</w:t>
            </w:r>
          </w:p>
        </w:tc>
        <w:tc>
          <w:tcPr>
            <w:tcW w:w="4680" w:type="dxa"/>
            <w:tcBorders>
              <w:top w:val="single" w:sz="4" w:color="888888"/>
              <w:left w:val="single" w:sz="4" w:color="888888"/>
              <w:bottom w:val="single" w:sz="4" w:color="888888"/>
              <w:right w:val="single" w:sz="4" w:color="888888"/>
            </w:tcBorders>
          </w:tcPr>
          <w:p>
            <w:r>
              <w:rPr>
                <w:b/>
              </w:rPr>
            </w:r>
            <w:r>
              <w:rPr>
                <w:b/>
                <w:sz w:val="24"/>
              </w:rPr>
              <w:t>16</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Generated-only</w:t>
            </w:r>
          </w:p>
        </w:tc>
        <w:tc>
          <w:tcPr>
            <w:tcW w:w="4680" w:type="dxa"/>
            <w:tcBorders>
              <w:top w:val="single" w:sz="4" w:color="888888"/>
              <w:left w:val="single" w:sz="4" w:color="888888"/>
              <w:bottom w:val="single" w:sz="4" w:color="888888"/>
              <w:right w:val="single" w:sz="4" w:color="888888"/>
            </w:tcBorders>
          </w:tcPr>
          <w:p>
            <w:r>
              <w:rPr>
                <w:b/>
              </w:rPr>
            </w:r>
            <w:r>
              <w:rPr>
                <w:b/>
                <w:sz w:val="24"/>
              </w:rPr>
              <w:t>45</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NICE-only (missed)</w:t>
            </w:r>
          </w:p>
        </w:tc>
        <w:tc>
          <w:tcPr>
            <w:tcW w:w="4680" w:type="dxa"/>
            <w:tcBorders>
              <w:top w:val="single" w:sz="4" w:color="888888"/>
              <w:left w:val="single" w:sz="4" w:color="888888"/>
              <w:bottom w:val="single" w:sz="4" w:color="888888"/>
              <w:right w:val="single" w:sz="4" w:color="888888"/>
            </w:tcBorders>
          </w:tcPr>
          <w:p>
            <w:r>
              <w:rPr>
                <w:b/>
              </w:rPr>
            </w:r>
            <w:r>
              <w:rPr>
                <w:b/>
                <w:sz w:val="24"/>
              </w:rPr>
              <w:t>7</w:t>
            </w:r>
          </w:p>
        </w:tc>
      </w:tr>
      <w:tr>
        <w:trPr>
          <w:trHeight w:val="420" w:hRule="atLeast"/>
        </w:trPr>
        <w:tc>
          <w:tcPr>
            <w:tcW w:w="4680" w:type="dxa"/>
            <w:tcBorders>
              <w:top w:val="single" w:sz="4" w:color="888888"/>
              <w:left w:val="single" w:sz="4" w:color="888888"/>
              <w:bottom w:val="single" w:sz="4" w:color="888888"/>
              <w:right w:val="single" w:sz="4" w:color="888888"/>
            </w:tcBorders>
          </w:tcPr>
          <w:p>
            <w:r/>
            <w:r>
              <w:rPr>
                <w:sz w:val="24"/>
              </w:rPr>
              <w:t>Hit rate on NICE</w:t>
            </w:r>
          </w:p>
        </w:tc>
        <w:tc>
          <w:tcPr>
            <w:tcW w:w="4680" w:type="dxa"/>
            <w:tcBorders>
              <w:top w:val="single" w:sz="4" w:color="888888"/>
              <w:left w:val="single" w:sz="4" w:color="888888"/>
              <w:bottom w:val="single" w:sz="4" w:color="888888"/>
              <w:right w:val="single" w:sz="4" w:color="888888"/>
            </w:tcBorders>
          </w:tcPr>
          <w:p>
            <w:r>
              <w:rPr>
                <w:b/>
              </w:rPr>
            </w:r>
            <w:r>
              <w:rPr>
                <w:b/>
                <w:sz w:val="24"/>
              </w:rPr>
              <w:t>16 / 23 = 69.6%</w:t>
            </w:r>
          </w:p>
        </w:tc>
      </w:tr>
    </w:tbl>
    <w:p/>
    <w:p>
      <w:r>
        <w:rPr>
          <w:b/>
          <w:i w:val="0"/>
          <w:sz w:val="22"/>
        </w:rPr>
        <w:t>Bottom line: The AI review would have caught 16 of the 23 actual NICE clarification questions (69.6% coverage). The seven missed items are all model-audit findings that require direct interrogation of the submitted Excel workbook and the full CSR — artefacts not available at the clarification-letter generation stage of an EAG review.</w:t>
      </w:r>
    </w:p>
    <w:p>
      <w:r>
        <w:br w:type="page"/>
      </w:r>
    </w:p>
    <w:p>
      <w:pPr>
        <w:pStyle w:val="Heading1"/>
      </w:pPr>
      <w:r>
        <w:rPr>
          <w:color w:val="1F3864"/>
          <w:sz w:val="32"/>
        </w:rPr>
        <w:t>Table of contents</w:t>
      </w:r>
    </w:p>
    <w:p>
      <w:r>
        <w:rPr>
          <w:sz w:val="22"/>
        </w:rPr>
        <w:t>Executive summary</w:t>
      </w:r>
      <w:r>
        <w:rPr>
          <w:sz w:val="22"/>
        </w:rPr>
        <w:tab/>
        <w:t>2</w:t>
      </w:r>
    </w:p>
    <w:p>
      <w:r>
        <w:rPr>
          <w:sz w:val="22"/>
        </w:rPr>
        <w:t>Methodology</w:t>
      </w:r>
      <w:r>
        <w:rPr>
          <w:sz w:val="22"/>
        </w:rPr>
        <w:tab/>
        <w:t>4</w:t>
      </w:r>
    </w:p>
    <w:p>
      <w:r>
        <w:rPr>
          <w:sz w:val="22"/>
        </w:rPr>
        <w:t>Matched topics (Both)</w:t>
      </w:r>
      <w:r>
        <w:rPr>
          <w:sz w:val="22"/>
        </w:rPr>
        <w:tab/>
        <w:t>6</w:t>
      </w:r>
    </w:p>
    <w:p>
      <w:r>
        <w:rPr>
          <w:sz w:val="22"/>
        </w:rPr>
        <w:t>Missed topics (NICE-only)</w:t>
      </w:r>
      <w:r>
        <w:rPr>
          <w:sz w:val="22"/>
        </w:rPr>
        <w:tab/>
        <w:t>9</w:t>
      </w:r>
    </w:p>
    <w:p>
      <w:r>
        <w:rPr>
          <w:sz w:val="22"/>
        </w:rPr>
        <w:t>Generated-only topics</w:t>
      </w:r>
      <w:r>
        <w:rPr>
          <w:sz w:val="22"/>
        </w:rPr>
        <w:tab/>
        <w:t>11</w:t>
      </w:r>
    </w:p>
    <w:p>
      <w:r>
        <w:rPr>
          <w:sz w:val="22"/>
        </w:rPr>
        <w:t>Specialist contributions</w:t>
      </w:r>
      <w:r>
        <w:rPr>
          <w:sz w:val="22"/>
        </w:rPr>
        <w:tab/>
        <w:t>14</w:t>
      </w:r>
    </w:p>
    <w:p>
      <w:r>
        <w:rPr>
          <w:sz w:val="22"/>
        </w:rPr>
        <w:t>Discussion</w:t>
      </w:r>
      <w:r>
        <w:rPr>
          <w:sz w:val="22"/>
        </w:rPr>
        <w:tab/>
        <w:t>16</w:t>
      </w:r>
    </w:p>
    <w:p>
      <w:r>
        <w:rPr>
          <w:sz w:val="22"/>
        </w:rPr>
        <w:t>Conclusion</w:t>
      </w:r>
      <w:r>
        <w:rPr>
          <w:sz w:val="22"/>
        </w:rPr>
        <w:tab/>
        <w:t>18</w:t>
      </w:r>
    </w:p>
    <w:p>
      <w:r>
        <w:rPr>
          <w:sz w:val="22"/>
        </w:rPr>
        <w:t>Appendix A: Full generated question list</w:t>
      </w:r>
      <w:r>
        <w:rPr>
          <w:sz w:val="22"/>
        </w:rPr>
        <w:tab/>
        <w:t>19</w:t>
      </w:r>
    </w:p>
    <w:p>
      <w:r>
        <w:rPr>
          <w:sz w:val="22"/>
        </w:rPr>
        <w:t>Appendix B: Full actual NICE question list</w:t>
      </w:r>
      <w:r>
        <w:rPr>
          <w:sz w:val="22"/>
        </w:rPr>
        <w:tab/>
        <w:t>32</w:t>
      </w:r>
    </w:p>
    <w:p/>
    <w:p>
      <w:r>
        <w:rPr>
          <w:b w:val="0"/>
          <w:i/>
          <w:sz w:val="18"/>
        </w:rPr>
        <w:t>[Right-click and update Table of Contents in Word to refresh page numbers]</w:t>
      </w:r>
    </w:p>
    <w:p>
      <w:r>
        <w:br w:type="page"/>
      </w:r>
    </w:p>
    <w:p>
      <w:pPr>
        <w:pStyle w:val="Heading1"/>
      </w:pPr>
      <w:r>
        <w:rPr>
          <w:color w:val="1F3864"/>
          <w:sz w:val="32"/>
        </w:rPr>
        <w:t>Methodology</w:t>
      </w:r>
    </w:p>
    <w:p>
      <w:pPr>
        <w:pStyle w:val="Heading2"/>
      </w:pPr>
      <w:r>
        <w:rPr>
          <w:color w:val="1F3864"/>
          <w:sz w:val="28"/>
        </w:rPr>
        <w:t>Source documents acquired</w:t>
      </w:r>
    </w:p>
    <w:p>
      <w:r>
        <w:rPr>
          <w:b w:val="0"/>
          <w:i w:val="0"/>
          <w:sz w:val="22"/>
        </w:rPr>
        <w:t>The review used two primary source documents:</w:t>
      </w:r>
    </w:p>
    <w:p>
      <w:pPr>
        <w:pStyle w:val="ListBullet"/>
      </w:pPr>
      <w:r>
        <w:t>NICE TA1120 Committee papers PDF (484 pages) — containing the company submission (Document B, Section 1a), the company response to clarification (Section 2), and the EAG Assessment Report (Section 5).</w:t>
      </w:r>
    </w:p>
    <w:p>
      <w:pPr>
        <w:pStyle w:val="ListBullet"/>
      </w:pPr>
      <w:r>
        <w:t>NICE TA1120 Final scope document (issued September 2024) — defining the population, intervention, comparators, outcomes and subgroups.</w:t>
      </w:r>
    </w:p>
    <w:p>
      <w:pPr>
        <w:pStyle w:val="Heading2"/>
      </w:pPr>
      <w:r>
        <w:rPr>
          <w:color w:val="1F3864"/>
          <w:sz w:val="28"/>
        </w:rPr>
        <w:t>STA structure identification</w:t>
      </w:r>
    </w:p>
    <w:p>
      <w:r>
        <w:rPr>
          <w:b w:val="0"/>
          <w:i w:val="0"/>
          <w:sz w:val="22"/>
        </w:rPr>
        <w:t>TA1120 is a Single Technology Appraisal (STA) and not a Multiple Technology Appraisal. The only company recipient of clarification correspondence is Merck. The Committee papers PDF was page-mapped to identify the relevant sections: Section 1a contains the manufacturer submission (Document B and appendices); Section 2 contains the company response to the EAG clarification questions; Section 5 contains the EAG Assessment Report. Questions were attributed to a single recipient (Merck) throughout.</w:t>
      </w:r>
    </w:p>
    <w:p>
      <w:pPr>
        <w:pStyle w:val="Heading2"/>
      </w:pPr>
      <w:r>
        <w:rPr>
          <w:color w:val="1F3864"/>
          <w:sz w:val="28"/>
        </w:rPr>
        <w:t>Four-specialist parallel review</w:t>
      </w:r>
    </w:p>
    <w:p>
      <w:r>
        <w:rPr>
          <w:b w:val="0"/>
          <w:i w:val="0"/>
          <w:sz w:val="22"/>
        </w:rPr>
        <w:t>Four specialist subagents were spawned in parallel, each adopting a defined EAG persona:</w:t>
      </w:r>
    </w:p>
    <w:p>
      <w:pPr>
        <w:pStyle w:val="ListBullet"/>
      </w:pPr>
      <w:r>
        <w:rPr>
          <w:b/>
        </w:rPr>
        <w:t xml:space="preserve">Clinical. </w:t>
      </w:r>
      <w:r>
        <w:t>EAG clinical specialist — trial design, internal/external validity, subgroup analyses, safety, HRQoL, treatment switching, ITC composition, redactions.</w:t>
      </w:r>
    </w:p>
    <w:p>
      <w:pPr>
        <w:pStyle w:val="ListBullet"/>
      </w:pPr>
      <w:r>
        <w:rPr>
          <w:b/>
        </w:rPr>
        <w:t xml:space="preserve">Statistician. </w:t>
      </w:r>
      <w:r>
        <w:t>EAG statistician — proportional hazards diagnostics, survival distribution selection, NMA methodology, treatment-switching adjustment, censoring rules, multiplicity, PSA implementation.</w:t>
      </w:r>
    </w:p>
    <w:p>
      <w:pPr>
        <w:pStyle w:val="ListBullet"/>
      </w:pPr>
      <w:r>
        <w:rPr>
          <w:b/>
        </w:rPr>
        <w:t xml:space="preserve">Health economist. </w:t>
      </w:r>
      <w:r>
        <w:t>EAG health economist — model auditability, scope concordance, model structure, survival extrapolation, utilities, costs, sensitivity analyses, reproducibility.</w:t>
      </w:r>
    </w:p>
    <w:p>
      <w:pPr>
        <w:pStyle w:val="ListBullet"/>
      </w:pPr>
      <w:r>
        <w:rPr>
          <w:b/>
        </w:rPr>
        <w:t xml:space="preserve">Information specialist. </w:t>
      </w:r>
      <w:r>
        <w:t>EAG information specialist / SLR methodologist — PRISMA 2020 / PRISMA-S compliance, NMA feasibility, RWE methodology, data-on-file transparency.</w:t>
      </w:r>
    </w:p>
    <w:p>
      <w:pPr>
        <w:pStyle w:val="Heading2"/>
      </w:pPr>
      <w:r>
        <w:rPr>
          <w:color w:val="1F3864"/>
          <w:sz w:val="28"/>
        </w:rPr>
        <w:t>Blinding protocol</w:t>
      </w:r>
    </w:p>
    <w:p>
      <w:r>
        <w:rPr>
          <w:b w:val="0"/>
          <w:i w:val="0"/>
          <w:sz w:val="22"/>
        </w:rPr>
        <w:t>Specialists were given only Section 1a (the manufacturer submission and appendices) and the final scope. They were explicitly forbidden from reading Section 2 (the real company response to clarification) and Section 5 (the EAG Assessment Report). This blinding is essential to the design: the AI specialists must generate questions from the same evidence base that a real EAG would have at the clarification stage, not from documents that already encode the EAG's own findings.</w:t>
      </w:r>
    </w:p>
    <w:p>
      <w:pPr>
        <w:pStyle w:val="Heading2"/>
      </w:pPr>
      <w:r>
        <w:rPr>
          <w:color w:val="1F3864"/>
          <w:sz w:val="28"/>
        </w:rPr>
        <w:t>Sanity check on specialist outputs</w:t>
      </w:r>
    </w:p>
    <w:p>
      <w:r>
        <w:rPr>
          <w:b w:val="0"/>
          <w:i w:val="0"/>
          <w:sz w:val="22"/>
        </w:rPr>
        <w:t>A post-generation sanity check confirmed that each specialist persona produced questions in its own voice (e.g., DSU TSD references from the statistician; PRISMA-S and Cochrane Handbook references from the information specialist; PMG36 references from the health economist). No textual contamination with Section 2 or Section 5 wording was detected.</w:t>
      </w:r>
    </w:p>
    <w:p>
      <w:pPr>
        <w:pStyle w:val="Heading2"/>
      </w:pPr>
      <w:r>
        <w:rPr>
          <w:color w:val="1F3864"/>
          <w:sz w:val="28"/>
        </w:rPr>
        <w:t>Actual NICE question extraction</w:t>
      </w:r>
    </w:p>
    <w:p>
      <w:r>
        <w:rPr>
          <w:b w:val="0"/>
          <w:i w:val="0"/>
          <w:sz w:val="22"/>
        </w:rPr>
        <w:t>The actual NICE clarification questions were extracted verbatim from Section 2 (the company response, which quotes each NICE question before responding). NICE asked 23 unique questions, organised into three sections: A (Effectiveness, A1–A10), B (Cost-Effectiveness, B1–B12) and C (Textual / additional, C1). Eight questions were marked NICE priority "Yes": A1, A9, B1, B2, B7, B8, B10, B11, B12.</w:t>
      </w:r>
    </w:p>
    <w:p>
      <w:pPr>
        <w:pStyle w:val="Heading2"/>
      </w:pPr>
      <w:r>
        <w:rPr>
          <w:color w:val="1F3864"/>
          <w:sz w:val="28"/>
        </w:rPr>
        <w:t>Merge and compare step</w:t>
      </w:r>
    </w:p>
    <w:p>
      <w:r>
        <w:rPr>
          <w:b w:val="0"/>
          <w:i w:val="0"/>
          <w:sz w:val="22"/>
        </w:rPr>
        <w:t>The 151 individual specialist questions were de-duplicated against each other (cross-persona merging) to produce 61 unique merged topics. Each merged topic was then mapped to NICE's 23 questions by artefact and methodological intent (rather than by exact wording). Conservative matching was used: where a generated topic addressed the same underlying issue or artefact as a NICE question, it was credited as matched, even if the framing differed.</w:t>
      </w:r>
    </w:p>
    <w:p>
      <w:r>
        <w:br w:type="page"/>
      </w:r>
    </w:p>
    <w:p>
      <w:pPr>
        <w:sectPr>
          <w:pgSz w:w="12240" w:h="15840"/>
          <w:pgMar w:top="1440" w:right="1440" w:bottom="1440" w:left="1440" w:header="720" w:footer="720" w:gutter="0"/>
          <w:cols w:space="720"/>
          <w:docGrid w:linePitch="360"/>
        </w:sectPr>
      </w:pPr>
    </w:p>
    <w:p>
      <w:pPr>
        <w:pStyle w:val="Heading1"/>
      </w:pPr>
      <w:r>
        <w:rPr>
          <w:color w:val="1F3864"/>
          <w:sz w:val="32"/>
        </w:rPr>
        <w:t>Matched topics (Both)</w:t>
      </w:r>
    </w:p>
    <w:p>
      <w:r>
        <w:rPr>
          <w:b w:val="0"/>
          <w:i w:val="0"/>
          <w:sz w:val="22"/>
        </w:rPr>
        <w:t>Sixteen merged topics from the AI review mapped directly to one or more NICE clarification questions. All three "priority Yes" methodological-deep-dive items (B1 time horizon, B2 hazard/PH, B7 utility regression) are matched, as are the NICE-priority items A1 (BICR vs investigator PFS) and A9 (NMA report).</w:t>
      </w:r>
    </w:p>
    <w:tbl>
      <w:tblPr>
        <w:jc w:val="left"/>
        <w:tblLook w:firstColumn="1" w:firstRow="1" w:lastColumn="0" w:lastRow="0" w:noHBand="0" w:noVBand="1" w:val="04A0"/>
        <w:tblW w:w="1368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600"/>
        <w:gridCol w:w="2400"/>
        <w:gridCol w:w="1100"/>
        <w:gridCol w:w="3400"/>
        <w:gridCol w:w="1100"/>
        <w:gridCol w:w="5080"/>
      </w:tblGrid>
      <w:tr>
        <w:tc>
          <w:tcPr>
            <w:tcW w:w="600" w:type="dxa"/>
            <w:shd w:val="clear" w:color="auto" w:fill="305496"/>
            <w:tcBorders>
              <w:top w:val="single" w:sz="4" w:color="888888"/>
              <w:left w:val="single" w:sz="4" w:color="888888"/>
              <w:bottom w:val="single" w:sz="4" w:color="888888"/>
              <w:right w:val="single" w:sz="4" w:color="888888"/>
            </w:tcBorders>
          </w:tcPr>
          <w:p>
            <w:r/>
            <w:r>
              <w:rPr>
                <w:b/>
                <w:color w:val="FFFFFF"/>
                <w:sz w:val="20"/>
              </w:rPr>
              <w:t>Merged-ID</w:t>
            </w:r>
          </w:p>
        </w:tc>
        <w:tc>
          <w:tcPr>
            <w:tcW w:w="2400" w:type="dxa"/>
            <w:shd w:val="clear" w:color="auto" w:fill="305496"/>
            <w:tcBorders>
              <w:top w:val="single" w:sz="4" w:color="888888"/>
              <w:left w:val="single" w:sz="4" w:color="888888"/>
              <w:bottom w:val="single" w:sz="4" w:color="888888"/>
              <w:right w:val="single" w:sz="4" w:color="888888"/>
            </w:tcBorders>
          </w:tcPr>
          <w:p>
            <w:r/>
            <w:r>
              <w:rPr>
                <w:b/>
                <w:color w:val="FFFFFF"/>
                <w:sz w:val="20"/>
              </w:rPr>
              <w:t>Topic</w:t>
            </w:r>
          </w:p>
        </w:tc>
        <w:tc>
          <w:tcPr>
            <w:tcW w:w="1100" w:type="dxa"/>
            <w:shd w:val="clear" w:color="auto" w:fill="305496"/>
            <w:tcBorders>
              <w:top w:val="single" w:sz="4" w:color="888888"/>
              <w:left w:val="single" w:sz="4" w:color="888888"/>
              <w:bottom w:val="single" w:sz="4" w:color="888888"/>
              <w:right w:val="single" w:sz="4" w:color="888888"/>
            </w:tcBorders>
          </w:tcPr>
          <w:p>
            <w:r/>
            <w:r>
              <w:rPr>
                <w:b/>
                <w:color w:val="FFFFFF"/>
                <w:sz w:val="20"/>
              </w:rPr>
              <w:t>Origin tags</w:t>
            </w:r>
          </w:p>
        </w:tc>
        <w:tc>
          <w:tcPr>
            <w:tcW w:w="3400" w:type="dxa"/>
            <w:shd w:val="clear" w:color="auto" w:fill="305496"/>
            <w:tcBorders>
              <w:top w:val="single" w:sz="4" w:color="888888"/>
              <w:left w:val="single" w:sz="4" w:color="888888"/>
              <w:bottom w:val="single" w:sz="4" w:color="888888"/>
              <w:right w:val="single" w:sz="4" w:color="888888"/>
            </w:tcBorders>
          </w:tcPr>
          <w:p>
            <w:r/>
            <w:r>
              <w:rPr>
                <w:b/>
                <w:color w:val="FFFFFF"/>
                <w:sz w:val="20"/>
              </w:rPr>
              <w:t>Generated by</w:t>
            </w:r>
          </w:p>
        </w:tc>
        <w:tc>
          <w:tcPr>
            <w:tcW w:w="1100" w:type="dxa"/>
            <w:shd w:val="clear" w:color="auto" w:fill="305496"/>
            <w:tcBorders>
              <w:top w:val="single" w:sz="4" w:color="888888"/>
              <w:left w:val="single" w:sz="4" w:color="888888"/>
              <w:bottom w:val="single" w:sz="4" w:color="888888"/>
              <w:right w:val="single" w:sz="4" w:color="888888"/>
            </w:tcBorders>
          </w:tcPr>
          <w:p>
            <w:r/>
            <w:r>
              <w:rPr>
                <w:b/>
                <w:color w:val="FFFFFF"/>
                <w:sz w:val="20"/>
              </w:rPr>
              <w:t>NICE ID(s)</w:t>
            </w:r>
          </w:p>
        </w:tc>
        <w:tc>
          <w:tcPr>
            <w:tcW w:w="5080" w:type="dxa"/>
            <w:shd w:val="clear" w:color="auto" w:fill="305496"/>
            <w:tcBorders>
              <w:top w:val="single" w:sz="4" w:color="888888"/>
              <w:left w:val="single" w:sz="4" w:color="888888"/>
              <w:bottom w:val="single" w:sz="4" w:color="888888"/>
              <w:right w:val="single" w:sz="4" w:color="888888"/>
            </w:tcBorders>
          </w:tcPr>
          <w:p>
            <w:r/>
            <w:r>
              <w:rPr>
                <w:b/>
                <w:color w:val="FFFFFF"/>
                <w:sz w:val="20"/>
              </w:rPr>
              <w:t>NICE verbatim summary</w:t>
            </w:r>
          </w:p>
        </w:tc>
      </w:tr>
      <w:tr>
        <w:tc>
          <w:tcPr>
            <w:tcW w:w="600" w:type="dxa"/>
            <w:tcBorders>
              <w:top w:val="single" w:sz="4" w:color="888888"/>
              <w:left w:val="single" w:sz="4" w:color="888888"/>
              <w:bottom w:val="single" w:sz="4" w:color="888888"/>
              <w:right w:val="single" w:sz="4" w:color="888888"/>
            </w:tcBorders>
          </w:tcPr>
          <w:p>
            <w:r/>
            <w:r>
              <w:rPr>
                <w:sz w:val="18"/>
              </w:rPr>
              <w:t>T-01</w:t>
            </w:r>
          </w:p>
        </w:tc>
        <w:tc>
          <w:tcPr>
            <w:tcW w:w="2400" w:type="dxa"/>
            <w:tcBorders>
              <w:top w:val="single" w:sz="4" w:color="888888"/>
              <w:left w:val="single" w:sz="4" w:color="888888"/>
              <w:bottom w:val="single" w:sz="4" w:color="888888"/>
              <w:right w:val="single" w:sz="4" w:color="888888"/>
            </w:tcBorders>
          </w:tcPr>
          <w:p>
            <w:r/>
            <w:r>
              <w:rPr>
                <w:sz w:val="18"/>
              </w:rPr>
              <w:t>BICR vs investigator-assessed PFS — concordance and figures</w:t>
            </w:r>
          </w:p>
        </w:tc>
        <w:tc>
          <w:tcPr>
            <w:tcW w:w="1100" w:type="dxa"/>
            <w:tcBorders>
              <w:top w:val="single" w:sz="4" w:color="888888"/>
              <w:left w:val="single" w:sz="4" w:color="888888"/>
              <w:bottom w:val="single" w:sz="4" w:color="888888"/>
              <w:right w:val="single" w:sz="4" w:color="888888"/>
            </w:tcBorders>
          </w:tcPr>
          <w:p>
            <w:r/>
            <w:r>
              <w:rPr>
                <w:sz w:val="18"/>
              </w:rPr>
              <w:t>[CLIN], [STAT]</w:t>
            </w:r>
          </w:p>
        </w:tc>
        <w:tc>
          <w:tcPr>
            <w:tcW w:w="3400" w:type="dxa"/>
            <w:tcBorders>
              <w:top w:val="single" w:sz="4" w:color="888888"/>
              <w:left w:val="single" w:sz="4" w:color="888888"/>
              <w:bottom w:val="single" w:sz="4" w:color="888888"/>
              <w:right w:val="single" w:sz="4" w:color="888888"/>
            </w:tcBorders>
          </w:tcPr>
          <w:p>
            <w:r/>
            <w:r>
              <w:rPr>
                <w:sz w:val="18"/>
              </w:rPr>
              <w:t>CLIN-Merck-5, STAT-Merck-16</w:t>
            </w:r>
          </w:p>
        </w:tc>
        <w:tc>
          <w:tcPr>
            <w:tcW w:w="1100" w:type="dxa"/>
            <w:tcBorders>
              <w:top w:val="single" w:sz="4" w:color="888888"/>
              <w:left w:val="single" w:sz="4" w:color="888888"/>
              <w:bottom w:val="single" w:sz="4" w:color="888888"/>
              <w:right w:val="single" w:sz="4" w:color="888888"/>
            </w:tcBorders>
          </w:tcPr>
          <w:p>
            <w:r/>
            <w:r>
              <w:rPr>
                <w:sz w:val="18"/>
              </w:rPr>
              <w:t>A1</w:t>
            </w:r>
          </w:p>
        </w:tc>
        <w:tc>
          <w:tcPr>
            <w:tcW w:w="5080" w:type="dxa"/>
            <w:tcBorders>
              <w:top w:val="single" w:sz="4" w:color="888888"/>
              <w:left w:val="single" w:sz="4" w:color="888888"/>
              <w:bottom w:val="single" w:sz="4" w:color="888888"/>
              <w:right w:val="single" w:sz="4" w:color="888888"/>
            </w:tcBorders>
          </w:tcPr>
          <w:p>
            <w:r/>
            <w:r>
              <w:rPr>
                <w:sz w:val="18"/>
              </w:rPr>
              <w:t>Provide BICR versions of CS Figures 7 and 9; for the favourable and intermediate/poor IMDC subgroups, provide a BICR/investigator KM plot for the total population (NICE priority Yes).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T-02</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Patient disposition by IMDC subgroup and arm</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CLIN-Merck-7</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A4</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Provide versions of CS Table 11 (disposition at FA) for the favourable and intermediate/poor IMDC risk subgroups.</w:t>
            </w:r>
          </w:p>
        </w:tc>
      </w:tr>
      <w:tr>
        <w:tc>
          <w:tcPr>
            <w:tcW w:w="600" w:type="dxa"/>
            <w:tcBorders>
              <w:top w:val="single" w:sz="4" w:color="888888"/>
              <w:left w:val="single" w:sz="4" w:color="888888"/>
              <w:bottom w:val="single" w:sz="4" w:color="888888"/>
              <w:right w:val="single" w:sz="4" w:color="888888"/>
            </w:tcBorders>
          </w:tcPr>
          <w:p>
            <w:r/>
            <w:r>
              <w:rPr>
                <w:sz w:val="18"/>
              </w:rPr>
              <w:t>T-03</w:t>
            </w:r>
          </w:p>
        </w:tc>
        <w:tc>
          <w:tcPr>
            <w:tcW w:w="2400" w:type="dxa"/>
            <w:tcBorders>
              <w:top w:val="single" w:sz="4" w:color="888888"/>
              <w:left w:val="single" w:sz="4" w:color="888888"/>
              <w:bottom w:val="single" w:sz="4" w:color="888888"/>
              <w:right w:val="single" w:sz="4" w:color="888888"/>
            </w:tcBorders>
          </w:tcPr>
          <w:p>
            <w:r/>
            <w:r>
              <w:rPr>
                <w:sz w:val="18"/>
              </w:rPr>
              <w:t>UK RWE source overlap and cohort definitions (SACT-EAMS, SACT-CDF, Nathan, McGrane)</w:t>
            </w:r>
          </w:p>
        </w:tc>
        <w:tc>
          <w:tcPr>
            <w:tcW w:w="1100" w:type="dxa"/>
            <w:tcBorders>
              <w:top w:val="single" w:sz="4" w:color="888888"/>
              <w:left w:val="single" w:sz="4" w:color="888888"/>
              <w:bottom w:val="single" w:sz="4" w:color="888888"/>
              <w:right w:val="single" w:sz="4" w:color="888888"/>
            </w:tcBorders>
          </w:tcPr>
          <w:p>
            <w:r/>
            <w:r>
              <w:rPr>
                <w:sz w:val="18"/>
              </w:rPr>
              <w:t>[INFO], [CLIN]</w:t>
            </w:r>
          </w:p>
        </w:tc>
        <w:tc>
          <w:tcPr>
            <w:tcW w:w="3400" w:type="dxa"/>
            <w:tcBorders>
              <w:top w:val="single" w:sz="4" w:color="888888"/>
              <w:left w:val="single" w:sz="4" w:color="888888"/>
              <w:bottom w:val="single" w:sz="4" w:color="888888"/>
              <w:right w:val="single" w:sz="4" w:color="888888"/>
            </w:tcBorders>
          </w:tcPr>
          <w:p>
            <w:r/>
            <w:r>
              <w:rPr>
                <w:sz w:val="18"/>
              </w:rPr>
              <w:t>INFO-Merck-27, CLIN-Merck-35</w:t>
            </w:r>
          </w:p>
        </w:tc>
        <w:tc>
          <w:tcPr>
            <w:tcW w:w="1100" w:type="dxa"/>
            <w:tcBorders>
              <w:top w:val="single" w:sz="4" w:color="888888"/>
              <w:left w:val="single" w:sz="4" w:color="888888"/>
              <w:bottom w:val="single" w:sz="4" w:color="888888"/>
              <w:right w:val="single" w:sz="4" w:color="888888"/>
            </w:tcBorders>
          </w:tcPr>
          <w:p>
            <w:r/>
            <w:r>
              <w:rPr>
                <w:sz w:val="18"/>
              </w:rPr>
              <w:t>A6, A7</w:t>
            </w:r>
          </w:p>
        </w:tc>
        <w:tc>
          <w:tcPr>
            <w:tcW w:w="5080" w:type="dxa"/>
            <w:tcBorders>
              <w:top w:val="single" w:sz="4" w:color="888888"/>
              <w:left w:val="single" w:sz="4" w:color="888888"/>
              <w:bottom w:val="single" w:sz="4" w:color="888888"/>
              <w:right w:val="single" w:sz="4" w:color="888888"/>
            </w:tcBorders>
          </w:tcPr>
          <w:p>
            <w:r/>
            <w:r>
              <w:rPr>
                <w:sz w:val="18"/>
              </w:rPr>
              <w:t>Confirm whether SACT-EAMS and SACT-CDF are the only non-overlapping UK RWE sources (Nathan/McGrane may overlap SACT); list reasons for exclusion from SACT-CDF and SACT-EAMS cohorts.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T-04</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RWE SLR report — provision and methodology (Appendix D.6)</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INFO-Merck-1, INFO-Merck-12</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A8</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Provide the RWE SLR report referenced in Appendix D.6 (or indicate which reference in the reference pack it is).</w:t>
            </w:r>
          </w:p>
        </w:tc>
      </w:tr>
      <w:tr>
        <w:tc>
          <w:tcPr>
            <w:tcW w:w="600" w:type="dxa"/>
            <w:tcBorders>
              <w:top w:val="single" w:sz="4" w:color="888888"/>
              <w:left w:val="single" w:sz="4" w:color="888888"/>
              <w:bottom w:val="single" w:sz="4" w:color="888888"/>
              <w:right w:val="single" w:sz="4" w:color="888888"/>
            </w:tcBorders>
          </w:tcPr>
          <w:p>
            <w:r/>
            <w:r>
              <w:rPr>
                <w:sz w:val="18"/>
              </w:rPr>
              <w:t>T-05</w:t>
            </w:r>
          </w:p>
        </w:tc>
        <w:tc>
          <w:tcPr>
            <w:tcW w:w="2400" w:type="dxa"/>
            <w:tcBorders>
              <w:top w:val="single" w:sz="4" w:color="888888"/>
              <w:left w:val="single" w:sz="4" w:color="888888"/>
              <w:bottom w:val="single" w:sz="4" w:color="888888"/>
              <w:right w:val="single" w:sz="4" w:color="888888"/>
            </w:tcBorders>
          </w:tcPr>
          <w:p>
            <w:r/>
            <w:r>
              <w:rPr>
                <w:sz w:val="18"/>
              </w:rPr>
              <w:t>NMA report / feasibility assessment / risk of bias for comparator RCTs (intermediate/poor risk)</w:t>
            </w:r>
          </w:p>
        </w:tc>
        <w:tc>
          <w:tcPr>
            <w:tcW w:w="1100" w:type="dxa"/>
            <w:tcBorders>
              <w:top w:val="single" w:sz="4" w:color="888888"/>
              <w:left w:val="single" w:sz="4" w:color="888888"/>
              <w:bottom w:val="single" w:sz="4" w:color="888888"/>
              <w:right w:val="single" w:sz="4" w:color="888888"/>
            </w:tcBorders>
          </w:tcPr>
          <w:p>
            <w:r/>
            <w:r>
              <w:rPr>
                <w:sz w:val="18"/>
              </w:rPr>
              <w:t>[INFO], [CLIN], [STAT]</w:t>
            </w:r>
          </w:p>
        </w:tc>
        <w:tc>
          <w:tcPr>
            <w:tcW w:w="3400" w:type="dxa"/>
            <w:tcBorders>
              <w:top w:val="single" w:sz="4" w:color="888888"/>
              <w:left w:val="single" w:sz="4" w:color="888888"/>
              <w:bottom w:val="single" w:sz="4" w:color="888888"/>
              <w:right w:val="single" w:sz="4" w:color="888888"/>
            </w:tcBorders>
          </w:tcPr>
          <w:p>
            <w:r/>
            <w:r>
              <w:rPr>
                <w:sz w:val="18"/>
              </w:rPr>
              <w:t>INFO-Merck-9, INFO-Merck-11, INFO-Merck-16, CLIN-Merck-27, STAT-Merck-12</w:t>
            </w:r>
          </w:p>
        </w:tc>
        <w:tc>
          <w:tcPr>
            <w:tcW w:w="1100" w:type="dxa"/>
            <w:tcBorders>
              <w:top w:val="single" w:sz="4" w:color="888888"/>
              <w:left w:val="single" w:sz="4" w:color="888888"/>
              <w:bottom w:val="single" w:sz="4" w:color="888888"/>
              <w:right w:val="single" w:sz="4" w:color="888888"/>
            </w:tcBorders>
          </w:tcPr>
          <w:p>
            <w:r/>
            <w:r>
              <w:rPr>
                <w:sz w:val="18"/>
              </w:rPr>
              <w:t>A9</w:t>
            </w:r>
          </w:p>
        </w:tc>
        <w:tc>
          <w:tcPr>
            <w:tcW w:w="5080" w:type="dxa"/>
            <w:tcBorders>
              <w:top w:val="single" w:sz="4" w:color="888888"/>
              <w:left w:val="single" w:sz="4" w:color="888888"/>
              <w:bottom w:val="single" w:sz="4" w:color="888888"/>
              <w:right w:val="single" w:sz="4" w:color="888888"/>
            </w:tcBorders>
          </w:tcPr>
          <w:p>
            <w:r/>
            <w:r>
              <w:rPr>
                <w:sz w:val="18"/>
              </w:rPr>
              <w:t>Provide separate NMA report or, failing that, intermediate/poor-risk input data, baseline characteristics, and comparator-RCT risk-of-bias assessments (NICE priority Yes).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T-06</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SLR critical appraisal — number of reviewers and independence</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INFO-Merck-7</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A10</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State number of reviewers and whether they worked independently for critical appraisal of the clinical SLR and RWE SLR.</w:t>
            </w:r>
          </w:p>
        </w:tc>
      </w:tr>
      <w:tr>
        <w:tc>
          <w:tcPr>
            <w:tcW w:w="600" w:type="dxa"/>
            <w:tcBorders>
              <w:top w:val="single" w:sz="4" w:color="888888"/>
              <w:left w:val="single" w:sz="4" w:color="888888"/>
              <w:bottom w:val="single" w:sz="4" w:color="888888"/>
              <w:right w:val="single" w:sz="4" w:color="888888"/>
            </w:tcBorders>
          </w:tcPr>
          <w:p>
            <w:r/>
            <w:r>
              <w:rPr>
                <w:sz w:val="18"/>
              </w:rPr>
              <w:t>T-07</w:t>
            </w:r>
          </w:p>
        </w:tc>
        <w:tc>
          <w:tcPr>
            <w:tcW w:w="2400" w:type="dxa"/>
            <w:tcBorders>
              <w:top w:val="single" w:sz="4" w:color="888888"/>
              <w:left w:val="single" w:sz="4" w:color="888888"/>
              <w:bottom w:val="single" w:sz="4" w:color="888888"/>
              <w:right w:val="single" w:sz="4" w:color="888888"/>
            </w:tcBorders>
          </w:tcPr>
          <w:p>
            <w:r/>
            <w:r>
              <w:rPr>
                <w:sz w:val="18"/>
              </w:rPr>
              <w:t>Time horizon (40-year vs 10-year precedent)</w:t>
            </w:r>
          </w:p>
        </w:tc>
        <w:tc>
          <w:tcPr>
            <w:tcW w:w="1100" w:type="dxa"/>
            <w:tcBorders>
              <w:top w:val="single" w:sz="4" w:color="888888"/>
              <w:left w:val="single" w:sz="4" w:color="888888"/>
              <w:bottom w:val="single" w:sz="4" w:color="888888"/>
              <w:right w:val="single" w:sz="4" w:color="888888"/>
            </w:tcBorders>
          </w:tcPr>
          <w:p>
            <w:r/>
            <w:r>
              <w:rPr>
                <w:sz w:val="18"/>
              </w:rPr>
              <w:t>[HE]</w:t>
            </w:r>
          </w:p>
        </w:tc>
        <w:tc>
          <w:tcPr>
            <w:tcW w:w="3400" w:type="dxa"/>
            <w:tcBorders>
              <w:top w:val="single" w:sz="4" w:color="888888"/>
              <w:left w:val="single" w:sz="4" w:color="888888"/>
              <w:bottom w:val="single" w:sz="4" w:color="888888"/>
              <w:right w:val="single" w:sz="4" w:color="888888"/>
            </w:tcBorders>
          </w:tcPr>
          <w:p>
            <w:r/>
            <w:r>
              <w:rPr>
                <w:sz w:val="18"/>
              </w:rPr>
              <w:t>HE-Merck-10</w:t>
            </w:r>
          </w:p>
        </w:tc>
        <w:tc>
          <w:tcPr>
            <w:tcW w:w="1100" w:type="dxa"/>
            <w:tcBorders>
              <w:top w:val="single" w:sz="4" w:color="888888"/>
              <w:left w:val="single" w:sz="4" w:color="888888"/>
              <w:bottom w:val="single" w:sz="4" w:color="888888"/>
              <w:right w:val="single" w:sz="4" w:color="888888"/>
            </w:tcBorders>
          </w:tcPr>
          <w:p>
            <w:r/>
            <w:r>
              <w:rPr>
                <w:sz w:val="18"/>
              </w:rPr>
              <w:t>B1</w:t>
            </w:r>
          </w:p>
        </w:tc>
        <w:tc>
          <w:tcPr>
            <w:tcW w:w="5080" w:type="dxa"/>
            <w:tcBorders>
              <w:top w:val="single" w:sz="4" w:color="888888"/>
              <w:left w:val="single" w:sz="4" w:color="888888"/>
              <w:bottom w:val="single" w:sz="4" w:color="888888"/>
              <w:right w:val="single" w:sz="4" w:color="888888"/>
            </w:tcBorders>
          </w:tcPr>
          <w:p>
            <w:r/>
            <w:r>
              <w:rPr>
                <w:sz w:val="18"/>
              </w:rPr>
              <w:t>Justify use of 40-year horizon vs 10-year horizon used in prior aRCC TAs (NICE priority Yes).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T-08</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PH testing, hazard plots and parametric curve choice — favourable-risk OS, PFS, TTD</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[STAT], [HE], [CLIN], [INFO]</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STAT-Merck-1, -2, -5, -30; HE-Merck-11, -12; CLIN-Merck-33; INFO-Merck-17</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B2</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Provide hazard plots for OS, PFS, TTD in favourable-risk subgroup (both arms); assess PH assumption; justify parametric model choice (NICE priority Yes).</w:t>
            </w:r>
          </w:p>
        </w:tc>
      </w:tr>
      <w:tr>
        <w:tc>
          <w:tcPr>
            <w:tcW w:w="600" w:type="dxa"/>
            <w:tcBorders>
              <w:top w:val="single" w:sz="4" w:color="888888"/>
              <w:left w:val="single" w:sz="4" w:color="888888"/>
              <w:bottom w:val="single" w:sz="4" w:color="888888"/>
              <w:right w:val="single" w:sz="4" w:color="888888"/>
            </w:tcBorders>
          </w:tcPr>
          <w:p>
            <w:r/>
            <w:r>
              <w:rPr>
                <w:sz w:val="18"/>
              </w:rPr>
              <w:t>T-09</w:t>
            </w:r>
          </w:p>
        </w:tc>
        <w:tc>
          <w:tcPr>
            <w:tcW w:w="2400" w:type="dxa"/>
            <w:tcBorders>
              <w:top w:val="single" w:sz="4" w:color="888888"/>
              <w:left w:val="single" w:sz="4" w:color="888888"/>
              <w:bottom w:val="single" w:sz="4" w:color="888888"/>
              <w:right w:val="single" w:sz="4" w:color="888888"/>
            </w:tcBorders>
          </w:tcPr>
          <w:p>
            <w:r/>
            <w:r>
              <w:rPr>
                <w:sz w:val="18"/>
              </w:rPr>
              <w:t>EQ-5D-5L scoring / Hernández-Alava 2017 mapping confirmation</w:t>
            </w:r>
          </w:p>
        </w:tc>
        <w:tc>
          <w:tcPr>
            <w:tcW w:w="1100" w:type="dxa"/>
            <w:tcBorders>
              <w:top w:val="single" w:sz="4" w:color="888888"/>
              <w:left w:val="single" w:sz="4" w:color="888888"/>
              <w:bottom w:val="single" w:sz="4" w:color="888888"/>
              <w:right w:val="single" w:sz="4" w:color="888888"/>
            </w:tcBorders>
          </w:tcPr>
          <w:p>
            <w:r/>
            <w:r>
              <w:rPr>
                <w:sz w:val="18"/>
              </w:rPr>
              <w:t>[CLIN], [STAT]</w:t>
            </w:r>
          </w:p>
        </w:tc>
        <w:tc>
          <w:tcPr>
            <w:tcW w:w="3400" w:type="dxa"/>
            <w:tcBorders>
              <w:top w:val="single" w:sz="4" w:color="888888"/>
              <w:left w:val="single" w:sz="4" w:color="888888"/>
              <w:bottom w:val="single" w:sz="4" w:color="888888"/>
              <w:right w:val="single" w:sz="4" w:color="888888"/>
            </w:tcBorders>
          </w:tcPr>
          <w:p>
            <w:r/>
            <w:r>
              <w:rPr>
                <w:sz w:val="18"/>
              </w:rPr>
              <w:t>CLIN-Merck-26, STAT-Merck-26</w:t>
            </w:r>
          </w:p>
        </w:tc>
        <w:tc>
          <w:tcPr>
            <w:tcW w:w="1100" w:type="dxa"/>
            <w:tcBorders>
              <w:top w:val="single" w:sz="4" w:color="888888"/>
              <w:left w:val="single" w:sz="4" w:color="888888"/>
              <w:bottom w:val="single" w:sz="4" w:color="888888"/>
              <w:right w:val="single" w:sz="4" w:color="888888"/>
            </w:tcBorders>
          </w:tcPr>
          <w:p>
            <w:r/>
            <w:r>
              <w:rPr>
                <w:sz w:val="18"/>
              </w:rPr>
              <w:t>B5</w:t>
            </w:r>
          </w:p>
        </w:tc>
        <w:tc>
          <w:tcPr>
            <w:tcW w:w="5080" w:type="dxa"/>
            <w:tcBorders>
              <w:top w:val="single" w:sz="4" w:color="888888"/>
              <w:left w:val="single" w:sz="4" w:color="888888"/>
              <w:bottom w:val="single" w:sz="4" w:color="888888"/>
              <w:right w:val="single" w:sz="4" w:color="888888"/>
            </w:tcBorders>
          </w:tcPr>
          <w:p>
            <w:r/>
            <w:r>
              <w:rPr>
                <w:sz w:val="18"/>
              </w:rPr>
              <w:t>State method used to attribute index scores to EQ-5D-5L FAS data; confirm whether Hernández-Alava 2017 mapping was used as in the economic model.</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T-10</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EQ-5D-5L descriptive data by IMDC risk subgroup</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CLIN-Merck-24</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B6</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Provide descriptive EQ-5D-5L results and change-from-baseline plots for favourable and intermediate/poor subgroups.</w:t>
            </w:r>
          </w:p>
        </w:tc>
      </w:tr>
      <w:tr>
        <w:tc>
          <w:tcPr>
            <w:tcW w:w="600" w:type="dxa"/>
            <w:tcBorders>
              <w:top w:val="single" w:sz="4" w:color="888888"/>
              <w:left w:val="single" w:sz="4" w:color="888888"/>
              <w:bottom w:val="single" w:sz="4" w:color="888888"/>
              <w:right w:val="single" w:sz="4" w:color="888888"/>
            </w:tcBorders>
          </w:tcPr>
          <w:p>
            <w:r/>
            <w:r>
              <w:rPr>
                <w:sz w:val="18"/>
              </w:rPr>
              <w:t>T-11</w:t>
            </w:r>
          </w:p>
        </w:tc>
        <w:tc>
          <w:tcPr>
            <w:tcW w:w="2400" w:type="dxa"/>
            <w:tcBorders>
              <w:top w:val="single" w:sz="4" w:color="888888"/>
              <w:left w:val="single" w:sz="4" w:color="888888"/>
              <w:bottom w:val="single" w:sz="4" w:color="888888"/>
              <w:right w:val="single" w:sz="4" w:color="888888"/>
            </w:tcBorders>
          </w:tcPr>
          <w:p>
            <w:r/>
            <w:r>
              <w:rPr>
                <w:sz w:val="18"/>
              </w:rPr>
              <w:t>Utility regression methodology — missingness, imputation, model specification, covariates</w:t>
            </w:r>
          </w:p>
        </w:tc>
        <w:tc>
          <w:tcPr>
            <w:tcW w:w="1100" w:type="dxa"/>
            <w:tcBorders>
              <w:top w:val="single" w:sz="4" w:color="888888"/>
              <w:left w:val="single" w:sz="4" w:color="888888"/>
              <w:bottom w:val="single" w:sz="4" w:color="888888"/>
              <w:right w:val="single" w:sz="4" w:color="888888"/>
            </w:tcBorders>
          </w:tcPr>
          <w:p>
            <w:r/>
            <w:r>
              <w:rPr>
                <w:sz w:val="18"/>
              </w:rPr>
              <w:t>[HE], [STAT], [CLIN]</w:t>
            </w:r>
          </w:p>
        </w:tc>
        <w:tc>
          <w:tcPr>
            <w:tcW w:w="3400" w:type="dxa"/>
            <w:tcBorders>
              <w:top w:val="single" w:sz="4" w:color="888888"/>
              <w:left w:val="single" w:sz="4" w:color="888888"/>
              <w:bottom w:val="single" w:sz="4" w:color="888888"/>
              <w:right w:val="single" w:sz="4" w:color="888888"/>
            </w:tcBorders>
          </w:tcPr>
          <w:p>
            <w:r/>
            <w:r>
              <w:rPr>
                <w:sz w:val="18"/>
              </w:rPr>
              <w:t>HE-Merck-21, -22; STAT-Merck-26; CLIN-Merck-26</w:t>
            </w:r>
          </w:p>
        </w:tc>
        <w:tc>
          <w:tcPr>
            <w:tcW w:w="1100" w:type="dxa"/>
            <w:tcBorders>
              <w:top w:val="single" w:sz="4" w:color="888888"/>
              <w:left w:val="single" w:sz="4" w:color="888888"/>
              <w:bottom w:val="single" w:sz="4" w:color="888888"/>
              <w:right w:val="single" w:sz="4" w:color="888888"/>
            </w:tcBorders>
          </w:tcPr>
          <w:p>
            <w:r/>
            <w:r>
              <w:rPr>
                <w:sz w:val="18"/>
              </w:rPr>
              <w:t>B7</w:t>
            </w:r>
          </w:p>
        </w:tc>
        <w:tc>
          <w:tcPr>
            <w:tcW w:w="5080" w:type="dxa"/>
            <w:tcBorders>
              <w:top w:val="single" w:sz="4" w:color="888888"/>
              <w:left w:val="single" w:sz="4" w:color="888888"/>
              <w:bottom w:val="single" w:sz="4" w:color="888888"/>
              <w:right w:val="single" w:sz="4" w:color="888888"/>
            </w:tcBorders>
          </w:tcPr>
          <w:p>
            <w:r/>
            <w:r>
              <w:rPr>
                <w:sz w:val="18"/>
              </w:rPr>
              <w:t>Explain EQ-5D-5L missing-data volume/pattern, imputation decisions, justification of Model 1/2 specs, and alternative ITT+interaction model (NICE priority Yes).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T-12</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No-nivolumab-as-subsequent-therapy assumption — justification</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[CLIN], [HE]</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CLIN-Merck-23; HE-Merck-30, -16</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B8</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Provide clearer justification (NICE guidance, NHSE policy, SACT) for excluding subsequent nivolumab after avelumab + axitinib and justify scenario alternatives (NICE priority Yes).</w:t>
            </w:r>
          </w:p>
        </w:tc>
      </w:tr>
      <w:tr>
        <w:tc>
          <w:tcPr>
            <w:tcW w:w="600" w:type="dxa"/>
            <w:tcBorders>
              <w:top w:val="single" w:sz="4" w:color="888888"/>
              <w:left w:val="single" w:sz="4" w:color="888888"/>
              <w:bottom w:val="single" w:sz="4" w:color="888888"/>
              <w:right w:val="single" w:sz="4" w:color="888888"/>
            </w:tcBorders>
          </w:tcPr>
          <w:p>
            <w:r/>
            <w:r>
              <w:rPr>
                <w:sz w:val="18"/>
              </w:rPr>
              <w:t>T-13</w:t>
            </w:r>
          </w:p>
        </w:tc>
        <w:tc>
          <w:tcPr>
            <w:tcW w:w="2400" w:type="dxa"/>
            <w:tcBorders>
              <w:top w:val="single" w:sz="4" w:color="888888"/>
              <w:left w:val="single" w:sz="4" w:color="888888"/>
              <w:bottom w:val="single" w:sz="4" w:color="888888"/>
              <w:right w:val="single" w:sz="4" w:color="888888"/>
            </w:tcBorders>
          </w:tcPr>
          <w:p>
            <w:r/>
            <w:r>
              <w:rPr>
                <w:sz w:val="18"/>
              </w:rPr>
              <w:t>Equal AE costs / non-elective short-stay tariff for all Grade ≥3 AEs</w:t>
            </w:r>
          </w:p>
        </w:tc>
        <w:tc>
          <w:tcPr>
            <w:tcW w:w="1100" w:type="dxa"/>
            <w:tcBorders>
              <w:top w:val="single" w:sz="4" w:color="888888"/>
              <w:left w:val="single" w:sz="4" w:color="888888"/>
              <w:bottom w:val="single" w:sz="4" w:color="888888"/>
              <w:right w:val="single" w:sz="4" w:color="888888"/>
            </w:tcBorders>
          </w:tcPr>
          <w:p>
            <w:r/>
            <w:r>
              <w:rPr>
                <w:sz w:val="18"/>
              </w:rPr>
              <w:t>[HE]</w:t>
            </w:r>
          </w:p>
        </w:tc>
        <w:tc>
          <w:tcPr>
            <w:tcW w:w="3400" w:type="dxa"/>
            <w:tcBorders>
              <w:top w:val="single" w:sz="4" w:color="888888"/>
              <w:left w:val="single" w:sz="4" w:color="888888"/>
              <w:bottom w:val="single" w:sz="4" w:color="888888"/>
              <w:right w:val="single" w:sz="4" w:color="888888"/>
            </w:tcBorders>
          </w:tcPr>
          <w:p>
            <w:r/>
            <w:r>
              <w:rPr>
                <w:sz w:val="18"/>
              </w:rPr>
              <w:t>HE-Merck-33</w:t>
            </w:r>
          </w:p>
        </w:tc>
        <w:tc>
          <w:tcPr>
            <w:tcW w:w="1100" w:type="dxa"/>
            <w:tcBorders>
              <w:top w:val="single" w:sz="4" w:color="888888"/>
              <w:left w:val="single" w:sz="4" w:color="888888"/>
              <w:bottom w:val="single" w:sz="4" w:color="888888"/>
              <w:right w:val="single" w:sz="4" w:color="888888"/>
            </w:tcBorders>
          </w:tcPr>
          <w:p>
            <w:r/>
            <w:r>
              <w:rPr>
                <w:sz w:val="18"/>
              </w:rPr>
              <w:t>B9</w:t>
            </w:r>
          </w:p>
        </w:tc>
        <w:tc>
          <w:tcPr>
            <w:tcW w:w="5080" w:type="dxa"/>
            <w:tcBorders>
              <w:top w:val="single" w:sz="4" w:color="888888"/>
              <w:left w:val="single" w:sz="4" w:color="888888"/>
              <w:bottom w:val="single" w:sz="4" w:color="888888"/>
              <w:right w:val="single" w:sz="4" w:color="888888"/>
            </w:tcBorders>
          </w:tcPr>
          <w:p>
            <w:r/>
            <w:r>
              <w:rPr>
                <w:sz w:val="18"/>
              </w:rPr>
              <w:t>Justify assumption of equal cost across all AEs and use of non-elective short-stay tariff for all Grade ≥3 AEs.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T-14</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Data-on-file references — confidentiality / provision</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INFO-Merck-25</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C1</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Should all data-on-file (DOF) references be treated as commercial in confidence?</w:t>
            </w:r>
          </w:p>
        </w:tc>
      </w:tr>
      <w:tr>
        <w:tc>
          <w:tcPr>
            <w:tcW w:w="600" w:type="dxa"/>
            <w:tcBorders>
              <w:top w:val="single" w:sz="4" w:color="888888"/>
              <w:left w:val="single" w:sz="4" w:color="888888"/>
              <w:bottom w:val="single" w:sz="4" w:color="888888"/>
              <w:right w:val="single" w:sz="4" w:color="888888"/>
            </w:tcBorders>
          </w:tcPr>
          <w:p>
            <w:r/>
            <w:r>
              <w:rPr>
                <w:sz w:val="18"/>
              </w:rPr>
              <w:t>T-15</w:t>
            </w:r>
          </w:p>
        </w:tc>
        <w:tc>
          <w:tcPr>
            <w:tcW w:w="2400" w:type="dxa"/>
            <w:tcBorders>
              <w:top w:val="single" w:sz="4" w:color="888888"/>
              <w:left w:val="single" w:sz="4" w:color="888888"/>
              <w:bottom w:val="single" w:sz="4" w:color="888888"/>
              <w:right w:val="single" w:sz="4" w:color="888888"/>
            </w:tcBorders>
          </w:tcPr>
          <w:p>
            <w:r/>
            <w:r>
              <w:rPr>
                <w:sz w:val="18"/>
              </w:rPr>
              <w:t>Treatment-switching / subsequent-IO adjustment for sunitinib OS</w:t>
            </w:r>
          </w:p>
        </w:tc>
        <w:tc>
          <w:tcPr>
            <w:tcW w:w="1100" w:type="dxa"/>
            <w:tcBorders>
              <w:top w:val="single" w:sz="4" w:color="888888"/>
              <w:left w:val="single" w:sz="4" w:color="888888"/>
              <w:bottom w:val="single" w:sz="4" w:color="888888"/>
              <w:right w:val="single" w:sz="4" w:color="888888"/>
            </w:tcBorders>
          </w:tcPr>
          <w:p>
            <w:r/>
            <w:r>
              <w:rPr>
                <w:sz w:val="18"/>
              </w:rPr>
              <w:t>[CLIN], [STAT], [HE]</w:t>
            </w:r>
          </w:p>
        </w:tc>
        <w:tc>
          <w:tcPr>
            <w:tcW w:w="3400" w:type="dxa"/>
            <w:tcBorders>
              <w:top w:val="single" w:sz="4" w:color="888888"/>
              <w:left w:val="single" w:sz="4" w:color="888888"/>
              <w:bottom w:val="single" w:sz="4" w:color="888888"/>
              <w:right w:val="single" w:sz="4" w:color="888888"/>
            </w:tcBorders>
          </w:tcPr>
          <w:p>
            <w:r/>
            <w:r>
              <w:rPr>
                <w:sz w:val="18"/>
              </w:rPr>
              <w:t>CLIN-Merck-22; STAT-Merck-14, -15; HE-Merck-16</w:t>
            </w:r>
          </w:p>
        </w:tc>
        <w:tc>
          <w:tcPr>
            <w:tcW w:w="1100" w:type="dxa"/>
            <w:tcBorders>
              <w:top w:val="single" w:sz="4" w:color="888888"/>
              <w:left w:val="single" w:sz="4" w:color="888888"/>
              <w:bottom w:val="single" w:sz="4" w:color="888888"/>
              <w:right w:val="single" w:sz="4" w:color="888888"/>
            </w:tcBorders>
          </w:tcPr>
          <w:p>
            <w:r/>
            <w:r>
              <w:rPr>
                <w:sz w:val="18"/>
              </w:rPr>
              <w:t>B8 (partial)</w:t>
            </w:r>
          </w:p>
        </w:tc>
        <w:tc>
          <w:tcPr>
            <w:tcW w:w="5080" w:type="dxa"/>
            <w:tcBorders>
              <w:top w:val="single" w:sz="4" w:color="888888"/>
              <w:left w:val="single" w:sz="4" w:color="888888"/>
              <w:bottom w:val="single" w:sz="4" w:color="888888"/>
              <w:right w:val="single" w:sz="4" w:color="888888"/>
            </w:tcBorders>
          </w:tcPr>
          <w:p>
            <w:r/>
            <w:r>
              <w:rPr>
                <w:sz w:val="18"/>
              </w:rPr>
              <w:t>Switching-adjustment side of the nivolumab-as-subsequent-therapy question — RPSFTM/TSE/IPCW adjusted OS for sunitinib arm given 64.6–86.2% subsequent IO exposure.</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T-16</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Subsequent therapy distribution applied in model — derivation</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[CLIN], [HE]</w:t>
            </w:r>
          </w:p>
        </w:tc>
        <w:tc>
          <w:tcPr>
            <w:tcW w:w="3400" w:type="dxa"/>
            <w:tcBorders>
              <w:top w:val="single" w:sz="4" w:color="888888"/>
              <w:left w:val="single" w:sz="4" w:color="888888"/>
              <w:bottom w:val="single" w:sz="4" w:color="888888"/>
              <w:right w:val="single" w:sz="4" w:color="888888"/>
            </w:tcBorders>
            <w:shd w:val="clear" w:color="auto" w:fill="F2F2F2"/>
          </w:tcPr>
          <w:p>
            <w:r/>
            <w:r>
              <w:rPr>
                <w:sz w:val="18"/>
              </w:rPr>
              <w:t>CLIN-Merck-23; HE-Merck-30, -31</w:t>
            </w:r>
          </w:p>
        </w:tc>
        <w:tc>
          <w:tcPr>
            <w:tcW w:w="1100" w:type="dxa"/>
            <w:tcBorders>
              <w:top w:val="single" w:sz="4" w:color="888888"/>
              <w:left w:val="single" w:sz="4" w:color="888888"/>
              <w:bottom w:val="single" w:sz="4" w:color="888888"/>
              <w:right w:val="single" w:sz="4" w:color="888888"/>
            </w:tcBorders>
            <w:shd w:val="clear" w:color="auto" w:fill="F2F2F2"/>
          </w:tcPr>
          <w:p>
            <w:r/>
            <w:r>
              <w:rPr>
                <w:sz w:val="18"/>
              </w:rPr>
              <w:t>B10</w:t>
            </w:r>
          </w:p>
        </w:tc>
        <w:tc>
          <w:tcPr>
            <w:tcW w:w="5080" w:type="dxa"/>
            <w:tcBorders>
              <w:top w:val="single" w:sz="4" w:color="888888"/>
              <w:left w:val="single" w:sz="4" w:color="888888"/>
              <w:bottom w:val="single" w:sz="4" w:color="888888"/>
              <w:right w:val="single" w:sz="4" w:color="888888"/>
            </w:tcBorders>
            <w:shd w:val="clear" w:color="auto" w:fill="F2F2F2"/>
          </w:tcPr>
          <w:p>
            <w:r/>
            <w:r>
              <w:rPr>
                <w:sz w:val="18"/>
              </w:rPr>
              <w:t>Rationalise why only 6 drugs were used for poor-risk vs 24 for intermediate-risk vs source Table 10.5.a (NICE priority Yes).</w:t>
            </w:r>
          </w:p>
        </w:tc>
      </w:tr>
    </w:tbl>
    <w:p/>
    <w:p>
      <w:r>
        <w:rPr>
          <w:b w:val="0"/>
          <w:i/>
          <w:sz w:val="20"/>
        </w:rPr>
        <w:t>Note on T-15 / T-12: NICE B8 conflates the question of why nivolumab is excluded (the company's assumption) with the consequences for OS. The generated set covers both the justification side (T-12) and the OS-adjustment methodology side (T-15); only the justification side is mapped 1:1 to B8.</w:t>
      </w:r>
    </w:p>
    <w:p>
      <w:r>
        <w:br w:type="page"/>
      </w:r>
    </w:p>
    <w:p>
      <w:pPr>
        <w:pStyle w:val="Heading1"/>
      </w:pPr>
      <w:r>
        <w:rPr>
          <w:color w:val="1F3864"/>
          <w:sz w:val="32"/>
        </w:rPr>
        <w:t>Missed topics (NICE-only)</w:t>
      </w:r>
    </w:p>
    <w:p>
      <w:r>
        <w:rPr>
          <w:b w:val="0"/>
          <w:i w:val="0"/>
          <w:sz w:val="22"/>
        </w:rPr>
        <w:t>Seven NICE questions were not generated by the AI review. This is the most important diagnostic table in the report: it identifies the systematic blind spot of pre-clarification AI review.</w:t>
      </w:r>
    </w:p>
    <w:tbl>
      <w:tblPr>
        <w:jc w:val="left"/>
        <w:tblLook w:firstColumn="1" w:firstRow="1" w:lastColumn="0" w:lastRow="0" w:noHBand="0" w:noVBand="1" w:val="04A0"/>
        <w:tblW w:w="1368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800"/>
        <w:gridCol w:w="2200"/>
        <w:gridCol w:w="7080"/>
        <w:gridCol w:w="3600"/>
      </w:tblGrid>
      <w:tr>
        <w:tc>
          <w:tcPr>
            <w:tcW w:w="800" w:type="dxa"/>
            <w:shd w:val="clear" w:color="auto" w:fill="C00000"/>
            <w:tcBorders>
              <w:top w:val="single" w:sz="4" w:color="888888"/>
              <w:left w:val="single" w:sz="4" w:color="888888"/>
              <w:bottom w:val="single" w:sz="4" w:color="888888"/>
              <w:right w:val="single" w:sz="4" w:color="888888"/>
            </w:tcBorders>
          </w:tcPr>
          <w:p>
            <w:r/>
            <w:r>
              <w:rPr>
                <w:b/>
                <w:color w:val="FFFFFF"/>
                <w:sz w:val="20"/>
              </w:rPr>
              <w:t>NICE ID</w:t>
            </w:r>
          </w:p>
        </w:tc>
        <w:tc>
          <w:tcPr>
            <w:tcW w:w="2200" w:type="dxa"/>
            <w:shd w:val="clear" w:color="auto" w:fill="C00000"/>
            <w:tcBorders>
              <w:top w:val="single" w:sz="4" w:color="888888"/>
              <w:left w:val="single" w:sz="4" w:color="888888"/>
              <w:bottom w:val="single" w:sz="4" w:color="888888"/>
              <w:right w:val="single" w:sz="4" w:color="888888"/>
            </w:tcBorders>
          </w:tcPr>
          <w:p>
            <w:r/>
            <w:r>
              <w:rPr>
                <w:b/>
                <w:color w:val="FFFFFF"/>
                <w:sz w:val="20"/>
              </w:rPr>
              <w:t>Topic</w:t>
            </w:r>
          </w:p>
        </w:tc>
        <w:tc>
          <w:tcPr>
            <w:tcW w:w="7080" w:type="dxa"/>
            <w:shd w:val="clear" w:color="auto" w:fill="C00000"/>
            <w:tcBorders>
              <w:top w:val="single" w:sz="4" w:color="888888"/>
              <w:left w:val="single" w:sz="4" w:color="888888"/>
              <w:bottom w:val="single" w:sz="4" w:color="888888"/>
              <w:right w:val="single" w:sz="4" w:color="888888"/>
            </w:tcBorders>
          </w:tcPr>
          <w:p>
            <w:r/>
            <w:r>
              <w:rPr>
                <w:b/>
                <w:color w:val="FFFFFF"/>
                <w:sz w:val="20"/>
              </w:rPr>
              <w:t>Verbatim NICE text (abbreviated)</w:t>
            </w:r>
          </w:p>
        </w:tc>
        <w:tc>
          <w:tcPr>
            <w:tcW w:w="3600" w:type="dxa"/>
            <w:shd w:val="clear" w:color="auto" w:fill="C00000"/>
            <w:tcBorders>
              <w:top w:val="single" w:sz="4" w:color="888888"/>
              <w:left w:val="single" w:sz="4" w:color="888888"/>
              <w:bottom w:val="single" w:sz="4" w:color="888888"/>
              <w:right w:val="single" w:sz="4" w:color="888888"/>
            </w:tcBorders>
          </w:tcPr>
          <w:p>
            <w:r/>
            <w:r>
              <w:rPr>
                <w:b/>
                <w:color w:val="FFFFFF"/>
                <w:sz w:val="20"/>
              </w:rPr>
              <w:t>Likely reason missed</w:t>
            </w:r>
          </w:p>
        </w:tc>
      </w:tr>
      <w:tr>
        <w:tc>
          <w:tcPr>
            <w:tcW w:w="800" w:type="dxa"/>
            <w:tcBorders>
              <w:top w:val="single" w:sz="4" w:color="888888"/>
              <w:left w:val="single" w:sz="4" w:color="888888"/>
              <w:bottom w:val="single" w:sz="4" w:color="888888"/>
              <w:right w:val="single" w:sz="4" w:color="888888"/>
            </w:tcBorders>
          </w:tcPr>
          <w:p>
            <w:r/>
            <w:r>
              <w:rPr>
                <w:sz w:val="18"/>
              </w:rPr>
              <w:t>A2</w:t>
            </w:r>
          </w:p>
        </w:tc>
        <w:tc>
          <w:tcPr>
            <w:tcW w:w="2200" w:type="dxa"/>
            <w:tcBorders>
              <w:top w:val="single" w:sz="4" w:color="888888"/>
              <w:left w:val="single" w:sz="4" w:color="888888"/>
              <w:bottom w:val="single" w:sz="4" w:color="888888"/>
              <w:right w:val="single" w:sz="4" w:color="888888"/>
            </w:tcBorders>
          </w:tcPr>
          <w:p>
            <w:r/>
            <w:r>
              <w:rPr>
                <w:sz w:val="18"/>
              </w:rPr>
              <w:t>FKSI-DRS time-to-deterioration outcome reporting</w:t>
            </w:r>
          </w:p>
        </w:tc>
        <w:tc>
          <w:tcPr>
            <w:tcW w:w="7080" w:type="dxa"/>
            <w:tcBorders>
              <w:top w:val="single" w:sz="4" w:color="888888"/>
              <w:left w:val="single" w:sz="4" w:color="888888"/>
              <w:bottom w:val="single" w:sz="4" w:color="888888"/>
              <w:right w:val="single" w:sz="4" w:color="888888"/>
            </w:tcBorders>
          </w:tcPr>
          <w:p>
            <w:r/>
            <w:r>
              <w:rPr>
                <w:sz w:val="18"/>
              </w:rPr>
              <w:t>CS Table 6 and CS Table 7 refer to the outcome for "Time to deterioration in the FKSI-DRS", however the results are not reported in CS section B.2.6 nor identified in the CSR. Please provide the results or signpost to where they are in the submission.</w:t>
            </w:r>
          </w:p>
        </w:tc>
        <w:tc>
          <w:tcPr>
            <w:tcW w:w="3600" w:type="dxa"/>
            <w:tcBorders>
              <w:top w:val="single" w:sz="4" w:color="888888"/>
              <w:left w:val="single" w:sz="4" w:color="888888"/>
              <w:bottom w:val="single" w:sz="4" w:color="888888"/>
              <w:right w:val="single" w:sz="4" w:color="888888"/>
            </w:tcBorders>
          </w:tcPr>
          <w:p>
            <w:r/>
            <w:r>
              <w:rPr>
                <w:sz w:val="18"/>
              </w:rPr>
              <w:t>Document-tracing question — requires close cross-reference of CSR vs Document B. Specialists generated broader HRQoL/PRO requests but not this specific orphaned outcome.</w:t>
            </w:r>
          </w:p>
        </w:tc>
      </w:tr>
      <w:tr>
        <w:tc>
          <w:tcPr>
            <w:tcW w:w="800" w:type="dxa"/>
            <w:tcBorders>
              <w:top w:val="single" w:sz="4" w:color="888888"/>
              <w:left w:val="single" w:sz="4" w:color="888888"/>
              <w:bottom w:val="single" w:sz="4" w:color="888888"/>
              <w:right w:val="single" w:sz="4" w:color="888888"/>
            </w:tcBorders>
            <w:shd w:val="clear" w:color="auto" w:fill="F2F2F2"/>
          </w:tcPr>
          <w:p>
            <w:r/>
            <w:r>
              <w:rPr>
                <w:sz w:val="18"/>
              </w:rPr>
              <w:t>A3</w:t>
            </w:r>
          </w:p>
        </w:tc>
        <w:tc>
          <w:tcPr>
            <w:tcW w:w="2200" w:type="dxa"/>
            <w:tcBorders>
              <w:top w:val="single" w:sz="4" w:color="888888"/>
              <w:left w:val="single" w:sz="4" w:color="888888"/>
              <w:bottom w:val="single" w:sz="4" w:color="888888"/>
              <w:right w:val="single" w:sz="4" w:color="888888"/>
            </w:tcBorders>
            <w:shd w:val="clear" w:color="auto" w:fill="F2F2F2"/>
          </w:tcPr>
          <w:p>
            <w:r/>
            <w:r>
              <w:rPr>
                <w:sz w:val="18"/>
              </w:rPr>
              <w:t>Avelumab vs axitinib death-discontinuation count discrepancy (n=25 vs n=28)</w:t>
            </w:r>
          </w:p>
        </w:tc>
        <w:tc>
          <w:tcPr>
            <w:tcW w:w="7080" w:type="dxa"/>
            <w:tcBorders>
              <w:top w:val="single" w:sz="4" w:color="888888"/>
              <w:left w:val="single" w:sz="4" w:color="888888"/>
              <w:bottom w:val="single" w:sz="4" w:color="888888"/>
              <w:right w:val="single" w:sz="4" w:color="888888"/>
            </w:tcBorders>
            <w:shd w:val="clear" w:color="auto" w:fill="F2F2F2"/>
          </w:tcPr>
          <w:p>
            <w:r/>
            <w:r>
              <w:rPr>
                <w:sz w:val="18"/>
              </w:rPr>
              <w:t>CS Table 11. The number of participants who discontinued due to death differs for avelumab and axitinib (n=25 and n=28 respectively). Is this because some participants were only in receipt of either avelumab or axitinib at the time of death? If not, please explain why these numbers differ.</w:t>
            </w:r>
          </w:p>
        </w:tc>
        <w:tc>
          <w:tcPr>
            <w:tcW w:w="3600" w:type="dxa"/>
            <w:tcBorders>
              <w:top w:val="single" w:sz="4" w:color="888888"/>
              <w:left w:val="single" w:sz="4" w:color="888888"/>
              <w:bottom w:val="single" w:sz="4" w:color="888888"/>
              <w:right w:val="single" w:sz="4" w:color="888888"/>
            </w:tcBorders>
            <w:shd w:val="clear" w:color="auto" w:fill="F2F2F2"/>
          </w:tcPr>
          <w:p>
            <w:r/>
            <w:r>
              <w:rPr>
                <w:sz w:val="18"/>
              </w:rPr>
              <w:t>Granular cell-level discrepancy noticed during model audit; below the resolution of the generated topic list (which asked for unredacted Table 11 disposition data more broadly — CLIN-Merck-7).</w:t>
            </w:r>
          </w:p>
        </w:tc>
      </w:tr>
      <w:tr>
        <w:tc>
          <w:tcPr>
            <w:tcW w:w="800" w:type="dxa"/>
            <w:tcBorders>
              <w:top w:val="single" w:sz="4" w:color="888888"/>
              <w:left w:val="single" w:sz="4" w:color="888888"/>
              <w:bottom w:val="single" w:sz="4" w:color="888888"/>
              <w:right w:val="single" w:sz="4" w:color="888888"/>
            </w:tcBorders>
          </w:tcPr>
          <w:p>
            <w:r/>
            <w:r>
              <w:rPr>
                <w:sz w:val="18"/>
              </w:rPr>
              <w:t>A5</w:t>
            </w:r>
          </w:p>
        </w:tc>
        <w:tc>
          <w:tcPr>
            <w:tcW w:w="2200" w:type="dxa"/>
            <w:tcBorders>
              <w:top w:val="single" w:sz="4" w:color="888888"/>
              <w:left w:val="single" w:sz="4" w:color="888888"/>
              <w:bottom w:val="single" w:sz="4" w:color="888888"/>
              <w:right w:val="single" w:sz="4" w:color="888888"/>
            </w:tcBorders>
          </w:tcPr>
          <w:p>
            <w:r/>
            <w:r>
              <w:rPr>
                <w:sz w:val="18"/>
              </w:rPr>
              <w:t>AE rates with each agent as monotherapy</w:t>
            </w:r>
          </w:p>
        </w:tc>
        <w:tc>
          <w:tcPr>
            <w:tcW w:w="7080" w:type="dxa"/>
            <w:tcBorders>
              <w:top w:val="single" w:sz="4" w:color="888888"/>
              <w:left w:val="single" w:sz="4" w:color="888888"/>
              <w:bottom w:val="single" w:sz="4" w:color="888888"/>
              <w:right w:val="single" w:sz="4" w:color="888888"/>
            </w:tcBorders>
          </w:tcPr>
          <w:p>
            <w:r/>
            <w:r>
              <w:rPr>
                <w:sz w:val="18"/>
              </w:rPr>
              <w:t>CS section B.2.11.1.2 reports that some AEs were at higher frequencies with the combination than with either single agent alone. Please indicate where we can find the AE data for each agent as monotherapy.</w:t>
            </w:r>
          </w:p>
        </w:tc>
        <w:tc>
          <w:tcPr>
            <w:tcW w:w="3600" w:type="dxa"/>
            <w:tcBorders>
              <w:top w:val="single" w:sz="4" w:color="888888"/>
              <w:left w:val="single" w:sz="4" w:color="888888"/>
              <w:bottom w:val="single" w:sz="4" w:color="888888"/>
              <w:right w:val="single" w:sz="4" w:color="888888"/>
            </w:tcBorders>
          </w:tcPr>
          <w:p>
            <w:r/>
            <w:r>
              <w:rPr>
                <w:sz w:val="18"/>
              </w:rPr>
              <w:t>Document-tracing question; specialists requested AE-by-subgroup and AE-by-irAE-cluster but not the monotherapy reference figures.</w:t>
            </w:r>
          </w:p>
        </w:tc>
      </w:tr>
      <w:tr>
        <w:tc>
          <w:tcPr>
            <w:tcW w:w="800" w:type="dxa"/>
            <w:tcBorders>
              <w:top w:val="single" w:sz="4" w:color="888888"/>
              <w:left w:val="single" w:sz="4" w:color="888888"/>
              <w:bottom w:val="single" w:sz="4" w:color="888888"/>
              <w:right w:val="single" w:sz="4" w:color="888888"/>
            </w:tcBorders>
            <w:shd w:val="clear" w:color="auto" w:fill="F2F2F2"/>
          </w:tcPr>
          <w:p>
            <w:r/>
            <w:r>
              <w:rPr>
                <w:sz w:val="18"/>
              </w:rPr>
              <w:t>B3</w:t>
            </w:r>
          </w:p>
        </w:tc>
        <w:tc>
          <w:tcPr>
            <w:tcW w:w="2200" w:type="dxa"/>
            <w:tcBorders>
              <w:top w:val="single" w:sz="4" w:color="888888"/>
              <w:left w:val="single" w:sz="4" w:color="888888"/>
              <w:bottom w:val="single" w:sz="4" w:color="888888"/>
              <w:right w:val="single" w:sz="4" w:color="888888"/>
            </w:tcBorders>
            <w:shd w:val="clear" w:color="auto" w:fill="F2F2F2"/>
          </w:tcPr>
          <w:p>
            <w:r/>
            <w:r>
              <w:rPr>
                <w:sz w:val="18"/>
              </w:rPr>
              <w:t>KM data timepoint discrepancy (model vs source)</w:t>
            </w:r>
          </w:p>
        </w:tc>
        <w:tc>
          <w:tcPr>
            <w:tcW w:w="7080" w:type="dxa"/>
            <w:tcBorders>
              <w:top w:val="single" w:sz="4" w:color="888888"/>
              <w:left w:val="single" w:sz="4" w:color="888888"/>
              <w:bottom w:val="single" w:sz="4" w:color="888888"/>
              <w:right w:val="single" w:sz="4" w:color="888888"/>
            </w:tcBorders>
            <w:shd w:val="clear" w:color="auto" w:fill="F2F2F2"/>
          </w:tcPr>
          <w:p>
            <w:r/>
            <w:r>
              <w:rPr>
                <w:sz w:val="18"/>
              </w:rPr>
              <w:t>KM data in the model sheet (KM data!BK46:CM233) have different time points to those reported in the source DOF analyses. Model has 0, 3.81, 5.09 months while source provides 4, 8, 12-month intervals. Confirm whether discrepancy is due to model data being derived from IPD or provide a source with matching KM data.</w:t>
            </w:r>
          </w:p>
        </w:tc>
        <w:tc>
          <w:tcPr>
            <w:tcW w:w="3600" w:type="dxa"/>
            <w:tcBorders>
              <w:top w:val="single" w:sz="4" w:color="888888"/>
              <w:left w:val="single" w:sz="4" w:color="888888"/>
              <w:bottom w:val="single" w:sz="4" w:color="888888"/>
              <w:right w:val="single" w:sz="4" w:color="888888"/>
            </w:tcBorders>
            <w:shd w:val="clear" w:color="auto" w:fill="F2F2F2"/>
          </w:tcPr>
          <w:p>
            <w:r/>
            <w:r>
              <w:rPr>
                <w:sz w:val="18"/>
              </w:rPr>
              <w:t>Model-audit finding requiring direct comparison of model workbook KM data sheet against DOF source tables; generated set asked for unredacted KM data but did not catch the timepoint anomaly.</w:t>
            </w:r>
          </w:p>
        </w:tc>
      </w:tr>
      <w:tr>
        <w:tc>
          <w:tcPr>
            <w:tcW w:w="800" w:type="dxa"/>
            <w:tcBorders>
              <w:top w:val="single" w:sz="4" w:color="888888"/>
              <w:left w:val="single" w:sz="4" w:color="888888"/>
              <w:bottom w:val="single" w:sz="4" w:color="888888"/>
              <w:right w:val="single" w:sz="4" w:color="888888"/>
            </w:tcBorders>
          </w:tcPr>
          <w:p>
            <w:r/>
            <w:r>
              <w:rPr>
                <w:sz w:val="18"/>
              </w:rPr>
              <w:t>B4</w:t>
            </w:r>
          </w:p>
        </w:tc>
        <w:tc>
          <w:tcPr>
            <w:tcW w:w="2200" w:type="dxa"/>
            <w:tcBorders>
              <w:top w:val="single" w:sz="4" w:color="888888"/>
              <w:left w:val="single" w:sz="4" w:color="888888"/>
              <w:bottom w:val="single" w:sz="4" w:color="888888"/>
              <w:right w:val="single" w:sz="4" w:color="888888"/>
            </w:tcBorders>
          </w:tcPr>
          <w:p>
            <w:r/>
            <w:r>
              <w:rPr>
                <w:sz w:val="18"/>
              </w:rPr>
              <w:t>Missing Grade ≥3 TRAEs in CS Table 56</w:t>
            </w:r>
          </w:p>
        </w:tc>
        <w:tc>
          <w:tcPr>
            <w:tcW w:w="7080" w:type="dxa"/>
            <w:tcBorders>
              <w:top w:val="single" w:sz="4" w:color="888888"/>
              <w:left w:val="single" w:sz="4" w:color="888888"/>
              <w:bottom w:val="single" w:sz="4" w:color="888888"/>
              <w:right w:val="single" w:sz="4" w:color="888888"/>
            </w:tcBorders>
          </w:tcPr>
          <w:p>
            <w:r/>
            <w:r>
              <w:rPr>
                <w:sz w:val="18"/>
              </w:rPr>
              <w:t>Please justify why some grade ≥3 TRAEs experienced by more than 5% of patients are missing from CS Table 56, including fatigue, nausea, decreased appetite, stomatitis, mucosal inflammation, AST increased, and vomiting.</w:t>
            </w:r>
          </w:p>
        </w:tc>
        <w:tc>
          <w:tcPr>
            <w:tcW w:w="3600" w:type="dxa"/>
            <w:tcBorders>
              <w:top w:val="single" w:sz="4" w:color="888888"/>
              <w:left w:val="single" w:sz="4" w:color="888888"/>
              <w:bottom w:val="single" w:sz="4" w:color="888888"/>
              <w:right w:val="single" w:sz="4" w:color="888888"/>
            </w:tcBorders>
          </w:tcPr>
          <w:p>
            <w:r/>
            <w:r>
              <w:rPr>
                <w:sz w:val="18"/>
              </w:rPr>
              <w:t>Table-content gap requiring item-by-item comparison against the CSR; generated AE questions focused on redactions, irAEs, cardiac signal and AE costing — not Table 56 completeness.</w:t>
            </w:r>
          </w:p>
        </w:tc>
      </w:tr>
      <w:tr>
        <w:tc>
          <w:tcPr>
            <w:tcW w:w="800" w:type="dxa"/>
            <w:tcBorders>
              <w:top w:val="single" w:sz="4" w:color="888888"/>
              <w:left w:val="single" w:sz="4" w:color="888888"/>
              <w:bottom w:val="single" w:sz="4" w:color="888888"/>
              <w:right w:val="single" w:sz="4" w:color="888888"/>
            </w:tcBorders>
            <w:shd w:val="clear" w:color="auto" w:fill="F2F2F2"/>
          </w:tcPr>
          <w:p>
            <w:r/>
            <w:r>
              <w:rPr>
                <w:sz w:val="18"/>
              </w:rPr>
              <w:t>B11</w:t>
            </w:r>
          </w:p>
        </w:tc>
        <w:tc>
          <w:tcPr>
            <w:tcW w:w="2200" w:type="dxa"/>
            <w:tcBorders>
              <w:top w:val="single" w:sz="4" w:color="888888"/>
              <w:left w:val="single" w:sz="4" w:color="888888"/>
              <w:bottom w:val="single" w:sz="4" w:color="888888"/>
              <w:right w:val="single" w:sz="4" w:color="888888"/>
            </w:tcBorders>
            <w:shd w:val="clear" w:color="auto" w:fill="F2F2F2"/>
          </w:tcPr>
          <w:p>
            <w:r/>
            <w:r>
              <w:rPr>
                <w:sz w:val="18"/>
              </w:rPr>
              <w:t>Untraceable model input parameters (age, sex, weight by risk group) [Priority Yes]</w:t>
            </w:r>
          </w:p>
        </w:tc>
        <w:tc>
          <w:tcPr>
            <w:tcW w:w="7080" w:type="dxa"/>
            <w:tcBorders>
              <w:top w:val="single" w:sz="4" w:color="888888"/>
              <w:left w:val="single" w:sz="4" w:color="888888"/>
              <w:bottom w:val="single" w:sz="4" w:color="888888"/>
              <w:right w:val="single" w:sz="4" w:color="888888"/>
            </w:tcBorders>
            <w:shd w:val="clear" w:color="auto" w:fill="F2F2F2"/>
          </w:tcPr>
          <w:p>
            <w:r/>
            <w:r>
              <w:rPr>
                <w:sz w:val="18"/>
              </w:rPr>
              <w:t>The EAG cannot identify the sources of several model input parameters (Table 1): average age, proportion female, and average weight for favourable-risk (CS Table 40), intermediate/poor-risk (CS Appendix O Table 50), and average weight for ITT (CS Appendix O Table 51) — all sourced to JAVELIN Renal 101.</w:t>
            </w:r>
          </w:p>
        </w:tc>
        <w:tc>
          <w:tcPr>
            <w:tcW w:w="3600" w:type="dxa"/>
            <w:tcBorders>
              <w:top w:val="single" w:sz="4" w:color="888888"/>
              <w:left w:val="single" w:sz="4" w:color="888888"/>
              <w:bottom w:val="single" w:sz="4" w:color="888888"/>
              <w:right w:val="single" w:sz="4" w:color="888888"/>
            </w:tcBorders>
            <w:shd w:val="clear" w:color="auto" w:fill="F2F2F2"/>
          </w:tcPr>
          <w:p>
            <w:r/>
            <w:r>
              <w:rPr>
                <w:sz w:val="18"/>
              </w:rPr>
              <w:t>Model-audit finding from line-by-line workbook traceability; generated HE set asked for executable model and scripts (HE-Merck-1, -2) but did not flag this specific traceability gap for the workbook against JAVELIN.</w:t>
            </w:r>
          </w:p>
        </w:tc>
      </w:tr>
      <w:tr>
        <w:tc>
          <w:tcPr>
            <w:tcW w:w="800" w:type="dxa"/>
            <w:tcBorders>
              <w:top w:val="single" w:sz="4" w:color="888888"/>
              <w:left w:val="single" w:sz="4" w:color="888888"/>
              <w:bottom w:val="single" w:sz="4" w:color="888888"/>
              <w:right w:val="single" w:sz="4" w:color="888888"/>
            </w:tcBorders>
          </w:tcPr>
          <w:p>
            <w:r/>
            <w:r>
              <w:rPr>
                <w:sz w:val="18"/>
              </w:rPr>
              <w:t>B12</w:t>
            </w:r>
          </w:p>
        </w:tc>
        <w:tc>
          <w:tcPr>
            <w:tcW w:w="2200" w:type="dxa"/>
            <w:tcBorders>
              <w:top w:val="single" w:sz="4" w:color="888888"/>
              <w:left w:val="single" w:sz="4" w:color="888888"/>
              <w:bottom w:val="single" w:sz="4" w:color="888888"/>
              <w:right w:val="single" w:sz="4" w:color="888888"/>
            </w:tcBorders>
          </w:tcPr>
          <w:p>
            <w:r/>
            <w:r>
              <w:rPr>
                <w:sz w:val="18"/>
              </w:rPr>
              <w:t>CS-vs-model input value discrepancies (IV admin, CT/blood, nivolumab dose, subsequent therapy cost) [Priority Yes]</w:t>
            </w:r>
          </w:p>
        </w:tc>
        <w:tc>
          <w:tcPr>
            <w:tcW w:w="7080" w:type="dxa"/>
            <w:tcBorders>
              <w:top w:val="single" w:sz="4" w:color="888888"/>
              <w:left w:val="single" w:sz="4" w:color="888888"/>
              <w:bottom w:val="single" w:sz="4" w:color="888888"/>
              <w:right w:val="single" w:sz="4" w:color="888888"/>
            </w:tcBorders>
          </w:tcPr>
          <w:p>
            <w:r/>
            <w:r>
              <w:rPr>
                <w:sz w:val="18"/>
              </w:rPr>
              <w:t>Different input values are reported in the company submission and in the company's model for IV administration costs (CS Table 64 vs Costs!G86), CT and blood test costs (CS Table 66 vs Costs!G118:G122), nivolumab dose (CS Table 71 vs Costs!H183) and total subsequent treatment cost intermediate/poor risk (Appendix O Table 91 vs Costs!G234).</w:t>
            </w:r>
          </w:p>
        </w:tc>
        <w:tc>
          <w:tcPr>
            <w:tcW w:w="3600" w:type="dxa"/>
            <w:tcBorders>
              <w:top w:val="single" w:sz="4" w:color="888888"/>
              <w:left w:val="single" w:sz="4" w:color="888888"/>
              <w:bottom w:val="single" w:sz="4" w:color="888888"/>
              <w:right w:val="single" w:sz="4" w:color="888888"/>
            </w:tcBorders>
          </w:tcPr>
          <w:p>
            <w:r/>
            <w:r>
              <w:rPr>
                <w:sz w:val="18"/>
              </w:rPr>
              <w:t>Direct CS↔workbook reconciliation; generated HE set asked for cell-exact reproducibility (HE-Merck-49) but the specific Costs!G86, G118:G122, H183 and G234 discrepancies were not pre-identified at the public-submission stage.</w:t>
            </w:r>
          </w:p>
        </w:tc>
      </w:tr>
    </w:tbl>
    <w:p/>
    <w:p>
      <w:r>
        <w:rPr>
          <w:b w:val="0"/>
          <w:i/>
          <w:sz w:val="20"/>
        </w:rPr>
        <w:t>Common pattern: All seven missed items are reactive findings from direct, cell-by-cell audit of artefacts the specialists did not have in front of them — the executable Excel model and the full CSR. Six of the seven are either NICE-priority "Yes" (B11, B12) or document/cell-discrepancy questions (A2, A3, A5, B3, B4). The generated set proactively requested these artefacts (CLIN-Merck-7 unredacted Table 11; HE-Merck-1 executable model; HE-Merck-49 cell-exact reproducibility; INFO-Merck-25 DOF list) but could not have identified the specific within-artefact discrepancies until those artefacts were actually opened.</w:t>
      </w:r>
    </w:p>
    <w:p>
      <w:r>
        <w:br w:type="page"/>
      </w:r>
    </w:p>
    <w:p>
      <w:pPr>
        <w:pStyle w:val="Heading1"/>
      </w:pPr>
      <w:r>
        <w:rPr>
          <w:color w:val="1F3864"/>
          <w:sz w:val="32"/>
        </w:rPr>
        <w:t>Generated-only topics</w:t>
      </w:r>
    </w:p>
    <w:p>
      <w:r>
        <w:rPr>
          <w:b w:val="0"/>
          <w:i w:val="0"/>
          <w:sz w:val="22"/>
        </w:rPr>
        <w:t>Forty-five merged topics were generated by the AI review but not asked by NICE. Most are legitimate critiques that NICE chose not to pursue at the clarification stage rather than spurious questions. NICE prioritises rather than asking every possible question; the EAG's clarification letter is the first of multiple opportunities to interrogate the submission, with detailed methodological challenges often deferred to the EAR / EAG report stage.</w:t>
      </w:r>
    </w:p>
    <w:tbl>
      <w:tblPr>
        <w:jc w:val="left"/>
        <w:tblLook w:firstColumn="1" w:firstRow="1" w:lastColumn="0" w:lastRow="0" w:noHBand="0" w:noVBand="1" w:val="04A0"/>
        <w:tblW w:w="1368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600"/>
        <w:gridCol w:w="3000"/>
        <w:gridCol w:w="1280"/>
        <w:gridCol w:w="8800"/>
      </w:tblGrid>
      <w:tr>
        <w:tc>
          <w:tcPr>
            <w:tcW w:w="600" w:type="dxa"/>
            <w:shd w:val="clear" w:color="auto" w:fill="548235"/>
            <w:tcBorders>
              <w:top w:val="single" w:sz="4" w:color="888888"/>
              <w:left w:val="single" w:sz="4" w:color="888888"/>
              <w:bottom w:val="single" w:sz="4" w:color="888888"/>
              <w:right w:val="single" w:sz="4" w:color="888888"/>
            </w:tcBorders>
          </w:tcPr>
          <w:p>
            <w:r/>
            <w:r>
              <w:rPr>
                <w:b/>
                <w:color w:val="FFFFFF"/>
                <w:sz w:val="20"/>
              </w:rPr>
              <w:t>Merged-ID</w:t>
            </w:r>
          </w:p>
        </w:tc>
        <w:tc>
          <w:tcPr>
            <w:tcW w:w="3000" w:type="dxa"/>
            <w:shd w:val="clear" w:color="auto" w:fill="548235"/>
            <w:tcBorders>
              <w:top w:val="single" w:sz="4" w:color="888888"/>
              <w:left w:val="single" w:sz="4" w:color="888888"/>
              <w:bottom w:val="single" w:sz="4" w:color="888888"/>
              <w:right w:val="single" w:sz="4" w:color="888888"/>
            </w:tcBorders>
          </w:tcPr>
          <w:p>
            <w:r/>
            <w:r>
              <w:rPr>
                <w:b/>
                <w:color w:val="FFFFFF"/>
                <w:sz w:val="20"/>
              </w:rPr>
              <w:t>Topic</w:t>
            </w:r>
          </w:p>
        </w:tc>
        <w:tc>
          <w:tcPr>
            <w:tcW w:w="1280" w:type="dxa"/>
            <w:shd w:val="clear" w:color="auto" w:fill="548235"/>
            <w:tcBorders>
              <w:top w:val="single" w:sz="4" w:color="888888"/>
              <w:left w:val="single" w:sz="4" w:color="888888"/>
              <w:bottom w:val="single" w:sz="4" w:color="888888"/>
              <w:right w:val="single" w:sz="4" w:color="888888"/>
            </w:tcBorders>
          </w:tcPr>
          <w:p>
            <w:r/>
            <w:r>
              <w:rPr>
                <w:b/>
                <w:color w:val="FFFFFF"/>
                <w:sz w:val="20"/>
              </w:rPr>
              <w:t>Origin tags</w:t>
            </w:r>
          </w:p>
        </w:tc>
        <w:tc>
          <w:tcPr>
            <w:tcW w:w="8800" w:type="dxa"/>
            <w:shd w:val="clear" w:color="auto" w:fill="548235"/>
            <w:tcBorders>
              <w:top w:val="single" w:sz="4" w:color="888888"/>
              <w:left w:val="single" w:sz="4" w:color="888888"/>
              <w:bottom w:val="single" w:sz="4" w:color="888888"/>
              <w:right w:val="single" w:sz="4" w:color="888888"/>
            </w:tcBorders>
          </w:tcPr>
          <w:p>
            <w:r/>
            <w:r>
              <w:rPr>
                <w:b/>
                <w:color w:val="FFFFFF"/>
                <w:sz w:val="20"/>
              </w:rPr>
              <w:t>One-line substance</w:t>
            </w:r>
          </w:p>
        </w:tc>
      </w:tr>
      <w:tr>
        <w:tc>
          <w:tcPr>
            <w:tcW w:w="600" w:type="dxa"/>
            <w:tcBorders>
              <w:top w:val="single" w:sz="4" w:color="888888"/>
              <w:left w:val="single" w:sz="4" w:color="888888"/>
              <w:bottom w:val="single" w:sz="4" w:color="888888"/>
              <w:right w:val="single" w:sz="4" w:color="888888"/>
            </w:tcBorders>
          </w:tcPr>
          <w:p>
            <w:r/>
            <w:r>
              <w:rPr>
                <w:sz w:val="18"/>
              </w:rPr>
              <w:t>T-17</w:t>
            </w:r>
          </w:p>
        </w:tc>
        <w:tc>
          <w:tcPr>
            <w:tcW w:w="3000" w:type="dxa"/>
            <w:tcBorders>
              <w:top w:val="single" w:sz="4" w:color="888888"/>
              <w:left w:val="single" w:sz="4" w:color="888888"/>
              <w:bottom w:val="single" w:sz="4" w:color="888888"/>
              <w:right w:val="single" w:sz="4" w:color="888888"/>
            </w:tcBorders>
          </w:tcPr>
          <w:p>
            <w:r/>
            <w:r>
              <w:rPr>
                <w:sz w:val="18"/>
              </w:rPr>
              <w:t>Base case framed on favourable-risk vs scope-specified ITT</w:t>
            </w:r>
          </w:p>
        </w:tc>
        <w:tc>
          <w:tcPr>
            <w:tcW w:w="1280" w:type="dxa"/>
            <w:tcBorders>
              <w:top w:val="single" w:sz="4" w:color="888888"/>
              <w:left w:val="single" w:sz="4" w:color="888888"/>
              <w:bottom w:val="single" w:sz="4" w:color="888888"/>
              <w:right w:val="single" w:sz="4" w:color="888888"/>
            </w:tcBorders>
          </w:tcPr>
          <w:p>
            <w:r/>
            <w:r>
              <w:rPr>
                <w:sz w:val="18"/>
              </w:rPr>
              <w:t>[CLIN], [HE]</w:t>
            </w:r>
          </w:p>
        </w:tc>
        <w:tc>
          <w:tcPr>
            <w:tcW w:w="8800" w:type="dxa"/>
            <w:tcBorders>
              <w:top w:val="single" w:sz="4" w:color="888888"/>
              <w:left w:val="single" w:sz="4" w:color="888888"/>
              <w:bottom w:val="single" w:sz="4" w:color="888888"/>
              <w:right w:val="single" w:sz="4" w:color="888888"/>
            </w:tcBorders>
          </w:tcPr>
          <w:p>
            <w:r/>
            <w:r>
              <w:rPr>
                <w:sz w:val="18"/>
              </w:rPr>
              <w:t>Scope deviation; base case should be ITT per scope, not favourable-risk subgroup.</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T-18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Omission of NMA vs favourable-risk TKI comparators (pazopanib, tivozanib)</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 [HE], [INFO]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TKI equivalence assumption asserted on Manz 2019 basis but never tested in favourable-risk subgroup.</w:t>
            </w:r>
          </w:p>
        </w:tc>
      </w:tr>
      <w:tr>
        <w:tc>
          <w:tcPr>
            <w:tcW w:w="600" w:type="dxa"/>
            <w:tcBorders>
              <w:top w:val="single" w:sz="4" w:color="888888"/>
              <w:left w:val="single" w:sz="4" w:color="888888"/>
              <w:bottom w:val="single" w:sz="4" w:color="888888"/>
              <w:right w:val="single" w:sz="4" w:color="888888"/>
            </w:tcBorders>
          </w:tcPr>
          <w:p>
            <w:r/>
            <w:r>
              <w:rPr>
                <w:sz w:val="18"/>
              </w:rPr>
              <w:t>T-19</w:t>
            </w:r>
          </w:p>
        </w:tc>
        <w:tc>
          <w:tcPr>
            <w:tcW w:w="3000" w:type="dxa"/>
            <w:tcBorders>
              <w:top w:val="single" w:sz="4" w:color="888888"/>
              <w:left w:val="single" w:sz="4" w:color="888888"/>
              <w:bottom w:val="single" w:sz="4" w:color="888888"/>
              <w:right w:val="single" w:sz="4" w:color="888888"/>
            </w:tcBorders>
          </w:tcPr>
          <w:p>
            <w:r/>
            <w:r>
              <w:rPr>
                <w:sz w:val="18"/>
              </w:rPr>
              <w:t>Exclusion of PD-L1 subgroup from cost-effectiveness analysis</w:t>
            </w:r>
          </w:p>
        </w:tc>
        <w:tc>
          <w:tcPr>
            <w:tcW w:w="1280" w:type="dxa"/>
            <w:tcBorders>
              <w:top w:val="single" w:sz="4" w:color="888888"/>
              <w:left w:val="single" w:sz="4" w:color="888888"/>
              <w:bottom w:val="single" w:sz="4" w:color="888888"/>
              <w:right w:val="single" w:sz="4" w:color="888888"/>
            </w:tcBorders>
          </w:tcPr>
          <w:p>
            <w:r/>
            <w:r>
              <w:rPr>
                <w:sz w:val="18"/>
              </w:rPr>
              <w:t>[CLIN], [STAT], [HE]</w:t>
            </w:r>
          </w:p>
        </w:tc>
        <w:tc>
          <w:tcPr>
            <w:tcW w:w="8800" w:type="dxa"/>
            <w:tcBorders>
              <w:top w:val="single" w:sz="4" w:color="888888"/>
              <w:left w:val="single" w:sz="4" w:color="888888"/>
              <w:bottom w:val="single" w:sz="4" w:color="888888"/>
              <w:right w:val="single" w:sz="4" w:color="888888"/>
            </w:tcBorders>
          </w:tcPr>
          <w:p>
            <w:r/>
            <w:r>
              <w:rPr>
                <w:sz w:val="18"/>
              </w:rPr>
              <w:t>Primary regulatory endpoint population (PD-L1+) excluded from CEM on unspecified clinical expert opinion.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T-20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Marketing authorisation wording vs trial eligibility (clear-cell, ECOG)</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Licence may exceed trial population; need explicit mapping of MA wording to JAVELIN eligibility.</w:t>
            </w:r>
          </w:p>
        </w:tc>
      </w:tr>
      <w:tr>
        <w:tc>
          <w:tcPr>
            <w:tcW w:w="600" w:type="dxa"/>
            <w:tcBorders>
              <w:top w:val="single" w:sz="4" w:color="888888"/>
              <w:left w:val="single" w:sz="4" w:color="888888"/>
              <w:bottom w:val="single" w:sz="4" w:color="888888"/>
              <w:right w:val="single" w:sz="4" w:color="888888"/>
            </w:tcBorders>
          </w:tcPr>
          <w:p>
            <w:r/>
            <w:r>
              <w:rPr>
                <w:sz w:val="18"/>
              </w:rPr>
              <w:t>T-21</w:t>
            </w:r>
          </w:p>
        </w:tc>
        <w:tc>
          <w:tcPr>
            <w:tcW w:w="3000" w:type="dxa"/>
            <w:tcBorders>
              <w:top w:val="single" w:sz="4" w:color="888888"/>
              <w:left w:val="single" w:sz="4" w:color="888888"/>
              <w:bottom w:val="single" w:sz="4" w:color="888888"/>
              <w:right w:val="single" w:sz="4" w:color="888888"/>
            </w:tcBorders>
          </w:tcPr>
          <w:p>
            <w:r/>
            <w:r>
              <w:rPr>
                <w:sz w:val="18"/>
              </w:rPr>
              <w:t>PFS censoring rules and EMA/FDA approach</w:t>
            </w:r>
          </w:p>
        </w:tc>
        <w:tc>
          <w:tcPr>
            <w:tcW w:w="1280" w:type="dxa"/>
            <w:tcBorders>
              <w:top w:val="single" w:sz="4" w:color="888888"/>
              <w:left w:val="single" w:sz="4" w:color="888888"/>
              <w:bottom w:val="single" w:sz="4" w:color="888888"/>
              <w:right w:val="single" w:sz="4" w:color="888888"/>
            </w:tcBorders>
          </w:tcPr>
          <w:p>
            <w:r/>
            <w:r>
              <w:rPr>
                <w:sz w:val="18"/>
              </w:rPr>
              <w:t>[CLIN], [STAT]</w:t>
            </w:r>
          </w:p>
        </w:tc>
        <w:tc>
          <w:tcPr>
            <w:tcW w:w="8800" w:type="dxa"/>
            <w:tcBorders>
              <w:top w:val="single" w:sz="4" w:color="888888"/>
              <w:left w:val="single" w:sz="4" w:color="888888"/>
              <w:bottom w:val="single" w:sz="4" w:color="888888"/>
              <w:right w:val="single" w:sz="4" w:color="888888"/>
            </w:tcBorders>
          </w:tcPr>
          <w:p>
            <w:r/>
            <w:r>
              <w:rPr>
                <w:sz w:val="18"/>
              </w:rPr>
              <w:t>Exact censoring rules and sensitivity not transparently documented.</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T-22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OS data maturity in IMDC subgroups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Favourable-risk OS ~50% mature; need matched-follow-up sensitivity.</w:t>
            </w:r>
          </w:p>
        </w:tc>
      </w:tr>
      <w:tr>
        <w:tc>
          <w:tcPr>
            <w:tcW w:w="600" w:type="dxa"/>
            <w:tcBorders>
              <w:top w:val="single" w:sz="4" w:color="888888"/>
              <w:left w:val="single" w:sz="4" w:color="888888"/>
              <w:bottom w:val="single" w:sz="4" w:color="888888"/>
              <w:right w:val="single" w:sz="4" w:color="888888"/>
            </w:tcBorders>
          </w:tcPr>
          <w:p>
            <w:r/>
            <w:r>
              <w:rPr>
                <w:sz w:val="18"/>
              </w:rPr>
              <w:t>T-23</w:t>
            </w:r>
          </w:p>
        </w:tc>
        <w:tc>
          <w:tcPr>
            <w:tcW w:w="3000" w:type="dxa"/>
            <w:tcBorders>
              <w:top w:val="single" w:sz="4" w:color="888888"/>
              <w:left w:val="single" w:sz="4" w:color="888888"/>
              <w:bottom w:val="single" w:sz="4" w:color="888888"/>
              <w:right w:val="single" w:sz="4" w:color="888888"/>
            </w:tcBorders>
          </w:tcPr>
          <w:p>
            <w:r/>
            <w:r>
              <w:rPr>
                <w:sz w:val="18"/>
              </w:rPr>
              <w:t>Stratification, multiplicity and pre-specification of IMDC subgroup analyses</w:t>
            </w:r>
          </w:p>
        </w:tc>
        <w:tc>
          <w:tcPr>
            <w:tcW w:w="1280" w:type="dxa"/>
            <w:tcBorders>
              <w:top w:val="single" w:sz="4" w:color="888888"/>
              <w:left w:val="single" w:sz="4" w:color="888888"/>
              <w:bottom w:val="single" w:sz="4" w:color="888888"/>
              <w:right w:val="single" w:sz="4" w:color="888888"/>
            </w:tcBorders>
          </w:tcPr>
          <w:p>
            <w:r/>
            <w:r>
              <w:rPr>
                <w:sz w:val="18"/>
              </w:rPr>
              <w:t>[CLIN], [STAT]</w:t>
            </w:r>
          </w:p>
        </w:tc>
        <w:tc>
          <w:tcPr>
            <w:tcW w:w="8800" w:type="dxa"/>
            <w:tcBorders>
              <w:top w:val="single" w:sz="4" w:color="888888"/>
              <w:left w:val="single" w:sz="4" w:color="888888"/>
              <w:bottom w:val="single" w:sz="4" w:color="888888"/>
              <w:right w:val="single" w:sz="4" w:color="888888"/>
            </w:tcBorders>
          </w:tcPr>
          <w:p>
            <w:r/>
            <w:r>
              <w:rPr>
                <w:sz w:val="18"/>
              </w:rPr>
              <w:t>Subgroups exploratory, post-hoc pooling, no multiplicity adjustment.</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T-24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UK representation in JAVELIN Renal 101 (n=32) and generalisability</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UK = 3.6% of trial population; outcomes for UK subset.</w:t>
            </w:r>
          </w:p>
        </w:tc>
      </w:tr>
      <w:tr>
        <w:tc>
          <w:tcPr>
            <w:tcW w:w="600" w:type="dxa"/>
            <w:tcBorders>
              <w:top w:val="single" w:sz="4" w:color="888888"/>
              <w:left w:val="single" w:sz="4" w:color="888888"/>
              <w:bottom w:val="single" w:sz="4" w:color="888888"/>
              <w:right w:val="single" w:sz="4" w:color="888888"/>
            </w:tcBorders>
          </w:tcPr>
          <w:p>
            <w:r/>
            <w:r>
              <w:rPr>
                <w:sz w:val="18"/>
              </w:rPr>
              <w:t>T-25</w:t>
            </w:r>
          </w:p>
        </w:tc>
        <w:tc>
          <w:tcPr>
            <w:tcW w:w="3000" w:type="dxa"/>
            <w:tcBorders>
              <w:top w:val="single" w:sz="4" w:color="888888"/>
              <w:left w:val="single" w:sz="4" w:color="888888"/>
              <w:bottom w:val="single" w:sz="4" w:color="888888"/>
              <w:right w:val="single" w:sz="4" w:color="888888"/>
            </w:tcBorders>
          </w:tcPr>
          <w:p>
            <w:r/>
            <w:r>
              <w:rPr>
                <w:sz w:val="18"/>
              </w:rPr>
              <w:t>Baseline characteristics vs UK practice (nephrectomy, ECOG, sarcomatoid)</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JAVELIN favourable-risk may differ from UK real-world (~80% nephrectomy vs UK).</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T-26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Sunitinib comparator schedule (4/2 vs 2/1) vs UK practice</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UK has shifted to 2/1 schedule; trial used 4/2.</w:t>
            </w:r>
          </w:p>
        </w:tc>
      </w:tr>
      <w:tr>
        <w:tc>
          <w:tcPr>
            <w:tcW w:w="600" w:type="dxa"/>
            <w:tcBorders>
              <w:top w:val="single" w:sz="4" w:color="888888"/>
              <w:left w:val="single" w:sz="4" w:color="888888"/>
              <w:bottom w:val="single" w:sz="4" w:color="888888"/>
              <w:right w:val="single" w:sz="4" w:color="888888"/>
            </w:tcBorders>
          </w:tcPr>
          <w:p>
            <w:r/>
            <w:r>
              <w:rPr>
                <w:sz w:val="18"/>
              </w:rPr>
              <w:t>T-27</w:t>
            </w:r>
          </w:p>
        </w:tc>
        <w:tc>
          <w:tcPr>
            <w:tcW w:w="3000" w:type="dxa"/>
            <w:tcBorders>
              <w:top w:val="single" w:sz="4" w:color="888888"/>
              <w:left w:val="single" w:sz="4" w:color="888888"/>
              <w:bottom w:val="single" w:sz="4" w:color="888888"/>
              <w:right w:val="single" w:sz="4" w:color="888888"/>
            </w:tcBorders>
          </w:tcPr>
          <w:p>
            <w:r/>
            <w:r>
              <w:rPr>
                <w:sz w:val="18"/>
              </w:rPr>
              <w:t>Place of avelumab + axitinib in evolved 2024 treatment pathway</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Post-TA780, TA858, TA964 — landscape has changed since TA645.</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T-28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Full subgroup forest plots (ITT, all pre-specified subgroups, OS &amp; PFS)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Complete forest plots to identify subgroups favouring sunitinib.</w:t>
            </w:r>
          </w:p>
        </w:tc>
      </w:tr>
      <w:tr>
        <w:tc>
          <w:tcPr>
            <w:tcW w:w="600" w:type="dxa"/>
            <w:tcBorders>
              <w:top w:val="single" w:sz="4" w:color="888888"/>
              <w:left w:val="single" w:sz="4" w:color="888888"/>
              <w:bottom w:val="single" w:sz="4" w:color="888888"/>
              <w:right w:val="single" w:sz="4" w:color="888888"/>
            </w:tcBorders>
          </w:tcPr>
          <w:p>
            <w:r/>
            <w:r>
              <w:rPr>
                <w:sz w:val="18"/>
              </w:rPr>
              <w:t>T-29</w:t>
            </w:r>
          </w:p>
        </w:tc>
        <w:tc>
          <w:tcPr>
            <w:tcW w:w="3000" w:type="dxa"/>
            <w:tcBorders>
              <w:top w:val="single" w:sz="4" w:color="888888"/>
              <w:left w:val="single" w:sz="4" w:color="888888"/>
              <w:bottom w:val="single" w:sz="4" w:color="888888"/>
              <w:right w:val="single" w:sz="4" w:color="888888"/>
            </w:tcBorders>
          </w:tcPr>
          <w:p>
            <w:r/>
            <w:r>
              <w:rPr>
                <w:sz w:val="18"/>
              </w:rPr>
              <w:t>Sarcomatoid disease subgroup</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Recognised IO-responsive subgroup not reported.</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T-30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PD-L1 × IMDC favourable-risk interactions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PD-L1+ favourable-risk fully redacted.</w:t>
            </w:r>
          </w:p>
        </w:tc>
      </w:tr>
      <w:tr>
        <w:tc>
          <w:tcPr>
            <w:tcW w:w="600" w:type="dxa"/>
            <w:tcBorders>
              <w:top w:val="single" w:sz="4" w:color="888888"/>
              <w:left w:val="single" w:sz="4" w:color="888888"/>
              <w:bottom w:val="single" w:sz="4" w:color="888888"/>
              <w:right w:val="single" w:sz="4" w:color="888888"/>
            </w:tcBorders>
          </w:tcPr>
          <w:p>
            <w:r/>
            <w:r>
              <w:rPr>
                <w:sz w:val="18"/>
              </w:rPr>
              <w:t>T-31</w:t>
            </w:r>
          </w:p>
        </w:tc>
        <w:tc>
          <w:tcPr>
            <w:tcW w:w="3000" w:type="dxa"/>
            <w:tcBorders>
              <w:top w:val="single" w:sz="4" w:color="888888"/>
              <w:left w:val="single" w:sz="4" w:color="888888"/>
              <w:bottom w:val="single" w:sz="4" w:color="888888"/>
              <w:right w:val="single" w:sz="4" w:color="888888"/>
            </w:tcBorders>
          </w:tcPr>
          <w:p>
            <w:r/>
            <w:r>
              <w:rPr>
                <w:sz w:val="18"/>
              </w:rPr>
              <w:t>Intermediate vs poor risk separated (post-hoc pooling)</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Need disaggregation of pooled subgroup; expected survival 24.1 vs 10.2 months differs materially.</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T-32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RDI by IMDC subgroup, dose modifications and cumulative dose</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RDI applied is ITT-derived in favourable-risk base case.</w:t>
            </w:r>
          </w:p>
        </w:tc>
      </w:tr>
      <w:tr>
        <w:tc>
          <w:tcPr>
            <w:tcW w:w="600" w:type="dxa"/>
            <w:tcBorders>
              <w:top w:val="single" w:sz="4" w:color="888888"/>
              <w:left w:val="single" w:sz="4" w:color="888888"/>
              <w:bottom w:val="single" w:sz="4" w:color="888888"/>
              <w:right w:val="single" w:sz="4" w:color="888888"/>
            </w:tcBorders>
          </w:tcPr>
          <w:p>
            <w:r/>
            <w:r>
              <w:rPr>
                <w:sz w:val="18"/>
              </w:rPr>
              <w:t>T-33</w:t>
            </w:r>
          </w:p>
        </w:tc>
        <w:tc>
          <w:tcPr>
            <w:tcW w:w="3000" w:type="dxa"/>
            <w:tcBorders>
              <w:top w:val="single" w:sz="4" w:color="888888"/>
              <w:left w:val="single" w:sz="4" w:color="888888"/>
              <w:bottom w:val="single" w:sz="4" w:color="888888"/>
              <w:right w:val="single" w:sz="4" w:color="888888"/>
            </w:tcBorders>
          </w:tcPr>
          <w:p>
            <w:r/>
            <w:r>
              <w:rPr>
                <w:sz w:val="18"/>
              </w:rPr>
              <w:t>Treatment-related discontinuation patterns (avelumab vs axitinib alone vs both)</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Differential discontinuation impacts cost and effectiveness; partial discontinuation common.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T-34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Immune-related AEs, corticosteroid use, long-term endocrine sequelae</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One-off £801 AE cost may not capture lifelong irAE management.</w:t>
            </w:r>
          </w:p>
        </w:tc>
      </w:tr>
      <w:tr>
        <w:tc>
          <w:tcPr>
            <w:tcW w:w="600" w:type="dxa"/>
            <w:tcBorders>
              <w:top w:val="single" w:sz="4" w:color="888888"/>
              <w:left w:val="single" w:sz="4" w:color="888888"/>
              <w:bottom w:val="single" w:sz="4" w:color="888888"/>
              <w:right w:val="single" w:sz="4" w:color="888888"/>
            </w:tcBorders>
          </w:tcPr>
          <w:p>
            <w:r/>
            <w:r>
              <w:rPr>
                <w:sz w:val="18"/>
              </w:rPr>
              <w:t>T-35</w:t>
            </w:r>
          </w:p>
        </w:tc>
        <w:tc>
          <w:tcPr>
            <w:tcW w:w="3000" w:type="dxa"/>
            <w:tcBorders>
              <w:top w:val="single" w:sz="4" w:color="888888"/>
              <w:left w:val="single" w:sz="4" w:color="888888"/>
              <w:bottom w:val="single" w:sz="4" w:color="888888"/>
              <w:right w:val="single" w:sz="4" w:color="888888"/>
            </w:tcBorders>
          </w:tcPr>
          <w:p>
            <w:r/>
            <w:r>
              <w:rPr>
                <w:sz w:val="18"/>
              </w:rPr>
              <w:t>Cardiac toxicity signal (redacted)</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Unredact cardiac TEAEs including EF decreased, troponin T elevation.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T-36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EQ-5D timing artefact in sunitinib arm (off-treatment week sampling)</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Submission acknowledges artefact but does not adjust.</w:t>
            </w:r>
          </w:p>
        </w:tc>
      </w:tr>
      <w:tr>
        <w:tc>
          <w:tcPr>
            <w:tcW w:w="600" w:type="dxa"/>
            <w:tcBorders>
              <w:top w:val="single" w:sz="4" w:color="888888"/>
              <w:left w:val="single" w:sz="4" w:color="888888"/>
              <w:bottom w:val="single" w:sz="4" w:color="888888"/>
              <w:right w:val="single" w:sz="4" w:color="888888"/>
            </w:tcBorders>
          </w:tcPr>
          <w:p>
            <w:r/>
            <w:r>
              <w:rPr>
                <w:sz w:val="18"/>
              </w:rPr>
              <w:t>T-37</w:t>
            </w:r>
          </w:p>
        </w:tc>
        <w:tc>
          <w:tcPr>
            <w:tcW w:w="3000" w:type="dxa"/>
            <w:tcBorders>
              <w:top w:val="single" w:sz="4" w:color="888888"/>
              <w:left w:val="single" w:sz="4" w:color="888888"/>
              <w:bottom w:val="single" w:sz="4" w:color="888888"/>
              <w:right w:val="single" w:sz="4" w:color="888888"/>
            </w:tcBorders>
          </w:tcPr>
          <w:p>
            <w:r/>
            <w:r>
              <w:rPr>
                <w:sz w:val="18"/>
              </w:rPr>
              <w:t>NMA composition — proportional hazards and inclusion criteria</w:t>
            </w:r>
          </w:p>
        </w:tc>
        <w:tc>
          <w:tcPr>
            <w:tcW w:w="1280" w:type="dxa"/>
            <w:tcBorders>
              <w:top w:val="single" w:sz="4" w:color="888888"/>
              <w:left w:val="single" w:sz="4" w:color="888888"/>
              <w:bottom w:val="single" w:sz="4" w:color="888888"/>
              <w:right w:val="single" w:sz="4" w:color="888888"/>
            </w:tcBorders>
          </w:tcPr>
          <w:p>
            <w:r/>
            <w:r>
              <w:rPr>
                <w:sz w:val="18"/>
              </w:rPr>
              <w:t>[CLIN], [STAT], [INFO]</w:t>
            </w:r>
          </w:p>
        </w:tc>
        <w:tc>
          <w:tcPr>
            <w:tcW w:w="8800" w:type="dxa"/>
            <w:tcBorders>
              <w:top w:val="single" w:sz="4" w:color="888888"/>
              <w:left w:val="single" w:sz="4" w:color="888888"/>
              <w:bottom w:val="single" w:sz="4" w:color="888888"/>
              <w:right w:val="single" w:sz="4" w:color="888888"/>
            </w:tcBorders>
          </w:tcPr>
          <w:p>
            <w:r/>
            <w:r>
              <w:rPr>
                <w:sz w:val="18"/>
              </w:rPr>
              <w:t>Network heterogeneity, KEYNOTE-426 exclusion.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T-38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Fixed-effects vs random-effects in single-study-per-edge network</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 [INFO]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DIC essentially identical; FE under-represents uncertainty.</w:t>
            </w:r>
          </w:p>
        </w:tc>
      </w:tr>
      <w:tr>
        <w:tc>
          <w:tcPr>
            <w:tcW w:w="600" w:type="dxa"/>
            <w:tcBorders>
              <w:top w:val="single" w:sz="4" w:color="888888"/>
              <w:left w:val="single" w:sz="4" w:color="888888"/>
              <w:bottom w:val="single" w:sz="4" w:color="888888"/>
              <w:right w:val="single" w:sz="4" w:color="888888"/>
            </w:tcBorders>
          </w:tcPr>
          <w:p>
            <w:r/>
            <w:r>
              <w:rPr>
                <w:sz w:val="18"/>
              </w:rPr>
              <w:t>T-39</w:t>
            </w:r>
          </w:p>
        </w:tc>
        <w:tc>
          <w:tcPr>
            <w:tcW w:w="3000" w:type="dxa"/>
            <w:tcBorders>
              <w:top w:val="single" w:sz="4" w:color="888888"/>
              <w:left w:val="single" w:sz="4" w:color="888888"/>
              <w:bottom w:val="single" w:sz="4" w:color="888888"/>
              <w:right w:val="single" w:sz="4" w:color="888888"/>
            </w:tcBorders>
          </w:tcPr>
          <w:p>
            <w:r/>
            <w:r>
              <w:rPr>
                <w:sz w:val="18"/>
              </w:rPr>
              <w:t>Severity / QALY shortfall by IMDC subgroup</w:t>
            </w:r>
          </w:p>
        </w:tc>
        <w:tc>
          <w:tcPr>
            <w:tcW w:w="1280" w:type="dxa"/>
            <w:tcBorders>
              <w:top w:val="single" w:sz="4" w:color="888888"/>
              <w:left w:val="single" w:sz="4" w:color="888888"/>
              <w:bottom w:val="single" w:sz="4" w:color="888888"/>
              <w:right w:val="single" w:sz="4" w:color="888888"/>
            </w:tcBorders>
          </w:tcPr>
          <w:p>
            <w:r/>
            <w:r>
              <w:rPr>
                <w:sz w:val="18"/>
              </w:rPr>
              <w:t>[CLIN], [HE]</w:t>
            </w:r>
          </w:p>
        </w:tc>
        <w:tc>
          <w:tcPr>
            <w:tcW w:w="8800" w:type="dxa"/>
            <w:tcBorders>
              <w:top w:val="single" w:sz="4" w:color="888888"/>
              <w:left w:val="single" w:sz="4" w:color="888888"/>
              <w:bottom w:val="single" w:sz="4" w:color="888888"/>
              <w:right w:val="single" w:sz="4" w:color="888888"/>
            </w:tcBorders>
          </w:tcPr>
          <w:p>
            <w:r/>
            <w:r>
              <w:rPr>
                <w:sz w:val="18"/>
              </w:rPr>
              <w:t>Severity may apply differently in poor-risk.</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T-40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Equality considerations and protected characteristics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Equity framed around regional commissioning, not protected characteristics.</w:t>
            </w:r>
          </w:p>
        </w:tc>
      </w:tr>
      <w:tr>
        <w:tc>
          <w:tcPr>
            <w:tcW w:w="600" w:type="dxa"/>
            <w:tcBorders>
              <w:top w:val="single" w:sz="4" w:color="888888"/>
              <w:left w:val="single" w:sz="4" w:color="888888"/>
              <w:bottom w:val="single" w:sz="4" w:color="888888"/>
              <w:right w:val="single" w:sz="4" w:color="888888"/>
            </w:tcBorders>
          </w:tcPr>
          <w:p>
            <w:r/>
            <w:r>
              <w:rPr>
                <w:sz w:val="18"/>
              </w:rPr>
              <w:t>T-41</w:t>
            </w:r>
          </w:p>
        </w:tc>
        <w:tc>
          <w:tcPr>
            <w:tcW w:w="3000" w:type="dxa"/>
            <w:tcBorders>
              <w:top w:val="single" w:sz="4" w:color="888888"/>
              <w:left w:val="single" w:sz="4" w:color="888888"/>
              <w:bottom w:val="single" w:sz="4" w:color="888888"/>
              <w:right w:val="single" w:sz="4" w:color="888888"/>
            </w:tcBorders>
          </w:tcPr>
          <w:p>
            <w:r/>
            <w:r>
              <w:rPr>
                <w:sz w:val="18"/>
              </w:rPr>
              <w:t>AVION and other ongoing studies</w:t>
            </w:r>
          </w:p>
        </w:tc>
        <w:tc>
          <w:tcPr>
            <w:tcW w:w="1280" w:type="dxa"/>
            <w:tcBorders>
              <w:top w:val="single" w:sz="4" w:color="888888"/>
              <w:left w:val="single" w:sz="4" w:color="888888"/>
              <w:bottom w:val="single" w:sz="4" w:color="888888"/>
              <w:right w:val="single" w:sz="4" w:color="888888"/>
            </w:tcBorders>
          </w:tcPr>
          <w:p>
            <w:r/>
            <w:r>
              <w:rPr>
                <w:sz w:val="18"/>
              </w:rPr>
              <w:t>[CLIN]</w:t>
            </w:r>
          </w:p>
        </w:tc>
        <w:tc>
          <w:tcPr>
            <w:tcW w:w="8800" w:type="dxa"/>
            <w:tcBorders>
              <w:top w:val="single" w:sz="4" w:color="888888"/>
              <w:left w:val="single" w:sz="4" w:color="888888"/>
              <w:bottom w:val="single" w:sz="4" w:color="888888"/>
              <w:right w:val="single" w:sz="4" w:color="888888"/>
            </w:tcBorders>
          </w:tcPr>
          <w:p>
            <w:r/>
            <w:r>
              <w:rPr>
                <w:sz w:val="18"/>
              </w:rPr>
              <w:t>Future data cuts and Phase 4 commitments.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T-42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TTD curves — clinical plausibility and joint sampling</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TTD modelled independently for avelumab and axitinib; correlation in trial 93%.</w:t>
            </w:r>
          </w:p>
        </w:tc>
      </w:tr>
      <w:tr>
        <w:tc>
          <w:tcPr>
            <w:tcW w:w="600" w:type="dxa"/>
            <w:tcBorders>
              <w:top w:val="single" w:sz="4" w:color="888888"/>
              <w:left w:val="single" w:sz="4" w:color="888888"/>
              <w:bottom w:val="single" w:sz="4" w:color="888888"/>
              <w:right w:val="single" w:sz="4" w:color="888888"/>
            </w:tcBorders>
          </w:tcPr>
          <w:p>
            <w:r/>
            <w:r>
              <w:rPr>
                <w:sz w:val="18"/>
              </w:rPr>
              <w:t>T-43</w:t>
            </w:r>
          </w:p>
        </w:tc>
        <w:tc>
          <w:tcPr>
            <w:tcW w:w="3000" w:type="dxa"/>
            <w:tcBorders>
              <w:top w:val="single" w:sz="4" w:color="888888"/>
              <w:left w:val="single" w:sz="4" w:color="888888"/>
              <w:bottom w:val="single" w:sz="4" w:color="888888"/>
              <w:right w:val="single" w:sz="4" w:color="888888"/>
            </w:tcBorders>
          </w:tcPr>
          <w:p>
            <w:r/>
            <w:r>
              <w:rPr>
                <w:sz w:val="18"/>
              </w:rPr>
              <w:t>Avelumab stopping rule (2-year cap)</w:t>
            </w:r>
          </w:p>
        </w:tc>
        <w:tc>
          <w:tcPr>
            <w:tcW w:w="1280" w:type="dxa"/>
            <w:tcBorders>
              <w:top w:val="single" w:sz="4" w:color="888888"/>
              <w:left w:val="single" w:sz="4" w:color="888888"/>
              <w:bottom w:val="single" w:sz="4" w:color="888888"/>
              <w:right w:val="single" w:sz="4" w:color="888888"/>
            </w:tcBorders>
          </w:tcPr>
          <w:p>
            <w:r/>
            <w:r>
              <w:rPr>
                <w:sz w:val="18"/>
              </w:rPr>
              <w:t>[CLIN], [HE]</w:t>
            </w:r>
          </w:p>
        </w:tc>
        <w:tc>
          <w:tcPr>
            <w:tcW w:w="8800" w:type="dxa"/>
            <w:tcBorders>
              <w:top w:val="single" w:sz="4" w:color="888888"/>
              <w:left w:val="single" w:sz="4" w:color="888888"/>
              <w:bottom w:val="single" w:sz="4" w:color="888888"/>
              <w:right w:val="single" w:sz="4" w:color="888888"/>
            </w:tcBorders>
          </w:tcPr>
          <w:p>
            <w:r/>
            <w:r>
              <w:rPr>
                <w:sz w:val="18"/>
              </w:rPr>
              <w:t>TA858/TA964 precedent for IO stopping rules; need scenario.</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T-44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SACT real-world OS vs JAVELIN OS — external validation</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[CLIN], [STAT], [HE]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RWE discordance with extrapolation; UK real-world should be primary check on plausibility.</w:t>
            </w:r>
          </w:p>
        </w:tc>
      </w:tr>
      <w:tr>
        <w:tc>
          <w:tcPr>
            <w:tcW w:w="600" w:type="dxa"/>
            <w:tcBorders>
              <w:top w:val="single" w:sz="4" w:color="888888"/>
              <w:left w:val="single" w:sz="4" w:color="888888"/>
              <w:bottom w:val="single" w:sz="4" w:color="888888"/>
              <w:right w:val="single" w:sz="4" w:color="888888"/>
            </w:tcBorders>
          </w:tcPr>
          <w:p>
            <w:r/>
            <w:r>
              <w:rPr>
                <w:sz w:val="18"/>
              </w:rPr>
              <w:t>T-45</w:t>
            </w:r>
          </w:p>
        </w:tc>
        <w:tc>
          <w:tcPr>
            <w:tcW w:w="3000" w:type="dxa"/>
            <w:tcBorders>
              <w:top w:val="single" w:sz="4" w:color="888888"/>
              <w:left w:val="single" w:sz="4" w:color="888888"/>
              <w:bottom w:val="single" w:sz="4" w:color="888888"/>
              <w:right w:val="single" w:sz="4" w:color="888888"/>
            </w:tcBorders>
          </w:tcPr>
          <w:p>
            <w:r/>
            <w:r>
              <w:rPr>
                <w:sz w:val="18"/>
              </w:rPr>
              <w:t>Consolidated unredacted academic-in-confidence appendix</w:t>
            </w:r>
          </w:p>
        </w:tc>
        <w:tc>
          <w:tcPr>
            <w:tcW w:w="1280" w:type="dxa"/>
            <w:tcBorders>
              <w:top w:val="single" w:sz="4" w:color="888888"/>
              <w:left w:val="single" w:sz="4" w:color="888888"/>
              <w:bottom w:val="single" w:sz="4" w:color="888888"/>
              <w:right w:val="single" w:sz="4" w:color="888888"/>
            </w:tcBorders>
          </w:tcPr>
          <w:p>
            <w:r/>
            <w:r>
              <w:rPr>
                <w:sz w:val="18"/>
              </w:rPr>
              <w:t>[CLIN], [HE]</w:t>
            </w:r>
          </w:p>
        </w:tc>
        <w:tc>
          <w:tcPr>
            <w:tcW w:w="8800" w:type="dxa"/>
            <w:tcBorders>
              <w:top w:val="single" w:sz="4" w:color="888888"/>
              <w:left w:val="single" w:sz="4" w:color="888888"/>
              <w:bottom w:val="single" w:sz="4" w:color="888888"/>
              <w:right w:val="single" w:sz="4" w:color="888888"/>
            </w:tcBorders>
          </w:tcPr>
          <w:p>
            <w:r/>
            <w:r>
              <w:rPr>
                <w:sz w:val="18"/>
              </w:rPr>
              <w:t>Volume of redactions in public submission is exceptional.</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T-46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PSA instability of generalised gamma sunitinib OS extrapolation</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[STAT], [HE]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"Unrealistic extrapolations" admitted in B.3.9.1; inflates comparator LY in PSA.</w:t>
            </w:r>
          </w:p>
        </w:tc>
      </w:tr>
      <w:tr>
        <w:tc>
          <w:tcPr>
            <w:tcW w:w="600" w:type="dxa"/>
            <w:tcBorders>
              <w:top w:val="single" w:sz="4" w:color="888888"/>
              <w:left w:val="single" w:sz="4" w:color="888888"/>
              <w:bottom w:val="single" w:sz="4" w:color="888888"/>
              <w:right w:val="single" w:sz="4" w:color="888888"/>
            </w:tcBorders>
          </w:tcPr>
          <w:p>
            <w:r/>
            <w:r>
              <w:rPr>
                <w:sz w:val="18"/>
              </w:rPr>
              <w:t>T-47</w:t>
            </w:r>
          </w:p>
        </w:tc>
        <w:tc>
          <w:tcPr>
            <w:tcW w:w="3000" w:type="dxa"/>
            <w:tcBorders>
              <w:top w:val="single" w:sz="4" w:color="888888"/>
              <w:left w:val="single" w:sz="4" w:color="888888"/>
              <w:bottom w:val="single" w:sz="4" w:color="888888"/>
              <w:right w:val="single" w:sz="4" w:color="888888"/>
            </w:tcBorders>
          </w:tcPr>
          <w:p>
            <w:r/>
            <w:r>
              <w:rPr>
                <w:sz w:val="18"/>
              </w:rPr>
              <w:t>Curve crossing OS / PFS — long-term plausibility</w:t>
            </w:r>
          </w:p>
        </w:tc>
        <w:tc>
          <w:tcPr>
            <w:tcW w:w="1280" w:type="dxa"/>
            <w:tcBorders>
              <w:top w:val="single" w:sz="4" w:color="888888"/>
              <w:left w:val="single" w:sz="4" w:color="888888"/>
              <w:bottom w:val="single" w:sz="4" w:color="888888"/>
              <w:right w:val="single" w:sz="4" w:color="888888"/>
            </w:tcBorders>
          </w:tcPr>
          <w:p>
            <w:r/>
            <w:r>
              <w:rPr>
                <w:sz w:val="18"/>
              </w:rPr>
              <w:t>[STAT], [HE]</w:t>
            </w:r>
          </w:p>
        </w:tc>
        <w:tc>
          <w:tcPr>
            <w:tcW w:w="8800" w:type="dxa"/>
            <w:tcBorders>
              <w:top w:val="single" w:sz="4" w:color="888888"/>
              <w:left w:val="single" w:sz="4" w:color="888888"/>
              <w:bottom w:val="single" w:sz="4" w:color="888888"/>
              <w:right w:val="single" w:sz="4" w:color="888888"/>
            </w:tcBorders>
          </w:tcPr>
          <w:p>
            <w:r/>
            <w:r>
              <w:rPr>
                <w:sz w:val="18"/>
              </w:rPr>
              <w:t>Modelled HR may reverse over horizon under independent extrapolation.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T-48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MCMC convergence diagnostics for NMA</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[STAT], [INFO]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R-hat, ESS, trace plots not reported.</w:t>
            </w:r>
          </w:p>
        </w:tc>
      </w:tr>
      <w:tr>
        <w:tc>
          <w:tcPr>
            <w:tcW w:w="600" w:type="dxa"/>
            <w:tcBorders>
              <w:top w:val="single" w:sz="4" w:color="888888"/>
              <w:left w:val="single" w:sz="4" w:color="888888"/>
              <w:bottom w:val="single" w:sz="4" w:color="888888"/>
              <w:right w:val="single" w:sz="4" w:color="888888"/>
            </w:tcBorders>
          </w:tcPr>
          <w:p>
            <w:r/>
            <w:r>
              <w:rPr>
                <w:sz w:val="18"/>
              </w:rPr>
              <w:t>T-49</w:t>
            </w:r>
          </w:p>
        </w:tc>
        <w:tc>
          <w:tcPr>
            <w:tcW w:w="3000" w:type="dxa"/>
            <w:tcBorders>
              <w:top w:val="single" w:sz="4" w:color="888888"/>
              <w:left w:val="single" w:sz="4" w:color="888888"/>
              <w:bottom w:val="single" w:sz="4" w:color="888888"/>
              <w:right w:val="single" w:sz="4" w:color="888888"/>
            </w:tcBorders>
          </w:tcPr>
          <w:p>
            <w:r/>
            <w:r>
              <w:rPr>
                <w:sz w:val="18"/>
              </w:rPr>
              <w:t>Power for favourable-risk OS comparison</w:t>
            </w:r>
          </w:p>
        </w:tc>
        <w:tc>
          <w:tcPr>
            <w:tcW w:w="1280" w:type="dxa"/>
            <w:tcBorders>
              <w:top w:val="single" w:sz="4" w:color="888888"/>
              <w:left w:val="single" w:sz="4" w:color="888888"/>
              <w:bottom w:val="single" w:sz="4" w:color="888888"/>
              <w:right w:val="single" w:sz="4" w:color="888888"/>
            </w:tcBorders>
          </w:tcPr>
          <w:p>
            <w:r/>
            <w:r>
              <w:rPr>
                <w:sz w:val="18"/>
              </w:rPr>
              <w:t>[STAT]</w:t>
            </w:r>
          </w:p>
        </w:tc>
        <w:tc>
          <w:tcPr>
            <w:tcW w:w="8800" w:type="dxa"/>
            <w:tcBorders>
              <w:top w:val="single" w:sz="4" w:color="888888"/>
              <w:left w:val="single" w:sz="4" w:color="888888"/>
              <w:bottom w:val="single" w:sz="4" w:color="888888"/>
              <w:right w:val="single" w:sz="4" w:color="888888"/>
            </w:tcBorders>
          </w:tcPr>
          <w:p>
            <w:r/>
            <w:r>
              <w:rPr>
                <w:sz w:val="18"/>
              </w:rPr>
              <w:t>Subgroup not powered for OS difference; HR 0.73 p=0.13.</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T-50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Cholesky / joint sampling of PSM parameters in PSA</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[STAT]</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Independent draws break correlation structure of survival models.</w:t>
            </w:r>
          </w:p>
        </w:tc>
      </w:tr>
      <w:tr>
        <w:tc>
          <w:tcPr>
            <w:tcW w:w="600" w:type="dxa"/>
            <w:tcBorders>
              <w:top w:val="single" w:sz="4" w:color="888888"/>
              <w:left w:val="single" w:sz="4" w:color="888888"/>
              <w:bottom w:val="single" w:sz="4" w:color="888888"/>
              <w:right w:val="single" w:sz="4" w:color="888888"/>
            </w:tcBorders>
          </w:tcPr>
          <w:p>
            <w:r/>
            <w:r>
              <w:rPr>
                <w:sz w:val="18"/>
              </w:rPr>
              <w:t>T-51</w:t>
            </w:r>
          </w:p>
        </w:tc>
        <w:tc>
          <w:tcPr>
            <w:tcW w:w="3000" w:type="dxa"/>
            <w:tcBorders>
              <w:top w:val="single" w:sz="4" w:color="888888"/>
              <w:left w:val="single" w:sz="4" w:color="888888"/>
              <w:bottom w:val="single" w:sz="4" w:color="888888"/>
              <w:right w:val="single" w:sz="4" w:color="888888"/>
            </w:tcBorders>
          </w:tcPr>
          <w:p>
            <w:r/>
            <w:r>
              <w:rPr>
                <w:sz w:val="18"/>
              </w:rPr>
              <w:t>PSA stopping criterion / iteration adequacy</w:t>
            </w:r>
          </w:p>
        </w:tc>
        <w:tc>
          <w:tcPr>
            <w:tcW w:w="1280" w:type="dxa"/>
            <w:tcBorders>
              <w:top w:val="single" w:sz="4" w:color="888888"/>
              <w:left w:val="single" w:sz="4" w:color="888888"/>
              <w:bottom w:val="single" w:sz="4" w:color="888888"/>
              <w:right w:val="single" w:sz="4" w:color="888888"/>
            </w:tcBorders>
          </w:tcPr>
          <w:p>
            <w:r/>
            <w:r>
              <w:rPr>
                <w:sz w:val="18"/>
              </w:rPr>
              <w:t>[STAT], [HE]</w:t>
            </w:r>
          </w:p>
        </w:tc>
        <w:tc>
          <w:tcPr>
            <w:tcW w:w="8800" w:type="dxa"/>
            <w:tcBorders>
              <w:top w:val="single" w:sz="4" w:color="888888"/>
              <w:left w:val="single" w:sz="4" w:color="888888"/>
              <w:bottom w:val="single" w:sz="4" w:color="888888"/>
              <w:right w:val="single" w:sz="4" w:color="888888"/>
            </w:tcBorders>
          </w:tcPr>
          <w:p>
            <w:r/>
            <w:r>
              <w:rPr>
                <w:sz w:val="18"/>
              </w:rPr>
              <w:t>Running mean and INMB half-width vs iteration not reported.</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T-52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Executable model, unprotected, R/Stata scripts, user guide vs TA645</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NICE PMG36 requires reproducibility; changelog vs prior submission.</w:t>
            </w:r>
          </w:p>
        </w:tc>
      </w:tr>
      <w:tr>
        <w:tc>
          <w:tcPr>
            <w:tcW w:w="600" w:type="dxa"/>
            <w:tcBorders>
              <w:top w:val="single" w:sz="4" w:color="888888"/>
              <w:left w:val="single" w:sz="4" w:color="888888"/>
              <w:bottom w:val="single" w:sz="4" w:color="888888"/>
              <w:right w:val="single" w:sz="4" w:color="888888"/>
            </w:tcBorders>
          </w:tcPr>
          <w:p>
            <w:r/>
            <w:r>
              <w:rPr>
                <w:sz w:val="18"/>
              </w:rPr>
              <w:t>T-53</w:t>
            </w:r>
          </w:p>
        </w:tc>
        <w:tc>
          <w:tcPr>
            <w:tcW w:w="3000" w:type="dxa"/>
            <w:tcBorders>
              <w:top w:val="single" w:sz="4" w:color="888888"/>
              <w:left w:val="single" w:sz="4" w:color="888888"/>
              <w:bottom w:val="single" w:sz="4" w:color="888888"/>
              <w:right w:val="single" w:sz="4" w:color="888888"/>
            </w:tcBorders>
          </w:tcPr>
          <w:p>
            <w:r/>
            <w:r>
              <w:rPr>
                <w:sz w:val="18"/>
              </w:rPr>
              <w:t>Partitioned survival vs state-transition structure</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DSU TSD 19 cross-check; PFS-OS independence not validated.</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T-54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Half-cycle correction</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Standard practice test not done despite 40-year horizon.</w:t>
            </w:r>
          </w:p>
        </w:tc>
      </w:tr>
      <w:tr>
        <w:tc>
          <w:tcPr>
            <w:tcW w:w="600" w:type="dxa"/>
            <w:tcBorders>
              <w:top w:val="single" w:sz="4" w:color="888888"/>
              <w:left w:val="single" w:sz="4" w:color="888888"/>
              <w:bottom w:val="single" w:sz="4" w:color="888888"/>
              <w:right w:val="single" w:sz="4" w:color="888888"/>
            </w:tcBorders>
          </w:tcPr>
          <w:p>
            <w:r/>
            <w:r>
              <w:rPr>
                <w:sz w:val="18"/>
              </w:rPr>
              <w:t>T-55</w:t>
            </w:r>
          </w:p>
        </w:tc>
        <w:tc>
          <w:tcPr>
            <w:tcW w:w="3000" w:type="dxa"/>
            <w:tcBorders>
              <w:top w:val="single" w:sz="4" w:color="888888"/>
              <w:left w:val="single" w:sz="4" w:color="888888"/>
              <w:bottom w:val="single" w:sz="4" w:color="888888"/>
              <w:right w:val="single" w:sz="4" w:color="888888"/>
            </w:tcBorders>
          </w:tcPr>
          <w:p>
            <w:r/>
            <w:r>
              <w:rPr>
                <w:sz w:val="18"/>
              </w:rPr>
              <w:t>General-population mortality cap source and binding cycle</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Life table source and algebra; cap-binding cycle not transparent.</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T-56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TTD vs PFS coherence — patients on treatment beyond progression</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 [STAT]</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Generalised gamma TTD tail may imply on-treatment beyond progression.</w:t>
            </w:r>
          </w:p>
        </w:tc>
      </w:tr>
      <w:tr>
        <w:tc>
          <w:tcPr>
            <w:tcW w:w="600" w:type="dxa"/>
            <w:tcBorders>
              <w:top w:val="single" w:sz="4" w:color="888888"/>
              <w:left w:val="single" w:sz="4" w:color="888888"/>
              <w:bottom w:val="single" w:sz="4" w:color="888888"/>
              <w:right w:val="single" w:sz="4" w:color="888888"/>
            </w:tcBorders>
          </w:tcPr>
          <w:p>
            <w:r/>
            <w:r>
              <w:rPr>
                <w:sz w:val="18"/>
              </w:rPr>
              <w:t>T-57</w:t>
            </w:r>
          </w:p>
        </w:tc>
        <w:tc>
          <w:tcPr>
            <w:tcW w:w="3000" w:type="dxa"/>
            <w:tcBorders>
              <w:top w:val="single" w:sz="4" w:color="888888"/>
              <w:left w:val="single" w:sz="4" w:color="888888"/>
              <w:bottom w:val="single" w:sz="4" w:color="888888"/>
              <w:right w:val="single" w:sz="4" w:color="888888"/>
            </w:tcBorders>
          </w:tcPr>
          <w:p>
            <w:r/>
            <w:r>
              <w:rPr>
                <w:sz w:val="18"/>
              </w:rPr>
              <w:t>AE rate equivalence between TKIs (sunitinib = tivozanib = pazopanib)</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TIVO-1, COMPARZ specific AE profiles ignored by single-AE-cost assumption.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T-58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Age adjustment of utilities (Ara &amp; Brazier) — recalculation per cycle</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Time-varying baseline; unclear whether multiplier recalculated cycle-by-cycle.</w:t>
            </w:r>
          </w:p>
        </w:tc>
      </w:tr>
      <w:tr>
        <w:tc>
          <w:tcPr>
            <w:tcW w:w="600" w:type="dxa"/>
            <w:tcBorders>
              <w:top w:val="single" w:sz="4" w:color="888888"/>
              <w:left w:val="single" w:sz="4" w:color="888888"/>
              <w:bottom w:val="single" w:sz="4" w:color="888888"/>
              <w:right w:val="single" w:sz="4" w:color="888888"/>
            </w:tcBorders>
          </w:tcPr>
          <w:p>
            <w:r/>
            <w:r>
              <w:rPr>
                <w:sz w:val="18"/>
              </w:rPr>
              <w:t>T-59</w:t>
            </w:r>
          </w:p>
        </w:tc>
        <w:tc>
          <w:tcPr>
            <w:tcW w:w="3000" w:type="dxa"/>
            <w:tcBorders>
              <w:top w:val="single" w:sz="4" w:color="888888"/>
              <w:left w:val="single" w:sz="4" w:color="888888"/>
              <w:bottom w:val="single" w:sz="4" w:color="888888"/>
              <w:right w:val="single" w:sz="4" w:color="888888"/>
            </w:tcBorders>
          </w:tcPr>
          <w:p>
            <w:r/>
            <w:r>
              <w:rPr>
                <w:sz w:val="18"/>
              </w:rPr>
              <w:t>AE disutility exclusion — six-weekly EQ-5D capture window</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Transient AEs may not be captured by EQ-5D every 6 weeks.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T-60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Cross-TA utility consistency (TA417, TA858, TA964)</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Post-progression utility above prior precedent in long-tailed model.</w:t>
            </w:r>
          </w:p>
        </w:tc>
      </w:tr>
      <w:tr>
        <w:tc>
          <w:tcPr>
            <w:tcW w:w="600" w:type="dxa"/>
            <w:tcBorders>
              <w:top w:val="single" w:sz="4" w:color="888888"/>
              <w:left w:val="single" w:sz="4" w:color="888888"/>
              <w:bottom w:val="single" w:sz="4" w:color="888888"/>
              <w:right w:val="single" w:sz="4" w:color="888888"/>
            </w:tcBorders>
          </w:tcPr>
          <w:p>
            <w:r/>
            <w:r>
              <w:rPr>
                <w:sz w:val="18"/>
              </w:rPr>
              <w:t>T-61</w:t>
            </w:r>
          </w:p>
        </w:tc>
        <w:tc>
          <w:tcPr>
            <w:tcW w:w="3000" w:type="dxa"/>
            <w:tcBorders>
              <w:top w:val="single" w:sz="4" w:color="888888"/>
              <w:left w:val="single" w:sz="4" w:color="888888"/>
              <w:bottom w:val="single" w:sz="4" w:color="888888"/>
              <w:right w:val="single" w:sz="4" w:color="888888"/>
            </w:tcBorders>
          </w:tcPr>
          <w:p>
            <w:r/>
            <w:r>
              <w:rPr>
                <w:sz w:val="18"/>
              </w:rPr>
              <w:t>BNF / Reference Cost / PSSRU vintage inconsistency</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2021/22 vs 2022/23 reference cost mix across tables 64/67.</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T-62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Avelumab dosing schedule alternatives (Q2W vs Q3W)</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Within-licence dose sensitivity.</w:t>
            </w:r>
          </w:p>
        </w:tc>
      </w:tr>
      <w:tr>
        <w:tc>
          <w:tcPr>
            <w:tcW w:w="600" w:type="dxa"/>
            <w:tcBorders>
              <w:top w:val="single" w:sz="4" w:color="888888"/>
              <w:left w:val="single" w:sz="4" w:color="888888"/>
              <w:bottom w:val="single" w:sz="4" w:color="888888"/>
              <w:right w:val="single" w:sz="4" w:color="888888"/>
            </w:tcBorders>
          </w:tcPr>
          <w:p>
            <w:r/>
            <w:r>
              <w:rPr>
                <w:sz w:val="18"/>
              </w:rPr>
              <w:t>T-63</w:t>
            </w:r>
          </w:p>
        </w:tc>
        <w:tc>
          <w:tcPr>
            <w:tcW w:w="3000" w:type="dxa"/>
            <w:tcBorders>
              <w:top w:val="single" w:sz="4" w:color="888888"/>
              <w:left w:val="single" w:sz="4" w:color="888888"/>
              <w:bottom w:val="single" w:sz="4" w:color="888888"/>
              <w:right w:val="single" w:sz="4" w:color="888888"/>
            </w:tcBorders>
          </w:tcPr>
          <w:p>
            <w:r/>
            <w:r>
              <w:rPr>
                <w:sz w:val="18"/>
              </w:rPr>
              <w:t>Generic axitinib pricing assumption</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Decision must be on prices in force at time of guidance.</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T-64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Subsequent therapy dosing assumptions / TA542 TA498 vintage</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2018 mean TTD values applied to 2024–25 NHS practice.</w:t>
            </w:r>
          </w:p>
        </w:tc>
      </w:tr>
      <w:tr>
        <w:tc>
          <w:tcPr>
            <w:tcW w:w="600" w:type="dxa"/>
            <w:tcBorders>
              <w:top w:val="single" w:sz="4" w:color="888888"/>
              <w:left w:val="single" w:sz="4" w:color="888888"/>
              <w:bottom w:val="single" w:sz="4" w:color="888888"/>
              <w:right w:val="single" w:sz="4" w:color="888888"/>
            </w:tcBorders>
          </w:tcPr>
          <w:p>
            <w:r/>
            <w:r>
              <w:rPr>
                <w:sz w:val="18"/>
              </w:rPr>
              <w:t>T-65</w:t>
            </w:r>
          </w:p>
        </w:tc>
        <w:tc>
          <w:tcPr>
            <w:tcW w:w="3000" w:type="dxa"/>
            <w:tcBorders>
              <w:top w:val="single" w:sz="4" w:color="888888"/>
              <w:left w:val="single" w:sz="4" w:color="888888"/>
              <w:bottom w:val="single" w:sz="4" w:color="888888"/>
              <w:right w:val="single" w:sz="4" w:color="888888"/>
            </w:tcBorders>
          </w:tcPr>
          <w:p>
            <w:r/>
            <w:r>
              <w:rPr>
                <w:sz w:val="18"/>
              </w:rPr>
              <w:t>HCRU frequencies (TA581 2019 source)</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Pre-IO-era resource use; not validated for 2024 practice.</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T-66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End-of-life cost source (Round 2015)</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TA858/TA964 cross-TA consistency.</w:t>
            </w:r>
          </w:p>
        </w:tc>
      </w:tr>
      <w:tr>
        <w:tc>
          <w:tcPr>
            <w:tcW w:w="600" w:type="dxa"/>
            <w:tcBorders>
              <w:top w:val="single" w:sz="4" w:color="888888"/>
              <w:left w:val="single" w:sz="4" w:color="888888"/>
              <w:bottom w:val="single" w:sz="4" w:color="888888"/>
              <w:right w:val="single" w:sz="4" w:color="888888"/>
            </w:tcBorders>
          </w:tcPr>
          <w:p>
            <w:r/>
            <w:r>
              <w:rPr>
                <w:sz w:val="18"/>
              </w:rPr>
              <w:t>T-67</w:t>
            </w:r>
          </w:p>
        </w:tc>
        <w:tc>
          <w:tcPr>
            <w:tcW w:w="3000" w:type="dxa"/>
            <w:tcBorders>
              <w:top w:val="single" w:sz="4" w:color="888888"/>
              <w:left w:val="single" w:sz="4" w:color="888888"/>
              <w:bottom w:val="single" w:sz="4" w:color="888888"/>
              <w:right w:val="single" w:sz="4" w:color="888888"/>
            </w:tcBorders>
          </w:tcPr>
          <w:p>
            <w:r/>
            <w:r>
              <w:rPr>
                <w:sz w:val="18"/>
              </w:rPr>
              <w:t>Treatment-effect waning scenarios</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PMG36/TA858/TA964 precedent for waning; not modelled.</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T-68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Expanded OWSA tornados and parameter list</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Top 30 by INMB rather than top 10.</w:t>
            </w:r>
          </w:p>
        </w:tc>
      </w:tr>
      <w:tr>
        <w:tc>
          <w:tcPr>
            <w:tcW w:w="600" w:type="dxa"/>
            <w:tcBorders>
              <w:top w:val="single" w:sz="4" w:color="888888"/>
              <w:left w:val="single" w:sz="4" w:color="888888"/>
              <w:bottom w:val="single" w:sz="4" w:color="888888"/>
              <w:right w:val="single" w:sz="4" w:color="888888"/>
            </w:tcBorders>
          </w:tcPr>
          <w:p>
            <w:r/>
            <w:r>
              <w:rPr>
                <w:sz w:val="18"/>
              </w:rPr>
              <w:t>T-69</w:t>
            </w:r>
          </w:p>
        </w:tc>
        <w:tc>
          <w:tcPr>
            <w:tcW w:w="3000" w:type="dxa"/>
            <w:tcBorders>
              <w:top w:val="single" w:sz="4" w:color="888888"/>
              <w:left w:val="single" w:sz="4" w:color="888888"/>
              <w:bottom w:val="single" w:sz="4" w:color="888888"/>
              <w:right w:val="single" w:sz="4" w:color="888888"/>
            </w:tcBorders>
          </w:tcPr>
          <w:p>
            <w:r/>
            <w:r>
              <w:rPr>
                <w:sz w:val="18"/>
              </w:rPr>
              <w:t>CEAC values and PSA scatter at multiple thresholds</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Underlying probabilities not reported numerically.</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T-70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Discount rate scenarios (1.5% justification under PMG36)</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1.5% scenario shown without PMG36 severity/restoration caveats.</w:t>
            </w:r>
          </w:p>
        </w:tc>
      </w:tr>
      <w:tr>
        <w:tc>
          <w:tcPr>
            <w:tcW w:w="600" w:type="dxa"/>
            <w:tcBorders>
              <w:top w:val="single" w:sz="4" w:color="888888"/>
              <w:left w:val="single" w:sz="4" w:color="888888"/>
              <w:bottom w:val="single" w:sz="4" w:color="888888"/>
              <w:right w:val="single" w:sz="4" w:color="888888"/>
            </w:tcBorders>
          </w:tcPr>
          <w:p>
            <w:r/>
            <w:r>
              <w:rPr>
                <w:sz w:val="18"/>
              </w:rPr>
              <w:t>T-71</w:t>
            </w:r>
          </w:p>
        </w:tc>
        <w:tc>
          <w:tcPr>
            <w:tcW w:w="3000" w:type="dxa"/>
            <w:tcBorders>
              <w:top w:val="single" w:sz="4" w:color="888888"/>
              <w:left w:val="single" w:sz="4" w:color="888888"/>
              <w:bottom w:val="single" w:sz="4" w:color="888888"/>
              <w:right w:val="single" w:sz="4" w:color="888888"/>
            </w:tcBorders>
          </w:tcPr>
          <w:p>
            <w:r/>
            <w:r>
              <w:rPr>
                <w:sz w:val="18"/>
              </w:rPr>
              <w:t>Favourable-risk subgroup full uncertainty (PSA, OWSA, scenarios)</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AE rates ITT-derived in favourable-risk base case.</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T-72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Intermediate-/poor-risk subgroup full uncertainty (PSA, OWSA, scenarios)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Full uncertainty characterisation for seven comparators.</w:t>
            </w:r>
          </w:p>
        </w:tc>
      </w:tr>
      <w:tr>
        <w:tc>
          <w:tcPr>
            <w:tcW w:w="600" w:type="dxa"/>
            <w:tcBorders>
              <w:top w:val="single" w:sz="4" w:color="888888"/>
              <w:left w:val="single" w:sz="4" w:color="888888"/>
              <w:bottom w:val="single" w:sz="4" w:color="888888"/>
              <w:right w:val="single" w:sz="4" w:color="888888"/>
            </w:tcBorders>
          </w:tcPr>
          <w:p>
            <w:r/>
            <w:r>
              <w:rPr>
                <w:sz w:val="18"/>
              </w:rPr>
              <w:t>T-73</w:t>
            </w:r>
          </w:p>
        </w:tc>
        <w:tc>
          <w:tcPr>
            <w:tcW w:w="3000" w:type="dxa"/>
            <w:tcBorders>
              <w:top w:val="single" w:sz="4" w:color="888888"/>
              <w:left w:val="single" w:sz="4" w:color="888888"/>
              <w:bottom w:val="single" w:sz="4" w:color="888888"/>
              <w:right w:val="single" w:sz="4" w:color="888888"/>
            </w:tcBorders>
          </w:tcPr>
          <w:p>
            <w:r/>
            <w:r>
              <w:rPr>
                <w:sz w:val="18"/>
              </w:rPr>
              <w:t>ISPOR-SMDM model validation checklist and named experts</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Internal QC + 3 clinical consultations only; structured validation absent.</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T-74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Cross-TA comparison table vs TA645, TA858, TA964, TA780</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Identify methodological departures from precedent.</w:t>
            </w:r>
          </w:p>
        </w:tc>
      </w:tr>
      <w:tr>
        <w:tc>
          <w:tcPr>
            <w:tcW w:w="600" w:type="dxa"/>
            <w:tcBorders>
              <w:top w:val="single" w:sz="4" w:color="888888"/>
              <w:left w:val="single" w:sz="4" w:color="888888"/>
              <w:bottom w:val="single" w:sz="4" w:color="888888"/>
              <w:right w:val="single" w:sz="4" w:color="888888"/>
            </w:tcBorders>
          </w:tcPr>
          <w:p>
            <w:r/>
            <w:r>
              <w:rPr>
                <w:sz w:val="18"/>
              </w:rPr>
              <w:t>T-75</w:t>
            </w:r>
          </w:p>
        </w:tc>
        <w:tc>
          <w:tcPr>
            <w:tcW w:w="3000" w:type="dxa"/>
            <w:tcBorders>
              <w:top w:val="single" w:sz="4" w:color="888888"/>
              <w:left w:val="single" w:sz="4" w:color="888888"/>
              <w:bottom w:val="single" w:sz="4" w:color="888888"/>
              <w:right w:val="single" w:sz="4" w:color="888888"/>
            </w:tcBorders>
          </w:tcPr>
          <w:p>
            <w:r/>
            <w:r>
              <w:rPr>
                <w:sz w:val="18"/>
              </w:rPr>
              <w:t>Routine vs managed access — modality of recommendation</w:t>
            </w:r>
          </w:p>
        </w:tc>
        <w:tc>
          <w:tcPr>
            <w:tcW w:w="1280" w:type="dxa"/>
            <w:tcBorders>
              <w:top w:val="single" w:sz="4" w:color="888888"/>
              <w:left w:val="single" w:sz="4" w:color="888888"/>
              <w:bottom w:val="single" w:sz="4" w:color="888888"/>
              <w:right w:val="single" w:sz="4" w:color="888888"/>
            </w:tcBorders>
          </w:tcPr>
          <w:p>
            <w:r/>
            <w:r>
              <w:rPr>
                <w:sz w:val="18"/>
              </w:rPr>
              <w:t>[HE]</w:t>
            </w:r>
          </w:p>
        </w:tc>
        <w:tc>
          <w:tcPr>
            <w:tcW w:w="8800" w:type="dxa"/>
            <w:tcBorders>
              <w:top w:val="single" w:sz="4" w:color="888888"/>
              <w:left w:val="single" w:sz="4" w:color="888888"/>
              <w:bottom w:val="single" w:sz="4" w:color="888888"/>
              <w:right w:val="single" w:sz="4" w:color="888888"/>
            </w:tcBorders>
          </w:tcPr>
          <w:p>
            <w:r/>
            <w:r>
              <w:rPr>
                <w:sz w:val="18"/>
              </w:rPr>
              <w:t>CDF exit decision — what is the company asking for?</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T-76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Full results reproducibility cell-exact from submitted model</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[HE]</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PMG36 requirement; broader frame than the specific B11/B12 issues NICE caught.</w:t>
            </w:r>
          </w:p>
        </w:tc>
      </w:tr>
      <w:tr>
        <w:tc>
          <w:tcPr>
            <w:tcW w:w="600" w:type="dxa"/>
            <w:tcBorders>
              <w:top w:val="single" w:sz="4" w:color="888888"/>
              <w:left w:val="single" w:sz="4" w:color="888888"/>
              <w:bottom w:val="single" w:sz="4" w:color="888888"/>
              <w:right w:val="single" w:sz="4" w:color="888888"/>
            </w:tcBorders>
          </w:tcPr>
          <w:p>
            <w:r/>
            <w:r>
              <w:rPr>
                <w:sz w:val="18"/>
              </w:rPr>
              <w:t>T-77</w:t>
            </w:r>
          </w:p>
        </w:tc>
        <w:tc>
          <w:tcPr>
            <w:tcW w:w="3000" w:type="dxa"/>
            <w:tcBorders>
              <w:top w:val="single" w:sz="4" w:color="888888"/>
              <w:left w:val="single" w:sz="4" w:color="888888"/>
              <w:bottom w:val="single" w:sz="4" w:color="888888"/>
              <w:right w:val="single" w:sz="4" w:color="888888"/>
            </w:tcBorders>
          </w:tcPr>
          <w:p>
            <w:r/>
            <w:r>
              <w:rPr>
                <w:sz w:val="18"/>
              </w:rPr>
              <w:t>PROSPERO registration of clinical SLR</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 2020 item 24a.</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T-78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Line-by-line search strategies — clinical SLR</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PRISMA-S items 6–8.</w:t>
            </w:r>
          </w:p>
        </w:tc>
      </w:tr>
      <w:tr>
        <w:tc>
          <w:tcPr>
            <w:tcW w:w="600" w:type="dxa"/>
            <w:tcBorders>
              <w:top w:val="single" w:sz="4" w:color="888888"/>
              <w:left w:val="single" w:sz="4" w:color="888888"/>
              <w:bottom w:val="single" w:sz="4" w:color="888888"/>
              <w:right w:val="single" w:sz="4" w:color="888888"/>
            </w:tcBorders>
          </w:tcPr>
          <w:p>
            <w:r/>
            <w:r>
              <w:rPr>
                <w:sz w:val="18"/>
              </w:rPr>
              <w:t>T-79</w:t>
            </w:r>
          </w:p>
        </w:tc>
        <w:tc>
          <w:tcPr>
            <w:tcW w:w="3000" w:type="dxa"/>
            <w:tcBorders>
              <w:top w:val="single" w:sz="4" w:color="888888"/>
              <w:left w:val="single" w:sz="4" w:color="888888"/>
              <w:bottom w:val="single" w:sz="4" w:color="888888"/>
              <w:right w:val="single" w:sz="4" w:color="888888"/>
            </w:tcBorders>
          </w:tcPr>
          <w:p>
            <w:r/>
            <w:r>
              <w:rPr>
                <w:sz w:val="18"/>
              </w:rPr>
              <w:t>Trial-registry and grey-literature searches</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PRISMA-S items 5, 11.</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T-80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Date limits / awareness check / gap to submission</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Cochrane Handbook 4.4.9.</w:t>
            </w:r>
          </w:p>
        </w:tc>
      </w:tr>
      <w:tr>
        <w:tc>
          <w:tcPr>
            <w:tcW w:w="600" w:type="dxa"/>
            <w:tcBorders>
              <w:top w:val="single" w:sz="4" w:color="888888"/>
              <w:left w:val="single" w:sz="4" w:color="888888"/>
              <w:bottom w:val="single" w:sz="4" w:color="888888"/>
              <w:right w:val="single" w:sz="4" w:color="888888"/>
            </w:tcBorders>
          </w:tcPr>
          <w:p>
            <w:r/>
            <w:r>
              <w:rPr>
                <w:sz w:val="18"/>
              </w:rPr>
              <w:t>T-81</w:t>
            </w:r>
          </w:p>
        </w:tc>
        <w:tc>
          <w:tcPr>
            <w:tcW w:w="3000" w:type="dxa"/>
            <w:tcBorders>
              <w:top w:val="single" w:sz="4" w:color="888888"/>
              <w:left w:val="single" w:sz="4" w:color="888888"/>
              <w:bottom w:val="single" w:sz="4" w:color="888888"/>
              <w:right w:val="single" w:sz="4" w:color="888888"/>
            </w:tcBorders>
          </w:tcPr>
          <w:p>
            <w:r/>
            <w:r>
              <w:rPr>
                <w:sz w:val="18"/>
              </w:rPr>
              <w:t>Language and publication-type restrictions</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PRISMA-S item 9.</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T-82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PRISMA 2020 flow diagram</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PRISMA 2020 item 16a.</w:t>
            </w:r>
          </w:p>
        </w:tc>
      </w:tr>
      <w:tr>
        <w:tc>
          <w:tcPr>
            <w:tcW w:w="600" w:type="dxa"/>
            <w:tcBorders>
              <w:top w:val="single" w:sz="4" w:color="888888"/>
              <w:left w:val="single" w:sz="4" w:color="888888"/>
              <w:bottom w:val="single" w:sz="4" w:color="888888"/>
              <w:right w:val="single" w:sz="4" w:color="888888"/>
            </w:tcBorders>
          </w:tcPr>
          <w:p>
            <w:r/>
            <w:r>
              <w:rPr>
                <w:sz w:val="18"/>
              </w:rPr>
              <w:t>T-83</w:t>
            </w:r>
          </w:p>
        </w:tc>
        <w:tc>
          <w:tcPr>
            <w:tcW w:w="3000" w:type="dxa"/>
            <w:tcBorders>
              <w:top w:val="single" w:sz="4" w:color="888888"/>
              <w:left w:val="single" w:sz="4" w:color="888888"/>
              <w:bottom w:val="single" w:sz="4" w:color="888888"/>
              <w:right w:val="single" w:sz="4" w:color="888888"/>
            </w:tcBorders>
          </w:tcPr>
          <w:p>
            <w:r/>
            <w:r>
              <w:rPr>
                <w:sz w:val="18"/>
              </w:rPr>
              <w:t>Characteristics of included studies — consolidated table</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 2020 item 17.</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T-84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Characteristics of excluded studies — KEYNOTE-426, COSMIC-313 etc.</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PRISMA 2020 item 17.</w:t>
            </w:r>
          </w:p>
        </w:tc>
      </w:tr>
      <w:tr>
        <w:tc>
          <w:tcPr>
            <w:tcW w:w="600" w:type="dxa"/>
            <w:tcBorders>
              <w:top w:val="single" w:sz="4" w:color="888888"/>
              <w:left w:val="single" w:sz="4" w:color="888888"/>
              <w:bottom w:val="single" w:sz="4" w:color="888888"/>
              <w:right w:val="single" w:sz="4" w:color="888888"/>
            </w:tcBorders>
          </w:tcPr>
          <w:p>
            <w:r/>
            <w:r>
              <w:rPr>
                <w:sz w:val="18"/>
              </w:rPr>
              <w:t>T-85</w:t>
            </w:r>
          </w:p>
        </w:tc>
        <w:tc>
          <w:tcPr>
            <w:tcW w:w="3000" w:type="dxa"/>
            <w:tcBorders>
              <w:top w:val="single" w:sz="4" w:color="888888"/>
              <w:left w:val="single" w:sz="4" w:color="888888"/>
              <w:bottom w:val="single" w:sz="4" w:color="888888"/>
              <w:right w:val="single" w:sz="4" w:color="888888"/>
            </w:tcBorders>
          </w:tcPr>
          <w:p>
            <w:r/>
            <w:r>
              <w:rPr>
                <w:sz w:val="18"/>
              </w:rPr>
              <w:t>Risk of bias — RWE studies (ROBINS-I / NICE RWE Framework)</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Cochrane Handbook Ch.25; NICE RWE Framework.</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T-86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Publication bias / small-study effects</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PRISMA-NMA item S6.</w:t>
            </w:r>
          </w:p>
        </w:tc>
      </w:tr>
      <w:tr>
        <w:tc>
          <w:tcPr>
            <w:tcW w:w="600" w:type="dxa"/>
            <w:tcBorders>
              <w:top w:val="single" w:sz="4" w:color="888888"/>
              <w:left w:val="single" w:sz="4" w:color="888888"/>
              <w:bottom w:val="single" w:sz="4" w:color="888888"/>
              <w:right w:val="single" w:sz="4" w:color="888888"/>
            </w:tcBorders>
          </w:tcPr>
          <w:p>
            <w:r/>
            <w:r>
              <w:rPr>
                <w:sz w:val="18"/>
              </w:rPr>
              <w:t>T-87</w:t>
            </w:r>
          </w:p>
        </w:tc>
        <w:tc>
          <w:tcPr>
            <w:tcW w:w="3000" w:type="dxa"/>
            <w:tcBorders>
              <w:top w:val="single" w:sz="4" w:color="888888"/>
              <w:left w:val="single" w:sz="4" w:color="888888"/>
              <w:bottom w:val="single" w:sz="4" w:color="888888"/>
              <w:right w:val="single" w:sz="4" w:color="888888"/>
            </w:tcBorders>
          </w:tcPr>
          <w:p>
            <w:r/>
            <w:r>
              <w:rPr>
                <w:sz w:val="18"/>
              </w:rPr>
              <w:t>Explicit NMA-stage PICOS</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Distinct from SLR PICOS.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T-88</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Inconsistency / loop assessment (star network)</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DSU TSD 4.</w:t>
            </w:r>
          </w:p>
        </w:tc>
      </w:tr>
      <w:tr>
        <w:tc>
          <w:tcPr>
            <w:tcW w:w="600" w:type="dxa"/>
            <w:tcBorders>
              <w:top w:val="single" w:sz="4" w:color="888888"/>
              <w:left w:val="single" w:sz="4" w:color="888888"/>
              <w:bottom w:val="single" w:sz="4" w:color="888888"/>
              <w:right w:val="single" w:sz="4" w:color="888888"/>
            </w:tcBorders>
          </w:tcPr>
          <w:p>
            <w:r/>
            <w:r>
              <w:rPr>
                <w:sz w:val="18"/>
              </w:rPr>
              <w:t>T-89</w:t>
            </w:r>
          </w:p>
        </w:tc>
        <w:tc>
          <w:tcPr>
            <w:tcW w:w="3000" w:type="dxa"/>
            <w:tcBorders>
              <w:top w:val="single" w:sz="4" w:color="888888"/>
              <w:left w:val="single" w:sz="4" w:color="888888"/>
              <w:bottom w:val="single" w:sz="4" w:color="888888"/>
              <w:right w:val="single" w:sz="4" w:color="888888"/>
            </w:tcBorders>
          </w:tcPr>
          <w:p>
            <w:r/>
            <w:r>
              <w:rPr>
                <w:sz w:val="18"/>
              </w:rPr>
              <w:t>Cost-effectiveness SLR (Appendix G) — methodology and results</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 2020 / PMG36 §3.4.</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T-90</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HRQoL / utility SLR — protocol, search, screening</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PMG36 §3.4.6.</w:t>
            </w:r>
          </w:p>
        </w:tc>
      </w:tr>
      <w:tr>
        <w:tc>
          <w:tcPr>
            <w:tcW w:w="600" w:type="dxa"/>
            <w:tcBorders>
              <w:top w:val="single" w:sz="4" w:color="888888"/>
              <w:left w:val="single" w:sz="4" w:color="888888"/>
              <w:bottom w:val="single" w:sz="4" w:color="888888"/>
              <w:right w:val="single" w:sz="4" w:color="888888"/>
            </w:tcBorders>
          </w:tcPr>
          <w:p>
            <w:r/>
            <w:r>
              <w:rPr>
                <w:sz w:val="18"/>
              </w:rPr>
              <w:t>T-91</w:t>
            </w:r>
          </w:p>
        </w:tc>
        <w:tc>
          <w:tcPr>
            <w:tcW w:w="3000" w:type="dxa"/>
            <w:tcBorders>
              <w:top w:val="single" w:sz="4" w:color="888888"/>
              <w:left w:val="single" w:sz="4" w:color="888888"/>
              <w:bottom w:val="single" w:sz="4" w:color="888888"/>
              <w:right w:val="single" w:sz="4" w:color="888888"/>
            </w:tcBorders>
          </w:tcPr>
          <w:p>
            <w:r/>
            <w:r>
              <w:rPr>
                <w:sz w:val="18"/>
              </w:rPr>
              <w:t>Resource-use / cost SLR</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PMG36 §3.4.5.</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T-92</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Clinical Expert Opinion (DoF reference 17) — methodology</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ISPOR Bojke 2021 elicitation good practice.</w:t>
            </w:r>
          </w:p>
        </w:tc>
      </w:tr>
      <w:tr>
        <w:tc>
          <w:tcPr>
            <w:tcW w:w="600" w:type="dxa"/>
            <w:tcBorders>
              <w:top w:val="single" w:sz="4" w:color="888888"/>
              <w:left w:val="single" w:sz="4" w:color="888888"/>
              <w:bottom w:val="single" w:sz="4" w:color="888888"/>
              <w:right w:val="single" w:sz="4" w:color="888888"/>
            </w:tcBorders>
          </w:tcPr>
          <w:p>
            <w:r/>
            <w:r>
              <w:rPr>
                <w:sz w:val="18"/>
              </w:rPr>
              <w:t>T-93</w:t>
            </w:r>
          </w:p>
        </w:tc>
        <w:tc>
          <w:tcPr>
            <w:tcW w:w="3000" w:type="dxa"/>
            <w:tcBorders>
              <w:top w:val="single" w:sz="4" w:color="888888"/>
              <w:left w:val="single" w:sz="4" w:color="888888"/>
              <w:bottom w:val="single" w:sz="4" w:color="888888"/>
              <w:right w:val="single" w:sz="4" w:color="888888"/>
            </w:tcBorders>
          </w:tcPr>
          <w:p>
            <w:r/>
            <w:r>
              <w:rPr>
                <w:sz w:val="18"/>
              </w:rPr>
              <w:t>Treatment of CheckMate 214 PD-L1 selected vs unselected</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DSU TSD 3 §2.2.</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T-94</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Latest data cuts for comparator trials (CheckMate 9ER, 214, CLEAR)</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PRISMA-NMA item S3.</w:t>
            </w:r>
          </w:p>
        </w:tc>
      </w:tr>
      <w:tr>
        <w:tc>
          <w:tcPr>
            <w:tcW w:w="600" w:type="dxa"/>
            <w:tcBorders>
              <w:top w:val="single" w:sz="4" w:color="888888"/>
              <w:left w:val="single" w:sz="4" w:color="888888"/>
              <w:bottom w:val="single" w:sz="4" w:color="888888"/>
              <w:right w:val="single" w:sz="4" w:color="888888"/>
            </w:tcBorders>
          </w:tcPr>
          <w:p>
            <w:r/>
            <w:r>
              <w:rPr>
                <w:sz w:val="18"/>
              </w:rPr>
              <w:t>T-95</w:t>
            </w:r>
          </w:p>
        </w:tc>
        <w:tc>
          <w:tcPr>
            <w:tcW w:w="3000" w:type="dxa"/>
            <w:tcBorders>
              <w:top w:val="single" w:sz="4" w:color="888888"/>
              <w:left w:val="single" w:sz="4" w:color="888888"/>
              <w:bottom w:val="single" w:sz="4" w:color="888888"/>
              <w:right w:val="single" w:sz="4" w:color="888888"/>
            </w:tcBorders>
          </w:tcPr>
          <w:p>
            <w:r/>
            <w:r>
              <w:rPr>
                <w:sz w:val="18"/>
              </w:rPr>
              <w:t>Risk-of-bias traffic-light summary</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 2020 item 18.</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T-96</w:t>
            </w:r>
          </w:p>
        </w:tc>
        <w:tc>
          <w:tcPr>
            <w:tcW w:w="3000" w:type="dxa"/>
            <w:tcBorders>
              <w:top w:val="single" w:sz="4" w:color="888888"/>
              <w:left w:val="single" w:sz="4" w:color="888888"/>
              <w:bottom w:val="single" w:sz="4" w:color="888888"/>
              <w:right w:val="single" w:sz="4" w:color="888888"/>
            </w:tcBorders>
            <w:shd w:val="clear" w:color="auto" w:fill="F2F2F2"/>
          </w:tcPr>
          <w:p>
            <w:r/>
            <w:r>
              <w:rPr>
                <w:sz w:val="18"/>
              </w:rPr>
              <w:t>Complete list of submitted appendices and version control</w:t>
            </w:r>
          </w:p>
        </w:tc>
        <w:tc>
          <w:tcPr>
            <w:tcW w:w="1280" w:type="dxa"/>
            <w:tcBorders>
              <w:top w:val="single" w:sz="4" w:color="888888"/>
              <w:left w:val="single" w:sz="4" w:color="888888"/>
              <w:bottom w:val="single" w:sz="4" w:color="888888"/>
              <w:right w:val="single" w:sz="4" w:color="888888"/>
            </w:tcBorders>
            <w:shd w:val="clear" w:color="auto" w:fill="F2F2F2"/>
          </w:tcPr>
          <w:p>
            <w:r/>
            <w:r>
              <w:rPr>
                <w:sz w:val="18"/>
              </w:rPr>
              <w:t>[INFO]</w:t>
            </w:r>
          </w:p>
        </w:tc>
        <w:tc>
          <w:tcPr>
            <w:tcW w:w="8800" w:type="dxa"/>
            <w:tcBorders>
              <w:top w:val="single" w:sz="4" w:color="888888"/>
              <w:left w:val="single" w:sz="4" w:color="888888"/>
              <w:bottom w:val="single" w:sz="4" w:color="888888"/>
              <w:right w:val="single" w:sz="4" w:color="888888"/>
            </w:tcBorders>
            <w:shd w:val="clear" w:color="auto" w:fill="F2F2F2"/>
          </w:tcPr>
          <w:p>
            <w:r/>
            <w:r>
              <w:rPr>
                <w:sz w:val="18"/>
              </w:rPr>
              <w:t>PMG36 §3.2.</w:t>
            </w:r>
          </w:p>
        </w:tc>
      </w:tr>
      <w:tr>
        <w:tc>
          <w:tcPr>
            <w:tcW w:w="600" w:type="dxa"/>
            <w:tcBorders>
              <w:top w:val="single" w:sz="4" w:color="888888"/>
              <w:left w:val="single" w:sz="4" w:color="888888"/>
              <w:bottom w:val="single" w:sz="4" w:color="888888"/>
              <w:right w:val="single" w:sz="4" w:color="888888"/>
            </w:tcBorders>
          </w:tcPr>
          <w:p>
            <w:r/>
            <w:r>
              <w:rPr>
                <w:sz w:val="18"/>
              </w:rPr>
              <w:t>T-97</w:t>
            </w:r>
          </w:p>
        </w:tc>
        <w:tc>
          <w:tcPr>
            <w:tcW w:w="3000" w:type="dxa"/>
            <w:tcBorders>
              <w:top w:val="single" w:sz="4" w:color="888888"/>
              <w:left w:val="single" w:sz="4" w:color="888888"/>
              <w:bottom w:val="single" w:sz="4" w:color="888888"/>
              <w:right w:val="single" w:sz="4" w:color="888888"/>
            </w:tcBorders>
          </w:tcPr>
          <w:p>
            <w:r/>
            <w:r>
              <w:rPr>
                <w:sz w:val="18"/>
              </w:rPr>
              <w:t>Search audit trail (EndNote / RIS / screening log)</w:t>
            </w:r>
          </w:p>
        </w:tc>
        <w:tc>
          <w:tcPr>
            <w:tcW w:w="1280" w:type="dxa"/>
            <w:tcBorders>
              <w:top w:val="single" w:sz="4" w:color="888888"/>
              <w:left w:val="single" w:sz="4" w:color="888888"/>
              <w:bottom w:val="single" w:sz="4" w:color="888888"/>
              <w:right w:val="single" w:sz="4" w:color="888888"/>
            </w:tcBorders>
          </w:tcPr>
          <w:p>
            <w:r/>
            <w:r>
              <w:rPr>
                <w:sz w:val="18"/>
              </w:rPr>
              <w:t>[INFO]</w:t>
            </w:r>
          </w:p>
        </w:tc>
        <w:tc>
          <w:tcPr>
            <w:tcW w:w="8800" w:type="dxa"/>
            <w:tcBorders>
              <w:top w:val="single" w:sz="4" w:color="888888"/>
              <w:left w:val="single" w:sz="4" w:color="888888"/>
              <w:bottom w:val="single" w:sz="4" w:color="888888"/>
              <w:right w:val="single" w:sz="4" w:color="888888"/>
            </w:tcBorders>
          </w:tcPr>
          <w:p>
            <w:r/>
            <w:r>
              <w:rPr>
                <w:sz w:val="18"/>
              </w:rPr>
              <w:t>PRISMA-S item 16.</w:t>
            </w:r>
          </w:p>
        </w:tc>
      </w:tr>
    </w:tbl>
    <w:p/>
    <w:p>
      <w:r>
        <w:rPr>
          <w:b w:val="0"/>
          <w:i/>
          <w:sz w:val="20"/>
        </w:rPr>
        <w:t>Note on counting: Table T-17 to T-97 is shown in full above for transparency. The headline figure of 45 generated-only topics reflects de-duplication where some merged-IDs are functionally overlapping (e.g. T-44 SACT/JAVELIN OS validation subsumes one statistician-flagged absolute-discrepancy variant). NICE prioritises rather than asking every possible question; the EAG's clarification letter is tactically scoped to the issues most likely to need a written response from the company, with methodological challenges often deferred to the EAR/EAG report stage.</w:t>
      </w:r>
    </w:p>
    <w:p>
      <w:pPr>
        <w:sectPr>
          <w:pgSz w:w="15840" w:h="12240" w:orient="landscape"/>
          <w:pgMar w:top="1080" w:right="1080" w:bottom="1080" w:left="1080" w:header="720" w:footer="720" w:gutter="0"/>
          <w:cols w:space="720"/>
          <w:docGrid w:linePitch="360"/>
        </w:sectPr>
      </w:pPr>
    </w:p>
    <w:p>
      <w:pPr>
        <w:pStyle w:val="Heading1"/>
      </w:pPr>
      <w:r>
        <w:rPr>
          <w:color w:val="1F3864"/>
          <w:sz w:val="32"/>
        </w:rPr>
        <w:t>Specialist contributions</w:t>
      </w:r>
    </w:p>
    <w:p>
      <w:r>
        <w:rPr>
          <w:b w:val="0"/>
          <w:i w:val="0"/>
          <w:sz w:val="22"/>
        </w:rPr>
        <w:t>The four specialist personas each contributed distinctively to the matched set. The table below shows the number of individual questions generated by each persona, how many contributed to a matched topic, and the resulting persona-level "match rate". Note that a single matched topic frequently combines questions from multiple personas (e.g., T-08 hazard plots &amp; PH testing draws on all four personas).</w:t>
      </w:r>
    </w:p>
    <w:tbl>
      <w:tblPr>
        <w:jc w:val="left"/>
        <w:tblLook w:firstColumn="1" w:firstRow="1" w:lastColumn="0" w:lastRow="0" w:noHBand="0" w:noVBand="1" w:val="04A0"/>
        <w:tblW w:w="936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1500"/>
        <w:gridCol w:w="1200"/>
        <w:gridCol w:w="1700"/>
        <w:gridCol w:w="1900"/>
        <w:gridCol w:w="1700"/>
        <w:gridCol w:w="1360"/>
      </w:tblGrid>
      <w:tr>
        <w:tc>
          <w:tcPr>
            <w:tcW w:w="1500" w:type="dxa"/>
            <w:shd w:val="clear" w:color="auto" w:fill="1F3864"/>
            <w:tcBorders>
              <w:top w:val="single" w:sz="4" w:color="888888"/>
              <w:left w:val="single" w:sz="4" w:color="888888"/>
              <w:bottom w:val="single" w:sz="4" w:color="888888"/>
              <w:right w:val="single" w:sz="4" w:color="888888"/>
            </w:tcBorders>
          </w:tcPr>
          <w:p>
            <w:r/>
            <w:r>
              <w:rPr>
                <w:b/>
                <w:color w:val="FFFFFF"/>
                <w:sz w:val="20"/>
              </w:rPr>
              <w:t>Persona</w:t>
            </w:r>
          </w:p>
        </w:tc>
        <w:tc>
          <w:tcPr>
            <w:tcW w:w="1200" w:type="dxa"/>
            <w:shd w:val="clear" w:color="auto" w:fill="1F3864"/>
            <w:tcBorders>
              <w:top w:val="single" w:sz="4" w:color="888888"/>
              <w:left w:val="single" w:sz="4" w:color="888888"/>
              <w:bottom w:val="single" w:sz="4" w:color="888888"/>
              <w:right w:val="single" w:sz="4" w:color="888888"/>
            </w:tcBorders>
          </w:tcPr>
          <w:p>
            <w:r/>
            <w:r>
              <w:rPr>
                <w:b/>
                <w:color w:val="FFFFFF"/>
                <w:sz w:val="20"/>
              </w:rPr>
              <w:t>Generated</w:t>
            </w:r>
          </w:p>
        </w:tc>
        <w:tc>
          <w:tcPr>
            <w:tcW w:w="1700" w:type="dxa"/>
            <w:shd w:val="clear" w:color="auto" w:fill="1F3864"/>
            <w:tcBorders>
              <w:top w:val="single" w:sz="4" w:color="888888"/>
              <w:left w:val="single" w:sz="4" w:color="888888"/>
              <w:bottom w:val="single" w:sz="4" w:color="888888"/>
              <w:right w:val="single" w:sz="4" w:color="888888"/>
            </w:tcBorders>
          </w:tcPr>
          <w:p>
            <w:r/>
            <w:r>
              <w:rPr>
                <w:b/>
                <w:color w:val="FFFFFF"/>
                <w:sz w:val="20"/>
              </w:rPr>
              <w:t>Matched</w:t>
            </w:r>
          </w:p>
        </w:tc>
        <w:tc>
          <w:tcPr>
            <w:tcW w:w="1900" w:type="dxa"/>
            <w:shd w:val="clear" w:color="auto" w:fill="1F3864"/>
            <w:tcBorders>
              <w:top w:val="single" w:sz="4" w:color="888888"/>
              <w:left w:val="single" w:sz="4" w:color="888888"/>
              <w:bottom w:val="single" w:sz="4" w:color="888888"/>
              <w:right w:val="single" w:sz="4" w:color="888888"/>
            </w:tcBorders>
          </w:tcPr>
          <w:p>
            <w:r/>
            <w:r>
              <w:rPr>
                <w:b/>
                <w:color w:val="FFFFFF"/>
                <w:sz w:val="20"/>
              </w:rPr>
              <w:t>Generated-only</w:t>
            </w:r>
          </w:p>
        </w:tc>
        <w:tc>
          <w:tcPr>
            <w:tcW w:w="1700" w:type="dxa"/>
            <w:shd w:val="clear" w:color="auto" w:fill="1F3864"/>
            <w:tcBorders>
              <w:top w:val="single" w:sz="4" w:color="888888"/>
              <w:left w:val="single" w:sz="4" w:color="888888"/>
              <w:bottom w:val="single" w:sz="4" w:color="888888"/>
              <w:right w:val="single" w:sz="4" w:color="888888"/>
            </w:tcBorders>
          </w:tcPr>
          <w:p>
            <w:r/>
            <w:r>
              <w:rPr>
                <w:b/>
                <w:color w:val="FFFFFF"/>
                <w:sz w:val="20"/>
              </w:rPr>
              <w:t>Match rate</w:t>
            </w:r>
          </w:p>
        </w:tc>
        <w:tc>
          <w:tcPr>
            <w:tcW w:w="1360" w:type="dxa"/>
            <w:shd w:val="clear" w:color="auto" w:fill="1F3864"/>
            <w:tcBorders>
              <w:top w:val="single" w:sz="4" w:color="888888"/>
              <w:left w:val="single" w:sz="4" w:color="888888"/>
              <w:bottom w:val="single" w:sz="4" w:color="888888"/>
              <w:right w:val="single" w:sz="4" w:color="888888"/>
            </w:tcBorders>
          </w:tcPr>
          <w:p>
            <w:r/>
            <w:r>
              <w:rPr>
                <w:b/>
                <w:color w:val="FFFFFF"/>
                <w:sz w:val="20"/>
              </w:rPr>
              <w:t>Match count basis</w:t>
            </w:r>
          </w:p>
        </w:tc>
      </w:tr>
      <w:tr>
        <w:tc>
          <w:tcPr>
            <w:tcW w:w="1500" w:type="dxa"/>
            <w:tcBorders>
              <w:top w:val="single" w:sz="4" w:color="888888"/>
              <w:left w:val="single" w:sz="4" w:color="888888"/>
              <w:bottom w:val="single" w:sz="4" w:color="888888"/>
              <w:right w:val="single" w:sz="4" w:color="888888"/>
            </w:tcBorders>
          </w:tcPr>
          <w:p>
            <w:r/>
            <w:r>
              <w:rPr>
                <w:sz w:val="20"/>
              </w:rPr>
              <w:t>Clinical</w:t>
            </w:r>
          </w:p>
        </w:tc>
        <w:tc>
          <w:tcPr>
            <w:tcW w:w="1200" w:type="dxa"/>
            <w:tcBorders>
              <w:top w:val="single" w:sz="4" w:color="888888"/>
              <w:left w:val="single" w:sz="4" w:color="888888"/>
              <w:bottom w:val="single" w:sz="4" w:color="888888"/>
              <w:right w:val="single" w:sz="4" w:color="888888"/>
            </w:tcBorders>
          </w:tcPr>
          <w:p>
            <w:r/>
            <w:r>
              <w:rPr>
                <w:sz w:val="20"/>
              </w:rPr>
              <w:t>36</w:t>
            </w:r>
          </w:p>
        </w:tc>
        <w:tc>
          <w:tcPr>
            <w:tcW w:w="1700" w:type="dxa"/>
            <w:tcBorders>
              <w:top w:val="single" w:sz="4" w:color="888888"/>
              <w:left w:val="single" w:sz="4" w:color="888888"/>
              <w:bottom w:val="single" w:sz="4" w:color="888888"/>
              <w:right w:val="single" w:sz="4" w:color="888888"/>
            </w:tcBorders>
          </w:tcPr>
          <w:p>
            <w:r/>
            <w:r>
              <w:rPr>
                <w:sz w:val="20"/>
              </w:rPr>
              <w:t>11</w:t>
            </w:r>
          </w:p>
        </w:tc>
        <w:tc>
          <w:tcPr>
            <w:tcW w:w="1900" w:type="dxa"/>
            <w:tcBorders>
              <w:top w:val="single" w:sz="4" w:color="888888"/>
              <w:left w:val="single" w:sz="4" w:color="888888"/>
              <w:bottom w:val="single" w:sz="4" w:color="888888"/>
              <w:right w:val="single" w:sz="4" w:color="888888"/>
            </w:tcBorders>
          </w:tcPr>
          <w:p>
            <w:r/>
            <w:r>
              <w:rPr>
                <w:sz w:val="20"/>
              </w:rPr>
              <w:t>25</w:t>
            </w:r>
          </w:p>
        </w:tc>
        <w:tc>
          <w:tcPr>
            <w:tcW w:w="1700" w:type="dxa"/>
            <w:tcBorders>
              <w:top w:val="single" w:sz="4" w:color="888888"/>
              <w:left w:val="single" w:sz="4" w:color="888888"/>
              <w:bottom w:val="single" w:sz="4" w:color="888888"/>
              <w:right w:val="single" w:sz="4" w:color="888888"/>
            </w:tcBorders>
          </w:tcPr>
          <w:p>
            <w:r/>
            <w:r>
              <w:rPr>
                <w:sz w:val="20"/>
              </w:rPr>
              <w:t>31%</w:t>
            </w:r>
          </w:p>
        </w:tc>
        <w:tc>
          <w:tcPr>
            <w:tcW w:w="1360" w:type="dxa"/>
            <w:tcBorders>
              <w:top w:val="single" w:sz="4" w:color="888888"/>
              <w:left w:val="single" w:sz="4" w:color="888888"/>
              <w:bottom w:val="single" w:sz="4" w:color="888888"/>
              <w:right w:val="single" w:sz="4" w:color="888888"/>
            </w:tcBorders>
          </w:tcPr>
          <w:p>
            <w:r/>
            <w:r>
              <w:rPr>
                <w:sz w:val="20"/>
              </w:rPr>
              <w:t>11 of 36 individual</w:t>
            </w:r>
          </w:p>
        </w:tc>
      </w:tr>
      <w:tr>
        <w:tc>
          <w:tcPr>
            <w:tcW w:w="1500" w:type="dxa"/>
            <w:tcBorders>
              <w:top w:val="single" w:sz="4" w:color="888888"/>
              <w:left w:val="single" w:sz="4" w:color="888888"/>
              <w:bottom w:val="single" w:sz="4" w:color="888888"/>
              <w:right w:val="single" w:sz="4" w:color="888888"/>
            </w:tcBorders>
            <w:shd w:val="clear" w:color="auto" w:fill="F2F2F2"/>
          </w:tcPr>
          <w:p>
            <w:r/>
            <w:r>
              <w:rPr>
                <w:sz w:val="20"/>
              </w:rPr>
              <w:t>Statistician</w:t>
            </w:r>
          </w:p>
        </w:tc>
        <w:tc>
          <w:tcPr>
            <w:tcW w:w="1200" w:type="dxa"/>
            <w:tcBorders>
              <w:top w:val="single" w:sz="4" w:color="888888"/>
              <w:left w:val="single" w:sz="4" w:color="888888"/>
              <w:bottom w:val="single" w:sz="4" w:color="888888"/>
              <w:right w:val="single" w:sz="4" w:color="888888"/>
            </w:tcBorders>
            <w:shd w:val="clear" w:color="auto" w:fill="F2F2F2"/>
          </w:tcPr>
          <w:p>
            <w:r/>
            <w:r>
              <w:rPr>
                <w:sz w:val="20"/>
              </w:rPr>
              <w:t>30</w:t>
            </w:r>
          </w:p>
        </w:tc>
        <w:tc>
          <w:tcPr>
            <w:tcW w:w="1700" w:type="dxa"/>
            <w:tcBorders>
              <w:top w:val="single" w:sz="4" w:color="888888"/>
              <w:left w:val="single" w:sz="4" w:color="888888"/>
              <w:bottom w:val="single" w:sz="4" w:color="888888"/>
              <w:right w:val="single" w:sz="4" w:color="888888"/>
            </w:tcBorders>
            <w:shd w:val="clear" w:color="auto" w:fill="F2F2F2"/>
          </w:tcPr>
          <w:p>
            <w:r/>
            <w:r>
              <w:rPr>
                <w:sz w:val="20"/>
              </w:rPr>
              <w:t>7</w:t>
            </w:r>
          </w:p>
        </w:tc>
        <w:tc>
          <w:tcPr>
            <w:tcW w:w="1900" w:type="dxa"/>
            <w:tcBorders>
              <w:top w:val="single" w:sz="4" w:color="888888"/>
              <w:left w:val="single" w:sz="4" w:color="888888"/>
              <w:bottom w:val="single" w:sz="4" w:color="888888"/>
              <w:right w:val="single" w:sz="4" w:color="888888"/>
            </w:tcBorders>
            <w:shd w:val="clear" w:color="auto" w:fill="F2F2F2"/>
          </w:tcPr>
          <w:p>
            <w:r/>
            <w:r>
              <w:rPr>
                <w:sz w:val="20"/>
              </w:rPr>
              <w:t>23</w:t>
            </w:r>
          </w:p>
        </w:tc>
        <w:tc>
          <w:tcPr>
            <w:tcW w:w="1700" w:type="dxa"/>
            <w:tcBorders>
              <w:top w:val="single" w:sz="4" w:color="888888"/>
              <w:left w:val="single" w:sz="4" w:color="888888"/>
              <w:bottom w:val="single" w:sz="4" w:color="888888"/>
              <w:right w:val="single" w:sz="4" w:color="888888"/>
            </w:tcBorders>
            <w:shd w:val="clear" w:color="auto" w:fill="F2F2F2"/>
          </w:tcPr>
          <w:p>
            <w:r/>
            <w:r>
              <w:rPr>
                <w:sz w:val="20"/>
              </w:rPr>
              <w:t>23%</w:t>
            </w:r>
          </w:p>
        </w:tc>
        <w:tc>
          <w:tcPr>
            <w:tcW w:w="1360" w:type="dxa"/>
            <w:tcBorders>
              <w:top w:val="single" w:sz="4" w:color="888888"/>
              <w:left w:val="single" w:sz="4" w:color="888888"/>
              <w:bottom w:val="single" w:sz="4" w:color="888888"/>
              <w:right w:val="single" w:sz="4" w:color="888888"/>
            </w:tcBorders>
            <w:shd w:val="clear" w:color="auto" w:fill="F2F2F2"/>
          </w:tcPr>
          <w:p>
            <w:r/>
            <w:r>
              <w:rPr>
                <w:sz w:val="20"/>
              </w:rPr>
              <w:t>7 of 30 individual</w:t>
            </w:r>
          </w:p>
        </w:tc>
      </w:tr>
      <w:tr>
        <w:tc>
          <w:tcPr>
            <w:tcW w:w="1500" w:type="dxa"/>
            <w:tcBorders>
              <w:top w:val="single" w:sz="4" w:color="888888"/>
              <w:left w:val="single" w:sz="4" w:color="888888"/>
              <w:bottom w:val="single" w:sz="4" w:color="888888"/>
              <w:right w:val="single" w:sz="4" w:color="888888"/>
            </w:tcBorders>
          </w:tcPr>
          <w:p>
            <w:r/>
            <w:r>
              <w:rPr>
                <w:sz w:val="20"/>
              </w:rPr>
              <w:t>Health economist</w:t>
            </w:r>
          </w:p>
        </w:tc>
        <w:tc>
          <w:tcPr>
            <w:tcW w:w="1200" w:type="dxa"/>
            <w:tcBorders>
              <w:top w:val="single" w:sz="4" w:color="888888"/>
              <w:left w:val="single" w:sz="4" w:color="888888"/>
              <w:bottom w:val="single" w:sz="4" w:color="888888"/>
              <w:right w:val="single" w:sz="4" w:color="888888"/>
            </w:tcBorders>
          </w:tcPr>
          <w:p>
            <w:r/>
            <w:r>
              <w:rPr>
                <w:sz w:val="20"/>
              </w:rPr>
              <w:t>50</w:t>
            </w:r>
          </w:p>
        </w:tc>
        <w:tc>
          <w:tcPr>
            <w:tcW w:w="1700" w:type="dxa"/>
            <w:tcBorders>
              <w:top w:val="single" w:sz="4" w:color="888888"/>
              <w:left w:val="single" w:sz="4" w:color="888888"/>
              <w:bottom w:val="single" w:sz="4" w:color="888888"/>
              <w:right w:val="single" w:sz="4" w:color="888888"/>
            </w:tcBorders>
          </w:tcPr>
          <w:p>
            <w:r/>
            <w:r>
              <w:rPr>
                <w:sz w:val="20"/>
              </w:rPr>
              <w:t>9</w:t>
            </w:r>
          </w:p>
        </w:tc>
        <w:tc>
          <w:tcPr>
            <w:tcW w:w="1900" w:type="dxa"/>
            <w:tcBorders>
              <w:top w:val="single" w:sz="4" w:color="888888"/>
              <w:left w:val="single" w:sz="4" w:color="888888"/>
              <w:bottom w:val="single" w:sz="4" w:color="888888"/>
              <w:right w:val="single" w:sz="4" w:color="888888"/>
            </w:tcBorders>
          </w:tcPr>
          <w:p>
            <w:r/>
            <w:r>
              <w:rPr>
                <w:sz w:val="20"/>
              </w:rPr>
              <w:t>41</w:t>
            </w:r>
          </w:p>
        </w:tc>
        <w:tc>
          <w:tcPr>
            <w:tcW w:w="1700" w:type="dxa"/>
            <w:tcBorders>
              <w:top w:val="single" w:sz="4" w:color="888888"/>
              <w:left w:val="single" w:sz="4" w:color="888888"/>
              <w:bottom w:val="single" w:sz="4" w:color="888888"/>
              <w:right w:val="single" w:sz="4" w:color="888888"/>
            </w:tcBorders>
          </w:tcPr>
          <w:p>
            <w:r/>
            <w:r>
              <w:rPr>
                <w:sz w:val="20"/>
              </w:rPr>
              <w:t>18%</w:t>
            </w:r>
          </w:p>
        </w:tc>
        <w:tc>
          <w:tcPr>
            <w:tcW w:w="1360" w:type="dxa"/>
            <w:tcBorders>
              <w:top w:val="single" w:sz="4" w:color="888888"/>
              <w:left w:val="single" w:sz="4" w:color="888888"/>
              <w:bottom w:val="single" w:sz="4" w:color="888888"/>
              <w:right w:val="single" w:sz="4" w:color="888888"/>
            </w:tcBorders>
          </w:tcPr>
          <w:p>
            <w:r/>
            <w:r>
              <w:rPr>
                <w:sz w:val="20"/>
              </w:rPr>
              <w:t>9 of 50 individual</w:t>
            </w:r>
          </w:p>
        </w:tc>
      </w:tr>
      <w:tr>
        <w:tc>
          <w:tcPr>
            <w:tcW w:w="1500" w:type="dxa"/>
            <w:tcBorders>
              <w:top w:val="single" w:sz="4" w:color="888888"/>
              <w:left w:val="single" w:sz="4" w:color="888888"/>
              <w:bottom w:val="single" w:sz="4" w:color="888888"/>
              <w:right w:val="single" w:sz="4" w:color="888888"/>
            </w:tcBorders>
            <w:shd w:val="clear" w:color="auto" w:fill="F2F2F2"/>
          </w:tcPr>
          <w:p>
            <w:r/>
            <w:r>
              <w:rPr>
                <w:sz w:val="20"/>
              </w:rPr>
              <w:t>Information specialist</w:t>
            </w:r>
          </w:p>
        </w:tc>
        <w:tc>
          <w:tcPr>
            <w:tcW w:w="1200" w:type="dxa"/>
            <w:tcBorders>
              <w:top w:val="single" w:sz="4" w:color="888888"/>
              <w:left w:val="single" w:sz="4" w:color="888888"/>
              <w:bottom w:val="single" w:sz="4" w:color="888888"/>
              <w:right w:val="single" w:sz="4" w:color="888888"/>
            </w:tcBorders>
            <w:shd w:val="clear" w:color="auto" w:fill="F2F2F2"/>
          </w:tcPr>
          <w:p>
            <w:r/>
            <w:r>
              <w:rPr>
                <w:sz w:val="20"/>
              </w:rPr>
              <w:t>35</w:t>
            </w:r>
          </w:p>
        </w:tc>
        <w:tc>
          <w:tcPr>
            <w:tcW w:w="1700" w:type="dxa"/>
            <w:tcBorders>
              <w:top w:val="single" w:sz="4" w:color="888888"/>
              <w:left w:val="single" w:sz="4" w:color="888888"/>
              <w:bottom w:val="single" w:sz="4" w:color="888888"/>
              <w:right w:val="single" w:sz="4" w:color="888888"/>
            </w:tcBorders>
            <w:shd w:val="clear" w:color="auto" w:fill="F2F2F2"/>
          </w:tcPr>
          <w:p>
            <w:r/>
            <w:r>
              <w:rPr>
                <w:sz w:val="20"/>
              </w:rPr>
              <w:t>6</w:t>
            </w:r>
          </w:p>
        </w:tc>
        <w:tc>
          <w:tcPr>
            <w:tcW w:w="1900" w:type="dxa"/>
            <w:tcBorders>
              <w:top w:val="single" w:sz="4" w:color="888888"/>
              <w:left w:val="single" w:sz="4" w:color="888888"/>
              <w:bottom w:val="single" w:sz="4" w:color="888888"/>
              <w:right w:val="single" w:sz="4" w:color="888888"/>
            </w:tcBorders>
            <w:shd w:val="clear" w:color="auto" w:fill="F2F2F2"/>
          </w:tcPr>
          <w:p>
            <w:r/>
            <w:r>
              <w:rPr>
                <w:sz w:val="20"/>
              </w:rPr>
              <w:t>29</w:t>
            </w:r>
          </w:p>
        </w:tc>
        <w:tc>
          <w:tcPr>
            <w:tcW w:w="1700" w:type="dxa"/>
            <w:tcBorders>
              <w:top w:val="single" w:sz="4" w:color="888888"/>
              <w:left w:val="single" w:sz="4" w:color="888888"/>
              <w:bottom w:val="single" w:sz="4" w:color="888888"/>
              <w:right w:val="single" w:sz="4" w:color="888888"/>
            </w:tcBorders>
            <w:shd w:val="clear" w:color="auto" w:fill="F2F2F2"/>
          </w:tcPr>
          <w:p>
            <w:r/>
            <w:r>
              <w:rPr>
                <w:sz w:val="20"/>
              </w:rPr>
              <w:t>17%</w:t>
            </w:r>
          </w:p>
        </w:tc>
        <w:tc>
          <w:tcPr>
            <w:tcW w:w="1360" w:type="dxa"/>
            <w:tcBorders>
              <w:top w:val="single" w:sz="4" w:color="888888"/>
              <w:left w:val="single" w:sz="4" w:color="888888"/>
              <w:bottom w:val="single" w:sz="4" w:color="888888"/>
              <w:right w:val="single" w:sz="4" w:color="888888"/>
            </w:tcBorders>
            <w:shd w:val="clear" w:color="auto" w:fill="F2F2F2"/>
          </w:tcPr>
          <w:p>
            <w:r/>
            <w:r>
              <w:rPr>
                <w:sz w:val="20"/>
              </w:rPr>
              <w:t>6 of 35 individual</w:t>
            </w:r>
          </w:p>
        </w:tc>
      </w:tr>
      <w:tr>
        <w:tc>
          <w:tcPr>
            <w:tcW w:w="1500" w:type="dxa"/>
            <w:tcBorders>
              <w:top w:val="single" w:sz="4" w:color="888888"/>
              <w:left w:val="single" w:sz="4" w:color="888888"/>
              <w:bottom w:val="single" w:sz="4" w:color="888888"/>
              <w:right w:val="single" w:sz="4" w:color="888888"/>
            </w:tcBorders>
          </w:tcPr>
          <w:p>
            <w:r>
              <w:rPr>
                <w:b/>
              </w:rPr>
            </w:r>
            <w:r>
              <w:rPr>
                <w:b/>
                <w:sz w:val="20"/>
              </w:rPr>
              <w:t>TOTAL (individual)</w:t>
            </w:r>
          </w:p>
        </w:tc>
        <w:tc>
          <w:tcPr>
            <w:tcW w:w="1200" w:type="dxa"/>
            <w:tcBorders>
              <w:top w:val="single" w:sz="4" w:color="888888"/>
              <w:left w:val="single" w:sz="4" w:color="888888"/>
              <w:bottom w:val="single" w:sz="4" w:color="888888"/>
              <w:right w:val="single" w:sz="4" w:color="888888"/>
            </w:tcBorders>
          </w:tcPr>
          <w:p>
            <w:r>
              <w:rPr>
                <w:b/>
              </w:rPr>
            </w:r>
            <w:r>
              <w:rPr>
                <w:b/>
                <w:sz w:val="20"/>
              </w:rPr>
              <w:t>151</w:t>
            </w:r>
          </w:p>
        </w:tc>
        <w:tc>
          <w:tcPr>
            <w:tcW w:w="1700" w:type="dxa"/>
            <w:tcBorders>
              <w:top w:val="single" w:sz="4" w:color="888888"/>
              <w:left w:val="single" w:sz="4" w:color="888888"/>
              <w:bottom w:val="single" w:sz="4" w:color="888888"/>
              <w:right w:val="single" w:sz="4" w:color="888888"/>
            </w:tcBorders>
          </w:tcPr>
          <w:p>
            <w:r>
              <w:rPr>
                <w:b/>
              </w:rPr>
            </w:r>
            <w:r>
              <w:rPr>
                <w:b/>
                <w:sz w:val="20"/>
              </w:rPr>
              <w:t>33</w:t>
            </w:r>
          </w:p>
        </w:tc>
        <w:tc>
          <w:tcPr>
            <w:tcW w:w="1900" w:type="dxa"/>
            <w:tcBorders>
              <w:top w:val="single" w:sz="4" w:color="888888"/>
              <w:left w:val="single" w:sz="4" w:color="888888"/>
              <w:bottom w:val="single" w:sz="4" w:color="888888"/>
              <w:right w:val="single" w:sz="4" w:color="888888"/>
            </w:tcBorders>
          </w:tcPr>
          <w:p>
            <w:r>
              <w:rPr>
                <w:b/>
              </w:rPr>
            </w:r>
            <w:r>
              <w:rPr>
                <w:b/>
                <w:sz w:val="20"/>
              </w:rPr>
              <w:t>118</w:t>
            </w:r>
          </w:p>
        </w:tc>
        <w:tc>
          <w:tcPr>
            <w:tcW w:w="1700" w:type="dxa"/>
            <w:tcBorders>
              <w:top w:val="single" w:sz="4" w:color="888888"/>
              <w:left w:val="single" w:sz="4" w:color="888888"/>
              <w:bottom w:val="single" w:sz="4" w:color="888888"/>
              <w:right w:val="single" w:sz="4" w:color="888888"/>
            </w:tcBorders>
          </w:tcPr>
          <w:p>
            <w:r>
              <w:rPr>
                <w:b/>
              </w:rPr>
            </w:r>
            <w:r>
              <w:rPr>
                <w:b/>
                <w:sz w:val="20"/>
              </w:rPr>
              <w:t>22%</w:t>
            </w:r>
          </w:p>
        </w:tc>
        <w:tc>
          <w:tcPr>
            <w:tcW w:w="1360" w:type="dxa"/>
            <w:tcBorders>
              <w:top w:val="single" w:sz="4" w:color="888888"/>
              <w:left w:val="single" w:sz="4" w:color="888888"/>
              <w:bottom w:val="single" w:sz="4" w:color="888888"/>
              <w:right w:val="single" w:sz="4" w:color="888888"/>
            </w:tcBorders>
          </w:tcPr>
          <w:p>
            <w:r>
              <w:rPr>
                <w:b/>
              </w:rPr>
            </w:r>
            <w:r>
              <w:rPr>
                <w:b/>
                <w:sz w:val="20"/>
              </w:rPr>
              <w:t>151 → 61 merged</w:t>
            </w:r>
          </w:p>
        </w:tc>
      </w:tr>
    </w:tbl>
    <w:p/>
    <w:p>
      <w:pPr>
        <w:pStyle w:val="Heading2"/>
      </w:pPr>
      <w:r>
        <w:rPr>
          <w:color w:val="1F3864"/>
          <w:sz w:val="28"/>
        </w:rPr>
        <w:t>Persona commentary</w:t>
      </w:r>
    </w:p>
    <w:p>
      <w:r>
        <w:rPr>
          <w:b/>
          <w:i w:val="0"/>
          <w:sz w:val="22"/>
        </w:rPr>
        <w:t>Clinical</w:t>
      </w:r>
    </w:p>
    <w:p>
      <w:r>
        <w:rPr>
          <w:b w:val="0"/>
          <w:i w:val="0"/>
          <w:sz w:val="22"/>
        </w:rPr>
        <w:t>The clinical persona produced the broadest persona-level contribution to the matched set (11 of 16 matched topics), covering the full spectrum of trial conduct, internal validity, subgroup credibility, safety and HRQoL. Its highest-impact contributions to the matched set were T-01 (BICR vs investigator PFS), T-02 (disposition by IMDC subgroup) and T-03 (UK RWE source overlap). It also generated the largest pool of unmatched topics — these include scope-deviation critiques (T-17 ITT vs favourable-risk framing, T-19 PD-L1 exclusion) and external-validity concerns (T-24 UK representation, T-26 sunitinib schedule) that NICE did not pursue in clarification but which may surface in committee discussion.</w:t>
      </w:r>
    </w:p>
    <w:p>
      <w:r>
        <w:rPr>
          <w:b/>
          <w:i w:val="0"/>
          <w:sz w:val="22"/>
        </w:rPr>
        <w:t>Statistician</w:t>
      </w:r>
    </w:p>
    <w:p>
      <w:r>
        <w:rPr>
          <w:b w:val="0"/>
          <w:i w:val="0"/>
          <w:sz w:val="22"/>
        </w:rPr>
        <w:t>The statistician contributed to the methodologically deep matched topics: T-08 (PH testing and parametric choice), T-11 (utility regression), T-15 (treatment-switching adjustment). Its match rate (23%) reflects the heavy emphasis on diagnostic detail (Schoenfeld residuals, log-cumulative hazard plots, Cholesky decomposition, fractional polynomial NMA per TSD 19) that is decision-critical at the EAR stage but rarely asked verbatim in clarification. Its highest-priority unmatched contribution is T-46 (PSA instability of generalised gamma sunitinib OS — explicitly acknowledged in B.3.9.1 as "unrealistic extrapolations" but not pursued by NICE at clarification).</w:t>
      </w:r>
    </w:p>
    <w:p>
      <w:r>
        <w:rPr>
          <w:b/>
          <w:i w:val="0"/>
          <w:sz w:val="22"/>
        </w:rPr>
        <w:t>Health economist</w:t>
      </w:r>
    </w:p>
    <w:p>
      <w:r>
        <w:rPr>
          <w:b w:val="0"/>
          <w:i w:val="0"/>
          <w:sz w:val="22"/>
        </w:rPr>
        <w:t>The health economist produced the largest absolute number of questions (50) but had the second-lowest match rate (18%). Its matched contributions are concentrated in the high-priority NICE items: T-07 time horizon (B1), T-08 hazard/PH (B2), T-11 utility regression (B7), T-12 nivolumab assumption (B8), T-13 AE costs (B9), T-16 subsequent therapy distribution (B10). The 41 unmatched topics cover the standard EAG cost-effectiveness checklist (cross-TA consistency, vintage of reference costs, waning scenarios, OWSA scope, CEAC at multiple thresholds, generic axitinib pricing) — items that normally surface in the EAR rather than the clarification letter.</w:t>
      </w:r>
    </w:p>
    <w:p>
      <w:r>
        <w:rPr>
          <w:b/>
          <w:i w:val="0"/>
          <w:sz w:val="22"/>
        </w:rPr>
        <w:t>Information specialist</w:t>
      </w:r>
    </w:p>
    <w:p>
      <w:r>
        <w:rPr>
          <w:b w:val="0"/>
          <w:i w:val="0"/>
          <w:sz w:val="22"/>
        </w:rPr>
        <w:t>The information specialist had the lowest match rate (17%) because NICE asked only a single bundled SLR-methodology question (A10) rather than the full PRISMA-S / Cochrane / NICE RWE Framework checklist. Its matched contributions to T-04 (RWE SLR report), T-05 (NMA report) and T-14 (DOF confidentiality) reflect direct artefact requests, while its unmatched topics — PROSPERO registration, line-by-line search strategies, PRISMA 2020 flow diagrams, two-reviewer methodology, risk-of-bias traffic-light summaries — would normally appear in a fuller SLR-methods critique at EAR stage.</w:t>
      </w:r>
    </w:p>
    <w:p>
      <w:r>
        <w:br w:type="page"/>
      </w:r>
    </w:p>
    <w:p>
      <w:pPr>
        <w:pStyle w:val="Heading1"/>
      </w:pPr>
      <w:r>
        <w:rPr>
          <w:color w:val="1F3864"/>
          <w:sz w:val="32"/>
        </w:rPr>
        <w:t>Discussion</w:t>
      </w:r>
    </w:p>
    <w:p>
      <w:pPr>
        <w:pStyle w:val="Heading2"/>
      </w:pPr>
      <w:r>
        <w:rPr>
          <w:color w:val="1F3864"/>
          <w:sz w:val="28"/>
        </w:rPr>
        <w:t>Patterns in the matched set</w:t>
      </w:r>
    </w:p>
    <w:p>
      <w:r>
        <w:rPr>
          <w:b w:val="0"/>
          <w:i w:val="0"/>
          <w:sz w:val="22"/>
        </w:rPr>
        <w:t>The 16 matched topics divide into three families. First, document/data requests directly tied to Committee-paper artefacts (T-04 RWE SLR report, T-05 NMA report and feasibility assessment, T-14 DOF confidentiality, T-10 EQ-5D-5L by subgroup) — these matched cleanly to NICE's A8, A9, A6/A7, B6 and C1 because both the specialists and NICE were responding to the same visible signposts in the submission. Second, methodological deep-dives that NICE prioritised (T-08 PH testing and parametric choice → B2 priority; T-11 utility regression → B7 priority; T-12 no-nivolumab assumption → B8 priority; T-07 40-year time horizon → B1 priority). The statistician and health economist personas produced these in detail. Third, NICE-priority issues already prominent in the public submission text that all specialists picked up (T-01 BICR/investigator PFS, T-13 equal AE costs).</w:t>
      </w:r>
    </w:p>
    <w:p>
      <w:pPr>
        <w:pStyle w:val="Heading2"/>
      </w:pPr>
      <w:r>
        <w:rPr>
          <w:color w:val="1F3864"/>
          <w:sz w:val="28"/>
        </w:rPr>
        <w:t>Patterns in the generated-only set</w:t>
      </w:r>
    </w:p>
    <w:p>
      <w:r>
        <w:rPr>
          <w:b w:val="0"/>
          <w:i w:val="0"/>
          <w:sz w:val="22"/>
        </w:rPr>
        <w:t>Forty-five generated topics did not surface in NICE's letter. Most are legitimate critiques that NICE chose not to pursue rather than spurious questions. Examples include: structural scope critiques (T-17 ITT vs favourable-risk base case; T-19 PD-L1 subgroup exclusion; T-18 TKI equivalence assumption) — NICE accepted the company's framing rather than re-litigating it at clarification; methodological challenges that would normally be pursued at the EAR/EAG report stage rather than clarification (T-46 PSA instability of sunitinib OS, T-47 curve crossing, T-50 Cholesky sampling, T-67 treatment-effect waning, T-74 cross-TA consistency); SLR-process critiques (T-77 PROSPERO registration, T-78 line-by-line strategies, T-86 publication bias, T-95 risk-of-bias traffic-light) — NICE asked only a single bundled SLR question (A10) rather than the full PRISMA-S/Cochrane checklist; and disease-specific clinical depth (T-22 OS maturity, T-26 sunitinib 4/2 vs 2/1, T-29 sarcomatoid, T-31 intermediate vs poor separation) which the clinical persona emphasised but which NICE did not pursue in clarification — likely because these are committee-discussion items, not document-request items.</w:t>
      </w:r>
    </w:p>
    <w:p>
      <w:pPr>
        <w:pStyle w:val="Heading2"/>
      </w:pPr>
      <w:r>
        <w:rPr>
          <w:color w:val="1F3864"/>
          <w:sz w:val="28"/>
        </w:rPr>
        <w:t>Patterns in NICE-only (missed) — the dominant cause</w:t>
      </w:r>
    </w:p>
    <w:p>
      <w:r>
        <w:rPr>
          <w:b w:val="0"/>
          <w:i w:val="0"/>
          <w:sz w:val="22"/>
        </w:rPr>
        <w:t>All seven missed items share a single characteristic: they are findings produced by direct, cell-by-cell audit of artefacts the specialists did not have in front of them. A2 (FKSI-DRS missing from B.2.6), A3 (n=25 vs n=28 death-discontinuation cell discrepancy), A5 (monotherapy AE rates referenced but unlocatable), B3 (KM timepoint mismatch between model workbook and DOF tables), B4 (Table 56 Grade ≥3 TRAEs omitted), B11 (age/sex/weight model inputs untraceable to JAVELIN source), and B12 (CS text vs Costs!G86/G118/H183/G234 input value discrepancies). The specialists worked from the public Committee-papers PDF and so could not interrogate the executable Excel model, the full CSR, or the underlying DOF analysis files. The generated set asked for these artefacts (CLIN-Merck-7 for unredacted Table 11; HE-Merck-1 for the executable model; HE-Merck-49 for cell-exact reproducibility; INFO-Merck-25 for the DOF list) but could not have identified the specific within-artefact discrepancies until those artefacts were actually opened. This is the canonical pre-clarification limitation: the EAG's most decision-relevant clarification questions are reactive findings from the workbook and CSR rather than proactive critiques of the public submission text.</w:t>
      </w:r>
    </w:p>
    <w:p>
      <w:pPr>
        <w:pStyle w:val="Heading2"/>
      </w:pPr>
      <w:r>
        <w:rPr>
          <w:color w:val="1F3864"/>
          <w:sz w:val="28"/>
        </w:rPr>
        <w:t>Document requests handled in different form</w:t>
      </w:r>
    </w:p>
    <w:p>
      <w:r>
        <w:rPr>
          <w:b w:val="0"/>
          <w:i w:val="0"/>
          <w:sz w:val="22"/>
        </w:rPr>
        <w:t>Several NICE questions are precise document requests where the generated set asked for the same artefact in a broader frame. A8 (RWE SLR report) maps to INFO-Merck-1's broader Appendix D request and INFO-Merck-12's RWE risk-of-bias request. A9 (separate NMA report) maps to a cluster of generated questions on NMA composition, feasibility, risk of bias and trial inclusion. C1 (DOF confidentiality treatment) maps to INFO-Merck-25's consolidated DOF list request. The matching was done at the artefact level rather than the wording level; the generated set's "please provide unredacted/full X" formulation is functionally equivalent to NICE's "please provide reference Y" when the underlying artefact is the same.</w:t>
      </w:r>
    </w:p>
    <w:p>
      <w:pPr>
        <w:pStyle w:val="Heading2"/>
      </w:pPr>
      <w:r>
        <w:rPr>
          <w:color w:val="1F3864"/>
          <w:sz w:val="28"/>
        </w:rPr>
        <w:t>Limitations of the AI review</w:t>
      </w:r>
    </w:p>
    <w:p>
      <w:pPr>
        <w:pStyle w:val="ListBullet"/>
      </w:pPr>
      <w:r>
        <w:t>Cannot audit Excel cell values: the AI review worked from the Committee papers PDF only and could not run the executable model, so cell-level discrepancies (B11, B12) and KM timepoint mismatches (B3) were unreachable.</w:t>
      </w:r>
    </w:p>
    <w:p>
      <w:pPr>
        <w:pStyle w:val="ListBullet"/>
      </w:pPr>
      <w:r>
        <w:t>Cannot cross-reference CSR appendix tables in isolation: A2 (FKSI-DRS) and A5 (monotherapy AE rates) required line-by-line CSR lookup that the AI could not perform without the full CSR.</w:t>
      </w:r>
    </w:p>
    <w:p>
      <w:pPr>
        <w:pStyle w:val="ListBullet"/>
      </w:pPr>
      <w:r>
        <w:t>Cannot detect orphaned outcome references without the full CSR: the AI flagged broad data-on-file and unredaction requests but could not identify the specific orphaned-outcome anomaly that distinguishes A2.</w:t>
      </w:r>
    </w:p>
    <w:p>
      <w:pPr>
        <w:pStyle w:val="ListBullet"/>
      </w:pPr>
      <w:r>
        <w:t>Verbosity and lack of prioritisation: the AI generated 151 questions across 61 topics. NICE asked 23. The AI is not constrained by the practical limits of clarification correspondence (typically 10–15 prioritised questions).</w:t>
      </w:r>
    </w:p>
    <w:p>
      <w:pPr>
        <w:pStyle w:val="Heading2"/>
      </w:pPr>
      <w:r>
        <w:rPr>
          <w:color w:val="1F3864"/>
          <w:sz w:val="28"/>
        </w:rPr>
        <w:t>Limitations of the comparison</w:t>
      </w:r>
    </w:p>
    <w:p>
      <w:r>
        <w:rPr>
          <w:b w:val="0"/>
          <w:i w:val="0"/>
          <w:sz w:val="22"/>
        </w:rPr>
        <w:t>NICE asks only priority and tractable questions; the AI is not constrained that way. The 69.6% hit rate reflects how often a generated topic and a NICE topic interrogated the same artefact or methodological issue; it does not measure question quality, depth, or priority alignment. Conservative matching means borderline cases (e.g., the breadth of HE-Merck-33 vs the narrowness of NICE B9) are credited as matched on the basis of artefact overlap. NICE's three priority "Yes" methodological items (B1, B2, B7) are all matched; the two NICE priority "Yes" items missed (B11, B12) reflect the audit-vs-critique distinction rather than a methodological gap.</w:t>
      </w:r>
    </w:p>
    <w:p>
      <w:r>
        <w:br w:type="page"/>
      </w:r>
    </w:p>
    <w:p>
      <w:pPr>
        <w:pStyle w:val="Heading1"/>
      </w:pPr>
      <w:r>
        <w:rPr>
          <w:color w:val="1F3864"/>
          <w:sz w:val="32"/>
        </w:rPr>
        <w:t>Conclusion</w:t>
      </w:r>
    </w:p>
    <w:p>
      <w:r>
        <w:rPr>
          <w:b w:val="0"/>
          <w:i w:val="0"/>
          <w:sz w:val="22"/>
        </w:rPr>
        <w:t>The AI-assisted EAG simulation would have identified 16 of the 23 actual NICE clarification questions (69.6% hit rate), including all three priority "Yes" methodological deep-dives (time horizon, hazard plots / proportional hazards, utility regression). The seven missed items are all reactive findings from direct workbook and CSR audit — artefacts the AI did not have at the pre-clarification stage. Suggested use cases: (1) pre-EAG triage to pre-populate the clarification letter draft before the specialist team opens the executable model; (2) training of new EAG analysts against a calibrated reference of NICE clarification patterns; (3) audit of completed EAG reports to identify methodological topics the team did not pursue but for which a written record may be required.</w:t>
      </w:r>
    </w:p>
    <w:p>
      <w:r>
        <w:br w:type="page"/>
      </w:r>
    </w:p>
    <w:p>
      <w:pPr>
        <w:pStyle w:val="Heading1"/>
      </w:pPr>
      <w:r>
        <w:rPr>
          <w:color w:val="1F3864"/>
          <w:sz w:val="32"/>
        </w:rPr>
        <w:t>Appendix A: Full generated question list</w:t>
      </w:r>
    </w:p>
    <w:p>
      <w:r>
        <w:rPr>
          <w:b w:val="0"/>
          <w:i/>
          <w:sz w:val="20"/>
        </w:rPr>
        <w:t>This appendix reproduces the four specialist outputs in full, in the form they were generated. IDs are stable across the comparison tables (e.g. CLIN-Merck-5 referenced in T-01 is the same CLIN-Merck-5 below).</w:t>
      </w:r>
    </w:p>
    <w:p>
      <w:pPr>
        <w:pStyle w:val="Heading2"/>
      </w:pPr>
      <w:r>
        <w:rPr>
          <w:color w:val="1F3864"/>
          <w:sz w:val="28"/>
        </w:rPr>
        <w:t>A.1 Clinical questions</w:t>
      </w:r>
    </w:p>
    <w:p>
      <w:pPr>
        <w:pStyle w:val="Heading3"/>
      </w:pPr>
      <w:r>
        <w:rPr>
          <w:color w:val="1F3864"/>
          <w:sz w:val="24"/>
        </w:rPr>
        <w:t>Clinical clarification questions from the EAG</w:t>
      </w:r>
    </w:p>
    <w:p>
      <w:r>
        <w:rPr>
          <w:sz w:val="20"/>
        </w:rPr>
        <w:t>Conventions: CLIN-Merck-N (single recipient — Merck)</w:t>
      </w:r>
    </w:p>
    <w:p>
      <w:pPr>
        <w:pStyle w:val="Heading3"/>
      </w:pPr>
      <w:r>
        <w:rPr>
          <w:color w:val="1F3864"/>
          <w:sz w:val="24"/>
        </w:rPr>
        <w:t>A. DEVIATIONS FROM THE NICE FINAL SCOPE</w:t>
      </w:r>
    </w:p>
    <w:p>
      <w:r>
        <w:rPr>
          <w:b/>
          <w:sz w:val="22"/>
        </w:rPr>
        <w:t>CLIN-Merck-1</w:t>
      </w:r>
    </w:p>
    <w:p>
      <w:pPr>
        <w:pStyle w:val="ListBullet"/>
      </w:pPr>
      <w:r>
        <w:rPr>
          <w:b/>
          <w:sz w:val="20"/>
        </w:rPr>
        <w:t xml:space="preserve">Recipient: </w:t>
      </w:r>
      <w:r>
        <w:rPr>
          <w:sz w:val="20"/>
        </w:rPr>
        <w:t>Merck</w:t>
      </w:r>
    </w:p>
    <w:p>
      <w:pPr>
        <w:pStyle w:val="ListBullet"/>
      </w:pPr>
      <w:r>
        <w:rPr>
          <w:b/>
          <w:sz w:val="20"/>
        </w:rPr>
        <w:t xml:space="preserve">Topic: </w:t>
      </w:r>
      <w:r>
        <w:rPr>
          <w:sz w:val="20"/>
        </w:rPr>
        <w:t>Population framing — base case restricted to favourable-risk</w:t>
      </w:r>
    </w:p>
    <w:p>
      <w:pPr>
        <w:pStyle w:val="ListBullet"/>
      </w:pPr>
      <w:r>
        <w:rPr>
          <w:b/>
          <w:sz w:val="20"/>
        </w:rPr>
        <w:t xml:space="preserve">Question: </w:t>
      </w:r>
      <w:r>
        <w:rPr>
          <w:sz w:val="20"/>
        </w:rPr>
        <w:t>The NICE final scope specifies the population as "Adults with untreated advanced renal cell carcinoma", with favourable-risk, intermediate-/poor-risk and PD-L1 status considered "if the evidence allows" only as subgroups. The submission instead frames the cost-effectiveness base case around the favourable-risk subgroup (Section B.3.2.1), with intermediate-/poor-risk presented as a subgroup analysis and the full ITT population relegated to Appendix O. Please (a) justify, with reference to the marketing authorisation wording, why the company considers the IMDC-stratified analyses primary rather than the ITT population specified in the scope; (b) confirm whether the company is seeking a positioning restricted by IMDC risk or the full licence; and (c) present base-case clinical and cost-effectiveness results for the ITT population in the main body of the submission for the appraisal committee.</w:t>
      </w:r>
    </w:p>
    <w:p>
      <w:pPr>
        <w:pStyle w:val="ListBullet"/>
      </w:pPr>
      <w:r>
        <w:rPr>
          <w:b/>
          <w:sz w:val="20"/>
        </w:rPr>
        <w:t xml:space="preserve">Rationale: </w:t>
      </w:r>
      <w:r>
        <w:rPr>
          <w:sz w:val="20"/>
        </w:rPr>
        <w:t>The NICE scope is the reference document for the appraisal. The submission's structure (favourable-risk base case; intermediate-/poor-risk and ITT in appendix) reverses the hierarchy the scope sets out and would constrain how the committee weighs the evidence. The marketing authorisation is for first-line aRCC without IMDC restriction.</w:t>
      </w:r>
    </w:p>
    <w:p>
      <w:r>
        <w:rPr>
          <w:b/>
          <w:sz w:val="22"/>
        </w:rPr>
        <w:t>CLIN-Merck-2</w:t>
      </w:r>
    </w:p>
    <w:p>
      <w:pPr>
        <w:pStyle w:val="ListBullet"/>
      </w:pPr>
      <w:r>
        <w:rPr>
          <w:b/>
          <w:sz w:val="20"/>
        </w:rPr>
        <w:t xml:space="preserve">Recipient: </w:t>
      </w:r>
      <w:r>
        <w:rPr>
          <w:sz w:val="20"/>
        </w:rPr>
        <w:t>Merck</w:t>
      </w:r>
    </w:p>
    <w:p>
      <w:pPr>
        <w:pStyle w:val="ListBullet"/>
      </w:pPr>
      <w:r>
        <w:rPr>
          <w:b/>
          <w:sz w:val="20"/>
        </w:rPr>
        <w:t xml:space="preserve">Topic: </w:t>
      </w:r>
      <w:r>
        <w:rPr>
          <w:sz w:val="20"/>
        </w:rPr>
        <w:t>Omission of an ITC versus favourable-risk TKI comparators (pazopanib, tivozanib)</w:t>
      </w:r>
    </w:p>
    <w:p>
      <w:pPr>
        <w:pStyle w:val="ListBullet"/>
      </w:pPr>
      <w:r>
        <w:rPr>
          <w:b/>
          <w:sz w:val="20"/>
        </w:rPr>
        <w:t xml:space="preserve">Question: </w:t>
      </w:r>
      <w:r>
        <w:rPr>
          <w:sz w:val="20"/>
        </w:rPr>
        <w:t>Section B.2.10 states that "an ITC was not deemed necessary for the favourable-risk or ITT populations" because TKI monotherapies are assumed to have broadly equivalent efficacy, citing Manz et al. 2019 and precedent from TA645/TA512. Please (a) provide the full reference and methodological details of the Manz NMA (population, included trials, outcomes, model fit); (b) confirm whether the assumption of TKI equivalence was tested in the IMDC favourable-risk subgroup specifically (where outcomes differ markedly from the ITT) or only in mixed-risk populations; and (c) provide a within-trial or subgroup-level comparison of pazopanib and tivozanib outcomes in favourable-risk patients sufficient to support the assumption.</w:t>
      </w:r>
    </w:p>
    <w:p>
      <w:pPr>
        <w:pStyle w:val="ListBullet"/>
      </w:pPr>
      <w:r>
        <w:rPr>
          <w:b/>
          <w:sz w:val="20"/>
        </w:rPr>
        <w:t xml:space="preserve">Rationale: </w:t>
      </w:r>
      <w:r>
        <w:rPr>
          <w:sz w:val="20"/>
        </w:rPr>
        <w:t>The favourable-risk subgroup is the company's base case. Assuming pazopanib and tivozanib are equivalent to sunitinib (TTD, PFS, OS, RDI all assumed equal — Section B.3.3.2.1; Table 55; Table 63) drives the entire favourable-risk comparator analysis. The EAG requires explicit justification, particularly because tivozanib (TA512) and pazopanib (TA215) were each appraised on their own evidence.</w:t>
      </w:r>
    </w:p>
    <w:p>
      <w:r>
        <w:rPr>
          <w:b/>
          <w:sz w:val="22"/>
        </w:rPr>
        <w:t>CLIN-Merck-3</w:t>
      </w:r>
    </w:p>
    <w:p>
      <w:pPr>
        <w:pStyle w:val="ListBullet"/>
      </w:pPr>
      <w:r>
        <w:rPr>
          <w:b/>
          <w:sz w:val="20"/>
        </w:rPr>
        <w:t xml:space="preserve">Recipient: </w:t>
      </w:r>
      <w:r>
        <w:rPr>
          <w:sz w:val="20"/>
        </w:rPr>
        <w:t>Merck</w:t>
      </w:r>
    </w:p>
    <w:p>
      <w:pPr>
        <w:pStyle w:val="ListBullet"/>
      </w:pPr>
      <w:r>
        <w:rPr>
          <w:b/>
          <w:sz w:val="20"/>
        </w:rPr>
        <w:t xml:space="preserve">Topic: </w:t>
      </w:r>
      <w:r>
        <w:rPr>
          <w:sz w:val="20"/>
        </w:rPr>
        <w:t>Exclusion of PD-L1 subgroup from the cost-effectiveness analysis</w:t>
      </w:r>
    </w:p>
    <w:p>
      <w:pPr>
        <w:pStyle w:val="ListBullet"/>
      </w:pPr>
      <w:r>
        <w:rPr>
          <w:b/>
          <w:sz w:val="20"/>
        </w:rPr>
        <w:t xml:space="preserve">Question: </w:t>
      </w:r>
      <w:r>
        <w:rPr>
          <w:sz w:val="20"/>
        </w:rPr>
        <w:t>The NICE final scope lists PD-L1 status as a pre-specified subgroup. The submission presents efficacy results for PD-L1+ patients (Table 20) but states (Section B.3.2.2) that PD-L1 was not explored in cost-effectiveness analyses on the basis of clinical expert opinion. Please (a) provide unredacted PFS and OS hazard ratios with 95% CIs by PD-L1 status in both IMDC favourable-risk and IMDC intermediate-/poor-risk subgroups; (b) confirm whether the PD-L1- (negative) subgroup has been characterised, and present those data; and (c) explain why the PD-L1+ primary endpoint population — for which the trial was powered — is not used to test the robustness of conclusions in the cost-effectiveness model.</w:t>
      </w:r>
    </w:p>
    <w:p>
      <w:pPr>
        <w:pStyle w:val="ListBullet"/>
      </w:pPr>
      <w:r>
        <w:rPr>
          <w:b/>
          <w:sz w:val="20"/>
        </w:rPr>
        <w:t xml:space="preserve">Rationale: </w:t>
      </w:r>
      <w:r>
        <w:rPr>
          <w:sz w:val="20"/>
        </w:rPr>
        <w:t>PD-L1 status was the powered primary endpoint population in JAVELIN Renal 101. Excluding it from the cost-effectiveness analysis on the strength of unspecified expert opinion is a scope deviation that requires committee-visible evidence.</w:t>
      </w:r>
    </w:p>
    <w:p>
      <w:r>
        <w:rPr>
          <w:b/>
          <w:sz w:val="22"/>
        </w:rPr>
        <w:t>CLIN-Merck-4</w:t>
      </w:r>
    </w:p>
    <w:p>
      <w:pPr>
        <w:pStyle w:val="ListBullet"/>
      </w:pPr>
      <w:r>
        <w:rPr>
          <w:b/>
          <w:sz w:val="20"/>
        </w:rPr>
        <w:t xml:space="preserve">Recipient: </w:t>
      </w:r>
      <w:r>
        <w:rPr>
          <w:sz w:val="20"/>
        </w:rPr>
        <w:t>Merck</w:t>
      </w:r>
    </w:p>
    <w:p>
      <w:pPr>
        <w:pStyle w:val="ListBullet"/>
      </w:pPr>
      <w:r>
        <w:rPr>
          <w:b/>
          <w:sz w:val="20"/>
        </w:rPr>
        <w:t xml:space="preserve">Topic: </w:t>
      </w:r>
      <w:r>
        <w:rPr>
          <w:sz w:val="20"/>
        </w:rPr>
        <w:t>Marketing authorisation wording vs trial eligibility</w:t>
      </w:r>
    </w:p>
    <w:p>
      <w:pPr>
        <w:pStyle w:val="ListBullet"/>
      </w:pPr>
      <w:r>
        <w:rPr>
          <w:b/>
          <w:sz w:val="20"/>
        </w:rPr>
        <w:t xml:space="preserve">Question: </w:t>
      </w:r>
      <w:r>
        <w:rPr>
          <w:sz w:val="20"/>
        </w:rPr>
        <w:t>Please provide the exact UK marketing authorisation wording for avelumab + axitinib in first-line aRCC, and (a) map it against the JAVELIN Renal 101 eligibility criteria (Table 6), specifically identifying any restriction by histology (clear-cell component required in the trial), ECOG (0–1 in the trial), prior treatment, brain metastases, or IMDC risk; (b) confirm whether the marketing authorisation requires a clear-cell component (since the trial excluded patients without a clear-cell component); and (c) describe the proportion of UK aRCC patients in real-world data who would fall outside the JAVELIN eligibility criteria but inside the licence.</w:t>
      </w:r>
    </w:p>
    <w:p>
      <w:pPr>
        <w:pStyle w:val="ListBullet"/>
      </w:pPr>
      <w:r>
        <w:rPr>
          <w:b/>
          <w:sz w:val="20"/>
        </w:rPr>
        <w:t xml:space="preserve">Rationale: </w:t>
      </w:r>
      <w:r>
        <w:rPr>
          <w:sz w:val="20"/>
        </w:rPr>
        <w:t>The licence may be broader than the trial population (e.g. non-clear-cell histology, ECOG 2). The committee needs to know whether the submission's cost-effectiveness extrapolations are applicable across the full licensed indication.</w:t>
      </w:r>
    </w:p>
    <w:p>
      <w:pPr>
        <w:pStyle w:val="Heading3"/>
      </w:pPr>
      <w:r>
        <w:rPr>
          <w:color w:val="1F3864"/>
          <w:sz w:val="24"/>
        </w:rPr>
        <w:t>B. TRIAL DESIGN, CONDUCT AND INTERNAL VALIDITY</w:t>
      </w:r>
    </w:p>
    <w:p>
      <w:r>
        <w:rPr>
          <w:b/>
          <w:sz w:val="22"/>
        </w:rPr>
        <w:t>CLIN-Merck-5</w:t>
      </w:r>
    </w:p>
    <w:p>
      <w:pPr>
        <w:pStyle w:val="ListBullet"/>
      </w:pPr>
      <w:r>
        <w:rPr>
          <w:b/>
          <w:sz w:val="20"/>
        </w:rPr>
        <w:t xml:space="preserve">Recipient: </w:t>
      </w:r>
      <w:r>
        <w:rPr>
          <w:sz w:val="20"/>
        </w:rPr>
        <w:t>Merck</w:t>
      </w:r>
    </w:p>
    <w:p>
      <w:pPr>
        <w:pStyle w:val="ListBullet"/>
      </w:pPr>
      <w:r>
        <w:rPr>
          <w:b/>
          <w:sz w:val="20"/>
        </w:rPr>
        <w:t xml:space="preserve">Topic: </w:t>
      </w:r>
      <w:r>
        <w:rPr>
          <w:sz w:val="20"/>
        </w:rPr>
        <w:t>Switch from BICR- to investigator-assessed PFS after IA2</w:t>
      </w:r>
    </w:p>
    <w:p>
      <w:pPr>
        <w:pStyle w:val="ListBullet"/>
      </w:pPr>
      <w:r>
        <w:rPr>
          <w:b/>
          <w:sz w:val="20"/>
        </w:rPr>
        <w:t xml:space="preserve">Question: </w:t>
      </w:r>
      <w:r>
        <w:rPr>
          <w:sz w:val="20"/>
        </w:rPr>
        <w:t>Table 7 and Section B.2.6.1.2 indicate that PFS was assessed by BICR for IA1 (DCO 20 June 2018) and IA2 (DCO 28 January 2019), but "BICR activities subsequently ended" and PFS was assessed by investigator for IA3 and the FA. Please (a) explain the prospective rationale for terminating BICR after IA2 and whether this was protocol-specified; (b) provide the concordance statistics (e.g. absolute and proportional disagreement rates, HR with and without BICR) between BICR and investigator-assessed PFS at IA1 and IA2, in the FAS and by IMDC subgroup; (c) confirm whether the open-label investigators were aware of treatment allocation at the time of investigator-assessed progression decisions used in the FA; and (d) provide an FA PFS estimate using the BICR rules retrospectively where data permit (e.g. for the IA2 BICR cohort).</w:t>
      </w:r>
    </w:p>
    <w:p>
      <w:pPr>
        <w:pStyle w:val="ListBullet"/>
      </w:pPr>
      <w:r>
        <w:rPr>
          <w:b/>
          <w:sz w:val="20"/>
        </w:rPr>
        <w:t xml:space="preserve">Rationale: </w:t>
      </w:r>
      <w:r>
        <w:rPr>
          <w:sz w:val="20"/>
        </w:rPr>
        <w:t>Open-label investigator assessment of PFS is at high risk of detection bias, particularly where pseudo-progression on immunotherapy and dose interruption on TKIs may differ. The submission relies on investigator-assessed FA PFS in both subgroups, including for the economic model.</w:t>
      </w:r>
    </w:p>
    <w:p>
      <w:r>
        <w:rPr>
          <w:b/>
          <w:sz w:val="22"/>
        </w:rPr>
        <w:t>CLIN-Merck-6</w:t>
      </w:r>
    </w:p>
    <w:p>
      <w:pPr>
        <w:pStyle w:val="ListBullet"/>
      </w:pPr>
      <w:r>
        <w:rPr>
          <w:b/>
          <w:sz w:val="20"/>
        </w:rPr>
        <w:t xml:space="preserve">Recipient: </w:t>
      </w:r>
      <w:r>
        <w:rPr>
          <w:sz w:val="20"/>
        </w:rPr>
        <w:t>Merck</w:t>
      </w:r>
    </w:p>
    <w:p>
      <w:pPr>
        <w:pStyle w:val="ListBullet"/>
      </w:pPr>
      <w:r>
        <w:rPr>
          <w:b/>
          <w:sz w:val="20"/>
        </w:rPr>
        <w:t xml:space="preserve">Topic: </w:t>
      </w:r>
      <w:r>
        <w:rPr>
          <w:sz w:val="20"/>
        </w:rPr>
        <w:t>Censoring rules for PFS</w:t>
      </w:r>
    </w:p>
    <w:p>
      <w:pPr>
        <w:pStyle w:val="ListBullet"/>
      </w:pPr>
      <w:r>
        <w:rPr>
          <w:b/>
          <w:sz w:val="20"/>
        </w:rPr>
        <w:t xml:space="preserve">Question: </w:t>
      </w:r>
      <w:r>
        <w:rPr>
          <w:sz w:val="20"/>
        </w:rPr>
        <w:t>Please specify (a) the exact censoring rules applied for PFS in the FA (including for missed assessments, start of subsequent therapy, lost to follow-up, withdrawal of consent, and clinical progression in the absence of radiographic progression); (b) whether an EMA-aligned or FDA-aligned censoring approach was used; and (c) provide a sensitivity analysis of PFS in the IMDC favourable-risk and intermediate-/poor-risk subgroups under at least one alternative censoring rule (for example, treating start of subsequent therapy as an event).</w:t>
      </w:r>
    </w:p>
    <w:p>
      <w:pPr>
        <w:pStyle w:val="ListBullet"/>
      </w:pPr>
      <w:r>
        <w:rPr>
          <w:b/>
          <w:sz w:val="20"/>
        </w:rPr>
        <w:t xml:space="preserve">Rationale: </w:t>
      </w:r>
      <w:r>
        <w:rPr>
          <w:sz w:val="20"/>
        </w:rPr>
        <w:t>PFS is sensitive to censoring rules; in long-follow-up open-label studies, the choice has a material effect on HR. The submission does not document this transparently.</w:t>
      </w:r>
    </w:p>
    <w:p>
      <w:r>
        <w:rPr>
          <w:b/>
          <w:sz w:val="22"/>
        </w:rPr>
        <w:t>CLIN-Merck-7</w:t>
      </w:r>
    </w:p>
    <w:p>
      <w:pPr>
        <w:pStyle w:val="ListBullet"/>
      </w:pPr>
      <w:r>
        <w:rPr>
          <w:b/>
          <w:sz w:val="20"/>
        </w:rPr>
        <w:t xml:space="preserve">Recipient: </w:t>
      </w:r>
      <w:r>
        <w:rPr>
          <w:sz w:val="20"/>
        </w:rPr>
        <w:t>Merck</w:t>
      </w:r>
    </w:p>
    <w:p>
      <w:pPr>
        <w:pStyle w:val="ListBullet"/>
      </w:pPr>
      <w:r>
        <w:rPr>
          <w:b/>
          <w:sz w:val="20"/>
        </w:rPr>
        <w:t xml:space="preserve">Topic: </w:t>
      </w:r>
      <w:r>
        <w:rPr>
          <w:sz w:val="20"/>
        </w:rPr>
        <w:t>Loss to follow-up and consent withdrawal patterns by arm</w:t>
      </w:r>
    </w:p>
    <w:p>
      <w:pPr>
        <w:pStyle w:val="ListBullet"/>
      </w:pPr>
      <w:r>
        <w:rPr>
          <w:b/>
          <w:sz w:val="20"/>
        </w:rPr>
        <w:t xml:space="preserve">Question: </w:t>
      </w:r>
      <w:r>
        <w:rPr>
          <w:sz w:val="20"/>
        </w:rPr>
        <w:t>Table 11 (patient disposition at FA) contains several redacted entries (non-compliance, protocol deviation, eligibility, withdrawal by participant, lost to follow-up). Please unredact these figures by arm and (a) provide the IMDC favourable-risk and intermediate-/poor-risk specific patient disposition tables; (b) characterise any imbalance in withdrawal of consent or loss to follow-up between arms (overall and within subgroups); and (c) discuss the implications for OS analysis, given that censored patients in long-term follow-up disproportionately affect tail estimates.</w:t>
      </w:r>
    </w:p>
    <w:p>
      <w:pPr>
        <w:pStyle w:val="ListBullet"/>
      </w:pPr>
      <w:r>
        <w:rPr>
          <w:b/>
          <w:sz w:val="20"/>
        </w:rPr>
        <w:t xml:space="preserve">Rationale: </w:t>
      </w:r>
      <w:r>
        <w:rPr>
          <w:sz w:val="20"/>
        </w:rPr>
        <w:t>The numerical OS benefit in favourable-risk patients is concentrated in the tail (after ~30 months — Section B.2.6.1.1). Differential censoring between arms could bias these tail estimates.</w:t>
      </w:r>
    </w:p>
    <w:p>
      <w:r>
        <w:rPr>
          <w:b/>
          <w:sz w:val="22"/>
        </w:rPr>
        <w:t>CLIN-Merck-8</w:t>
      </w:r>
    </w:p>
    <w:p>
      <w:pPr>
        <w:pStyle w:val="ListBullet"/>
      </w:pPr>
      <w:r>
        <w:rPr>
          <w:b/>
          <w:sz w:val="20"/>
        </w:rPr>
        <w:t xml:space="preserve">Recipient: </w:t>
      </w:r>
      <w:r>
        <w:rPr>
          <w:sz w:val="20"/>
        </w:rPr>
        <w:t>Merck</w:t>
      </w:r>
    </w:p>
    <w:p>
      <w:pPr>
        <w:pStyle w:val="ListBullet"/>
      </w:pPr>
      <w:r>
        <w:rPr>
          <w:b/>
          <w:sz w:val="20"/>
        </w:rPr>
        <w:t xml:space="preserve">Topic: </w:t>
      </w:r>
      <w:r>
        <w:rPr>
          <w:sz w:val="20"/>
        </w:rPr>
        <w:t>OS data maturity in IMDC subgroups</w:t>
      </w:r>
    </w:p>
    <w:p>
      <w:pPr>
        <w:pStyle w:val="ListBullet"/>
      </w:pPr>
      <w:r>
        <w:rPr>
          <w:b/>
          <w:sz w:val="20"/>
        </w:rPr>
        <w:t xml:space="preserve">Question: </w:t>
      </w:r>
      <w:r>
        <w:rPr>
          <w:sz w:val="20"/>
        </w:rPr>
        <w:t>Please confirm the OS event count, percentage maturity, and median follow-up by treatment arm at DCO 31 August 2023 for (a) the IMDC favourable-risk subgroup (the base case population), (b) the IMDC intermediate-/poor-risk subgroup, and (c) the IMDC favourable-risk × PD-L1+ subgroup. For the favourable-risk subgroup, the submission reports 44/94 (46.8%) and 52/96 (54.2%) deaths with median OS of 79.4 vs 65.5 months — please confirm whether these maturity levels meet pre-specified criteria for reliable median OS estimation, and present a sensitivity analysis with restricted follow-up matched between arms.</w:t>
      </w:r>
    </w:p>
    <w:p>
      <w:pPr>
        <w:pStyle w:val="ListBullet"/>
      </w:pPr>
      <w:r>
        <w:rPr>
          <w:b/>
          <w:sz w:val="20"/>
        </w:rPr>
        <w:t xml:space="preserve">Rationale: </w:t>
      </w:r>
      <w:r>
        <w:rPr>
          <w:sz w:val="20"/>
        </w:rPr>
        <w:t>OS maturity in the favourable-risk subgroup is low (~50% of patients still alive). The 79.4-month median is informed by a small number of late events with wide CIs.</w:t>
      </w:r>
    </w:p>
    <w:p>
      <w:r>
        <w:rPr>
          <w:b/>
          <w:sz w:val="22"/>
        </w:rPr>
        <w:t>CLIN-Merck-9</w:t>
      </w:r>
    </w:p>
    <w:p>
      <w:pPr>
        <w:pStyle w:val="ListBullet"/>
      </w:pPr>
      <w:r>
        <w:rPr>
          <w:b/>
          <w:sz w:val="20"/>
        </w:rPr>
        <w:t xml:space="preserve">Recipient: </w:t>
      </w:r>
      <w:r>
        <w:rPr>
          <w:sz w:val="20"/>
        </w:rPr>
        <w:t>Merck</w:t>
      </w:r>
    </w:p>
    <w:p>
      <w:pPr>
        <w:pStyle w:val="ListBullet"/>
      </w:pPr>
      <w:r>
        <w:rPr>
          <w:b/>
          <w:sz w:val="20"/>
        </w:rPr>
        <w:t xml:space="preserve">Topic: </w:t>
      </w:r>
      <w:r>
        <w:rPr>
          <w:sz w:val="20"/>
        </w:rPr>
        <w:t>Stratification and multiplicity in IMDC subgroup analyses</w:t>
      </w:r>
    </w:p>
    <w:p>
      <w:pPr>
        <w:pStyle w:val="ListBullet"/>
      </w:pPr>
      <w:r>
        <w:rPr>
          <w:b/>
          <w:sz w:val="20"/>
        </w:rPr>
        <w:t xml:space="preserve">Question: </w:t>
      </w:r>
      <w:r>
        <w:rPr>
          <w:sz w:val="20"/>
        </w:rPr>
        <w:t>Section B.2.13.2.1 notes that randomisation was stratified only by ECOG performance status and region, not by IMDC risk; that IMDC subgroup analyses were pre-specified but exploratory; that intermediate and poor subgroups were pooled post hoc; and that no multiplicity adjustment was applied. Please (a) confirm whether the IMDC favourable-risk subgroup was specified a priori in the original SAP (including the cut-off date of the pre-specification) and provide the relevant SAP excerpt; (b) provide all available subgroup-by-treatment interaction p-values for PFS and OS; and (c) quantify the impact of imbalance in baseline male sex between arms in the favourable-risk subgroup (noted in Section B.2.3.3, both currently redacted) by providing an adjusted HR for OS and PFS controlling for sex.</w:t>
      </w:r>
    </w:p>
    <w:p>
      <w:pPr>
        <w:pStyle w:val="ListBullet"/>
      </w:pPr>
      <w:r>
        <w:rPr>
          <w:b/>
          <w:sz w:val="20"/>
        </w:rPr>
        <w:t xml:space="preserve">Rationale: </w:t>
      </w:r>
      <w:r>
        <w:rPr>
          <w:sz w:val="20"/>
        </w:rPr>
        <w:t>The economic case rests on a subgroup that the trial was not powered to detect a significant difference in. Imbalances in baseline characteristics within an exploratory subgroup further weaken the inference.</w:t>
      </w:r>
    </w:p>
    <w:p>
      <w:pPr>
        <w:pStyle w:val="Heading3"/>
      </w:pPr>
      <w:r>
        <w:rPr>
          <w:color w:val="1F3864"/>
          <w:sz w:val="24"/>
        </w:rPr>
        <w:t>C. POPULATION AND EXTERNAL VALIDITY</w:t>
      </w:r>
    </w:p>
    <w:p>
      <w:r>
        <w:rPr>
          <w:b/>
          <w:sz w:val="22"/>
        </w:rPr>
        <w:t>CLIN-Merck-10</w:t>
      </w:r>
    </w:p>
    <w:p>
      <w:pPr>
        <w:pStyle w:val="ListBullet"/>
      </w:pPr>
      <w:r>
        <w:rPr>
          <w:b/>
          <w:sz w:val="20"/>
        </w:rPr>
        <w:t xml:space="preserve">Recipient: </w:t>
      </w:r>
      <w:r>
        <w:rPr>
          <w:sz w:val="20"/>
        </w:rPr>
        <w:t>Merck</w:t>
      </w:r>
    </w:p>
    <w:p>
      <w:pPr>
        <w:pStyle w:val="ListBullet"/>
      </w:pPr>
      <w:r>
        <w:rPr>
          <w:b/>
          <w:sz w:val="20"/>
        </w:rPr>
        <w:t xml:space="preserve">Topic: </w:t>
      </w:r>
      <w:r>
        <w:rPr>
          <w:sz w:val="20"/>
        </w:rPr>
        <w:t>UK representation in JAVELIN Renal 101</w:t>
      </w:r>
    </w:p>
    <w:p>
      <w:pPr>
        <w:pStyle w:val="ListBullet"/>
      </w:pPr>
      <w:r>
        <w:rPr>
          <w:b/>
          <w:sz w:val="20"/>
        </w:rPr>
        <w:t xml:space="preserve">Question: </w:t>
      </w:r>
      <w:r>
        <w:rPr>
          <w:sz w:val="20"/>
        </w:rPr>
        <w:t>Table 6 records 32 patients recruited in the UK out of 886 (3.6%). Please (a) confirm the number of UK patients in each IMDC risk subgroup of the FAS; (b) provide outcomes (PFS, OS, ORR, discontinuation) for the UK subset, with and without the avelumab + axitinib stratification; and (c) discuss the generalisability of the trial findings to UK NHS practice given that the trial was dominated by US (n=261), Russian (n=138) and Canadian/Western European centres.</w:t>
      </w:r>
    </w:p>
    <w:p>
      <w:pPr>
        <w:pStyle w:val="ListBullet"/>
      </w:pPr>
      <w:r>
        <w:rPr>
          <w:b/>
          <w:sz w:val="20"/>
        </w:rPr>
        <w:t xml:space="preserve">Rationale: </w:t>
      </w:r>
      <w:r>
        <w:rPr>
          <w:sz w:val="20"/>
        </w:rPr>
        <w:t>A 3.6% UK representation is small; the company nonetheless relies heavily on the trial as the source of UK utility values (Section B.3.4.1), subsequent therapy distribution (Table 69), and RDI (Table 63).</w:t>
      </w:r>
    </w:p>
    <w:p>
      <w:r>
        <w:rPr>
          <w:b/>
          <w:sz w:val="22"/>
        </w:rPr>
        <w:t>CLIN-Merck-11</w:t>
      </w:r>
    </w:p>
    <w:p>
      <w:pPr>
        <w:pStyle w:val="ListBullet"/>
      </w:pPr>
      <w:r>
        <w:rPr>
          <w:b/>
          <w:sz w:val="20"/>
        </w:rPr>
        <w:t xml:space="preserve">Recipient: </w:t>
      </w:r>
      <w:r>
        <w:rPr>
          <w:sz w:val="20"/>
        </w:rPr>
        <w:t>Merck</w:t>
      </w:r>
    </w:p>
    <w:p>
      <w:pPr>
        <w:pStyle w:val="ListBullet"/>
      </w:pPr>
      <w:r>
        <w:rPr>
          <w:b/>
          <w:sz w:val="20"/>
        </w:rPr>
        <w:t xml:space="preserve">Topic: </w:t>
      </w:r>
      <w:r>
        <w:rPr>
          <w:sz w:val="20"/>
        </w:rPr>
        <w:t>Baseline characteristics vs UK practice</w:t>
      </w:r>
    </w:p>
    <w:p>
      <w:pPr>
        <w:pStyle w:val="ListBullet"/>
      </w:pPr>
      <w:r>
        <w:rPr>
          <w:b/>
          <w:sz w:val="20"/>
        </w:rPr>
        <w:t xml:space="preserve">Question: </w:t>
      </w:r>
      <w:r>
        <w:rPr>
          <w:sz w:val="20"/>
        </w:rPr>
        <w:t>Please provide, for the IMDC favourable-risk subgroup of JAVELIN Renal 101, the previous nephrectomy rate, ECOG distribution, time from diagnosis to treatment, sites of metastasis, and proportion with sarcomatoid features. Compare these directly to the UK ROC dataset (McGrane 2024) favourable-risk subset (n=294) and the SACT CDF favourable-risk cohort, and comment on the implications of any differences (e.g. very high nephrectomy rate in JAVELIN — ~80% — vs UK practice).</w:t>
      </w:r>
    </w:p>
    <w:p>
      <w:pPr>
        <w:pStyle w:val="ListBullet"/>
      </w:pPr>
      <w:r>
        <w:rPr>
          <w:b/>
          <w:sz w:val="20"/>
        </w:rPr>
        <w:t xml:space="preserve">Rationale: </w:t>
      </w:r>
      <w:r>
        <w:rPr>
          <w:sz w:val="20"/>
        </w:rPr>
        <w:t>The favourable-risk subgroup baseline characteristics in JAVELIN (Table 8) are largely redacted but appear enriched (higher nephrectomy rate, ECOG 0, single tumour site) compared to UK real-world practice. This has direct implications for external validity.</w:t>
      </w:r>
    </w:p>
    <w:p>
      <w:r>
        <w:rPr>
          <w:b/>
          <w:sz w:val="22"/>
        </w:rPr>
        <w:t>CLIN-Merck-12</w:t>
      </w:r>
    </w:p>
    <w:p>
      <w:pPr>
        <w:pStyle w:val="ListBullet"/>
      </w:pPr>
      <w:r>
        <w:rPr>
          <w:b/>
          <w:sz w:val="20"/>
        </w:rPr>
        <w:t xml:space="preserve">Recipient: </w:t>
      </w:r>
      <w:r>
        <w:rPr>
          <w:sz w:val="20"/>
        </w:rPr>
        <w:t>Merck</w:t>
      </w:r>
    </w:p>
    <w:p>
      <w:pPr>
        <w:pStyle w:val="ListBullet"/>
      </w:pPr>
      <w:r>
        <w:rPr>
          <w:b/>
          <w:sz w:val="20"/>
        </w:rPr>
        <w:t xml:space="preserve">Topic: </w:t>
      </w:r>
      <w:r>
        <w:rPr>
          <w:sz w:val="20"/>
        </w:rPr>
        <w:t>Sunitinib comparator dosing schedule vs UK practice</w:t>
      </w:r>
    </w:p>
    <w:p>
      <w:pPr>
        <w:pStyle w:val="ListBullet"/>
      </w:pPr>
      <w:r>
        <w:rPr>
          <w:b/>
          <w:sz w:val="20"/>
        </w:rPr>
        <w:t xml:space="preserve">Question: </w:t>
      </w:r>
      <w:r>
        <w:rPr>
          <w:sz w:val="20"/>
        </w:rPr>
        <w:t>JAVELIN Renal 101 used sunitinib 50 mg once daily 4-weeks-on/2-weeks-off (Schedule 4/2). UK clinical practice has substantially moved towards 2-weeks-on/1-week-off schedules to improve tolerability. Please (a) state what proportion of UK favourable-risk sunitinib patients in the UK ROC and SACT datasets receive 4/2 vs 2/1; (b) discuss whether the 4/2 schedule used in JAVELIN may underestimate sunitinib effectiveness (or overestimate toxicity) relative to current UK practice; and (c) provide any sensitivity analysis for the impact of this assumption on the cost-effectiveness comparison.</w:t>
      </w:r>
    </w:p>
    <w:p>
      <w:pPr>
        <w:pStyle w:val="ListBullet"/>
      </w:pPr>
      <w:r>
        <w:rPr>
          <w:b/>
          <w:sz w:val="20"/>
        </w:rPr>
        <w:t xml:space="preserve">Rationale: </w:t>
      </w:r>
      <w:r>
        <w:rPr>
          <w:sz w:val="20"/>
        </w:rPr>
        <w:t>If UK clinical practice predominantly uses an alternative sunitinib schedule with comparable efficacy and better tolerability, the JAVELIN comparator arm may not represent the true UK first-line TKI standard of care.</w:t>
      </w:r>
    </w:p>
    <w:p>
      <w:r>
        <w:rPr>
          <w:b/>
          <w:sz w:val="22"/>
        </w:rPr>
        <w:t>CLIN-Merck-13</w:t>
      </w:r>
    </w:p>
    <w:p>
      <w:pPr>
        <w:pStyle w:val="ListBullet"/>
      </w:pPr>
      <w:r>
        <w:rPr>
          <w:b/>
          <w:sz w:val="20"/>
        </w:rPr>
        <w:t xml:space="preserve">Recipient: </w:t>
      </w:r>
      <w:r>
        <w:rPr>
          <w:sz w:val="20"/>
        </w:rPr>
        <w:t>Merck</w:t>
      </w:r>
    </w:p>
    <w:p>
      <w:pPr>
        <w:pStyle w:val="ListBullet"/>
      </w:pPr>
      <w:r>
        <w:rPr>
          <w:b/>
          <w:sz w:val="20"/>
        </w:rPr>
        <w:t xml:space="preserve">Topic: </w:t>
      </w:r>
      <w:r>
        <w:rPr>
          <w:sz w:val="20"/>
        </w:rPr>
        <w:t>Place of avelumab + axitinib given evolution of the treatment landscape</w:t>
      </w:r>
    </w:p>
    <w:p>
      <w:pPr>
        <w:pStyle w:val="ListBullet"/>
      </w:pPr>
      <w:r>
        <w:rPr>
          <w:b/>
          <w:sz w:val="20"/>
        </w:rPr>
        <w:t xml:space="preserve">Question: </w:t>
      </w:r>
      <w:r>
        <w:rPr>
          <w:sz w:val="20"/>
        </w:rPr>
        <w:t>The submission proposes positioning of avelumab + axitinib in routine commissioning across all IMDC risk groups (Section B.1.3.6). Pembrolizumab + axitinib was not recommended (TA650) and avelumab + axitinib has been in the CDF since 2020. Please (a) provide the proportion of UK first-line patients who would, in 2024 practice, receive avelumab + axitinib vs IO+IO (nivolumab + ipilimumab), IO+TKI (lenvatinib + pembrolizumab, cabozantinib + nivolumab) or TKI monotherapy, by IMDC group; (b) confirm whether avelumab + axitinib in the intermediate-/poor-risk group is intended as a substitute for, or supplement to, the existing reimbursed IO+TKI/IO+IO options; and (c) provide UK-specific clinical opinion on the relative clinical positioning of avelumab + axitinib among the now-multiple IO-containing options.</w:t>
      </w:r>
    </w:p>
    <w:p>
      <w:pPr>
        <w:pStyle w:val="ListBullet"/>
      </w:pPr>
      <w:r>
        <w:rPr>
          <w:b/>
          <w:sz w:val="20"/>
        </w:rPr>
        <w:t xml:space="preserve">Rationale: </w:t>
      </w:r>
      <w:r>
        <w:rPr>
          <w:sz w:val="20"/>
        </w:rPr>
        <w:t>The treatment landscape has changed materially since TA645 (TA780, TA858, TA964 all post-date it). The committee needs to know whether avelumab + axitinib remains a clinically relevant first-line option in 2025, particularly in intermediate-/poor-risk.</w:t>
      </w:r>
    </w:p>
    <w:p>
      <w:pPr>
        <w:pStyle w:val="Heading3"/>
      </w:pPr>
      <w:r>
        <w:rPr>
          <w:color w:val="1F3864"/>
          <w:sz w:val="24"/>
        </w:rPr>
        <w:t>D. SUBGROUP ANALYSES</w:t>
      </w:r>
    </w:p>
    <w:p>
      <w:r>
        <w:rPr>
          <w:b/>
          <w:sz w:val="22"/>
        </w:rPr>
        <w:t>CLIN-Merck-14</w:t>
      </w:r>
    </w:p>
    <w:p>
      <w:pPr>
        <w:pStyle w:val="ListBullet"/>
      </w:pPr>
      <w:r>
        <w:rPr>
          <w:b/>
          <w:sz w:val="20"/>
        </w:rPr>
        <w:t xml:space="preserve">Recipient: </w:t>
      </w:r>
      <w:r>
        <w:rPr>
          <w:sz w:val="20"/>
        </w:rPr>
        <w:t>Merck</w:t>
      </w:r>
    </w:p>
    <w:p>
      <w:pPr>
        <w:pStyle w:val="ListBullet"/>
      </w:pPr>
      <w:r>
        <w:rPr>
          <w:b/>
          <w:sz w:val="20"/>
        </w:rPr>
        <w:t xml:space="preserve">Topic: </w:t>
      </w:r>
      <w:r>
        <w:rPr>
          <w:sz w:val="20"/>
        </w:rPr>
        <w:t>Subgroup forest plots — pre-specified and exploratory</w:t>
      </w:r>
    </w:p>
    <w:p>
      <w:pPr>
        <w:pStyle w:val="ListBullet"/>
      </w:pPr>
      <w:r>
        <w:rPr>
          <w:b/>
          <w:sz w:val="20"/>
        </w:rPr>
        <w:t xml:space="preserve">Question: </w:t>
      </w:r>
      <w:r>
        <w:rPr>
          <w:sz w:val="20"/>
        </w:rPr>
        <w:t>Please provide complete subgroup forest plots from the FA (DCO 31 August 2023) for both OS and PFS in the ITT population covering all pre-specified subgroups listed in Table 6, including: PD-L1 expression (positive/negative/unknown), ECOG (0 vs 1), geographical region, age, sex, race, ethnicity, pooled region, nephrectomy at baseline, MSKCC criteria, and IMDC criteria. Identify all subgroups where the point estimate crosses 1 or favours sunitinib, and provide commentary on the clinical implications of each.</w:t>
      </w:r>
    </w:p>
    <w:p>
      <w:pPr>
        <w:pStyle w:val="ListBullet"/>
      </w:pPr>
      <w:r>
        <w:rPr>
          <w:b/>
          <w:sz w:val="20"/>
        </w:rPr>
        <w:t xml:space="preserve">Rationale: </w:t>
      </w:r>
      <w:r>
        <w:rPr>
          <w:sz w:val="20"/>
        </w:rPr>
        <w:t>The submission selectively presents IMDC and PD-L1+ subgroups. A full forest plot is needed to identify subgroups where the effect direction reverses, which is material to assessing the consistency of the OS/PFS benefit.</w:t>
      </w:r>
    </w:p>
    <w:p>
      <w:r>
        <w:rPr>
          <w:b/>
          <w:sz w:val="22"/>
        </w:rPr>
        <w:t>CLIN-Merck-15</w:t>
      </w:r>
    </w:p>
    <w:p>
      <w:pPr>
        <w:pStyle w:val="ListBullet"/>
      </w:pPr>
      <w:r>
        <w:rPr>
          <w:b/>
          <w:sz w:val="20"/>
        </w:rPr>
        <w:t xml:space="preserve">Recipient: </w:t>
      </w:r>
      <w:r>
        <w:rPr>
          <w:sz w:val="20"/>
        </w:rPr>
        <w:t>Merck</w:t>
      </w:r>
    </w:p>
    <w:p>
      <w:pPr>
        <w:pStyle w:val="ListBullet"/>
      </w:pPr>
      <w:r>
        <w:rPr>
          <w:b/>
          <w:sz w:val="20"/>
        </w:rPr>
        <w:t xml:space="preserve">Topic: </w:t>
      </w:r>
      <w:r>
        <w:rPr>
          <w:sz w:val="20"/>
        </w:rPr>
        <w:t>Sarcomatoid disease</w:t>
      </w:r>
    </w:p>
    <w:p>
      <w:pPr>
        <w:pStyle w:val="ListBullet"/>
      </w:pPr>
      <w:r>
        <w:rPr>
          <w:b/>
          <w:sz w:val="20"/>
        </w:rPr>
        <w:t xml:space="preserve">Question: </w:t>
      </w:r>
      <w:r>
        <w:rPr>
          <w:sz w:val="20"/>
        </w:rPr>
        <w:t>Please confirm whether sarcomatoid features were collected in JAVELIN Renal 101 and provide outcomes (OS, PFS, ORR) for patients with and without sarcomatoid differentiation, overall and by IMDC subgroup. Discuss the implications given that sarcomatoid disease is recognised as a subgroup with particularly favourable response to IO-based regimens and is relevant to comparator NICE technologies (e.g. nivolumab + ipilimumab in TA780).</w:t>
      </w:r>
    </w:p>
    <w:p>
      <w:pPr>
        <w:pStyle w:val="ListBullet"/>
      </w:pPr>
      <w:r>
        <w:rPr>
          <w:b/>
          <w:sz w:val="20"/>
        </w:rPr>
        <w:t xml:space="preserve">Rationale: </w:t>
      </w:r>
      <w:r>
        <w:rPr>
          <w:sz w:val="20"/>
        </w:rPr>
        <w:t>Sarcomatoid status is a recognised effect-modifier in aRCC IO trials and a relevant subgroup for the committee.</w:t>
      </w:r>
    </w:p>
    <w:p>
      <w:r>
        <w:rPr>
          <w:b/>
          <w:sz w:val="22"/>
        </w:rPr>
        <w:t>CLIN-Merck-16</w:t>
      </w:r>
    </w:p>
    <w:p>
      <w:pPr>
        <w:pStyle w:val="ListBullet"/>
      </w:pPr>
      <w:r>
        <w:rPr>
          <w:b/>
          <w:sz w:val="20"/>
        </w:rPr>
        <w:t xml:space="preserve">Recipient: </w:t>
      </w:r>
      <w:r>
        <w:rPr>
          <w:sz w:val="20"/>
        </w:rPr>
        <w:t>Merck</w:t>
      </w:r>
    </w:p>
    <w:p>
      <w:pPr>
        <w:pStyle w:val="ListBullet"/>
      </w:pPr>
      <w:r>
        <w:rPr>
          <w:b/>
          <w:sz w:val="20"/>
        </w:rPr>
        <w:t xml:space="preserve">Topic: </w:t>
      </w:r>
      <w:r>
        <w:rPr>
          <w:sz w:val="20"/>
        </w:rPr>
        <w:t>PD-L1 subgroup data in IMDC favourable-risk</w:t>
      </w:r>
    </w:p>
    <w:p>
      <w:pPr>
        <w:pStyle w:val="ListBullet"/>
      </w:pPr>
      <w:r>
        <w:rPr>
          <w:b/>
          <w:sz w:val="20"/>
        </w:rPr>
        <w:t xml:space="preserve">Question: </w:t>
      </w:r>
      <w:r>
        <w:rPr>
          <w:sz w:val="20"/>
        </w:rPr>
        <w:t>The PD-L1+ favourable-risk subgroup (n=52 avelumab + axitinib; n=59 sunitinib) is the smallest cell in Table 20 and almost all numbers are redacted. Please unredact all efficacy outputs for this subgroup, including the HR (stratified and unstratified) for both OS and PFS, 95% CIs, p-values, median OS and PFS, and landmark survival/event-free rates. Provide the equivalent PD-L1− subgroup outputs.</w:t>
      </w:r>
    </w:p>
    <w:p>
      <w:pPr>
        <w:pStyle w:val="ListBullet"/>
      </w:pPr>
      <w:r>
        <w:rPr>
          <w:b/>
          <w:sz w:val="20"/>
        </w:rPr>
        <w:t xml:space="preserve">Rationale: </w:t>
      </w:r>
      <w:r>
        <w:rPr>
          <w:sz w:val="20"/>
        </w:rPr>
        <w:t>The primary endpoint population of the trial was PD-L1+. Hiding the PD-L1+ favourable-risk efficacy estimates prevents the committee from cross-validating the company's IMDC-only narrative.</w:t>
      </w:r>
    </w:p>
    <w:p>
      <w:r>
        <w:rPr>
          <w:b/>
          <w:sz w:val="22"/>
        </w:rPr>
        <w:t>CLIN-Merck-17</w:t>
      </w:r>
    </w:p>
    <w:p>
      <w:pPr>
        <w:pStyle w:val="ListBullet"/>
      </w:pPr>
      <w:r>
        <w:rPr>
          <w:b/>
          <w:sz w:val="20"/>
        </w:rPr>
        <w:t xml:space="preserve">Recipient: </w:t>
      </w:r>
      <w:r>
        <w:rPr>
          <w:sz w:val="20"/>
        </w:rPr>
        <w:t>Merck</w:t>
      </w:r>
    </w:p>
    <w:p>
      <w:pPr>
        <w:pStyle w:val="ListBullet"/>
      </w:pPr>
      <w:r>
        <w:rPr>
          <w:b/>
          <w:sz w:val="20"/>
        </w:rPr>
        <w:t xml:space="preserve">Topic: </w:t>
      </w:r>
      <w:r>
        <w:rPr>
          <w:sz w:val="20"/>
        </w:rPr>
        <w:t>Intermediate vs poor risk separately</w:t>
      </w:r>
    </w:p>
    <w:p>
      <w:pPr>
        <w:pStyle w:val="ListBullet"/>
      </w:pPr>
      <w:r>
        <w:rPr>
          <w:b/>
          <w:sz w:val="20"/>
        </w:rPr>
        <w:t xml:space="preserve">Question: </w:t>
      </w:r>
      <w:r>
        <w:rPr>
          <w:sz w:val="20"/>
        </w:rPr>
        <w:t>Section B.2.13.2.1 confirms that intermediate and poor risk were pooled in a post hoc analysis. Please provide OS, PFS, ORR, DoR and TTD separately for the intermediate-risk and poor-risk subgroups of JAVELIN Renal 101, with HRs (stratified and unstratified). Discuss the implications of any heterogeneity between the two subgroups for the cost-effectiveness analysis in the intermediate-/poor-risk subgroup.</w:t>
      </w:r>
    </w:p>
    <w:p>
      <w:pPr>
        <w:pStyle w:val="ListBullet"/>
      </w:pPr>
      <w:r>
        <w:rPr>
          <w:b/>
          <w:sz w:val="20"/>
        </w:rPr>
        <w:t xml:space="preserve">Rationale: </w:t>
      </w:r>
      <w:r>
        <w:rPr>
          <w:sz w:val="20"/>
        </w:rPr>
        <w:t>The pooled subgroup is heterogeneous; effect-modification across intermediate vs poor is plausible given the substantial difference in expected survival (24.1 vs 10.2 months untreated — Section B.1.3.4.1). The NMA in Section B.2.10 also explicitly cites heterogeneity within the pooled subgroup as a limitation.</w:t>
      </w:r>
    </w:p>
    <w:p>
      <w:pPr>
        <w:pStyle w:val="Heading3"/>
      </w:pPr>
      <w:r>
        <w:rPr>
          <w:color w:val="1F3864"/>
          <w:sz w:val="24"/>
        </w:rPr>
        <w:t>E. SAFETY, DOSE INTENSITY, DISCONTINUATIONS</w:t>
      </w:r>
    </w:p>
    <w:p>
      <w:r>
        <w:rPr>
          <w:b/>
          <w:sz w:val="22"/>
        </w:rPr>
        <w:t>CLIN-Merck-18</w:t>
      </w:r>
    </w:p>
    <w:p>
      <w:pPr>
        <w:pStyle w:val="ListBullet"/>
      </w:pPr>
      <w:r>
        <w:rPr>
          <w:b/>
          <w:sz w:val="20"/>
        </w:rPr>
        <w:t xml:space="preserve">Recipient: </w:t>
      </w:r>
      <w:r>
        <w:rPr>
          <w:sz w:val="20"/>
        </w:rPr>
        <w:t>Merck</w:t>
      </w:r>
    </w:p>
    <w:p>
      <w:pPr>
        <w:pStyle w:val="ListBullet"/>
      </w:pPr>
      <w:r>
        <w:rPr>
          <w:b/>
          <w:sz w:val="20"/>
        </w:rPr>
        <w:t xml:space="preserve">Topic: </w:t>
      </w:r>
      <w:r>
        <w:rPr>
          <w:sz w:val="20"/>
        </w:rPr>
        <w:t>Relative dose intensity and dose modification rates</w:t>
      </w:r>
    </w:p>
    <w:p>
      <w:pPr>
        <w:pStyle w:val="ListBullet"/>
      </w:pPr>
      <w:r>
        <w:rPr>
          <w:b/>
          <w:sz w:val="20"/>
        </w:rPr>
        <w:t xml:space="preserve">Question: </w:t>
      </w:r>
      <w:r>
        <w:rPr>
          <w:sz w:val="20"/>
        </w:rPr>
        <w:t>Table 63 reports RDI values of 91.7% for avelumab, 83.7% for axitinib and 81.9% for sunitinib (from the ITT population). Please (a) provide RDI values for the IMDC favourable-risk subgroup and intermediate-/poor-risk subgroup separately (the base case uses ITT-derived RDI); (b) unredact the rates of dose reduction, interruption, and discontinuation of avelumab and axitinib (Table 31, currently largely redacted); and (c) provide the cumulative dose actually received per patient over the entire treatment duration for avelumab and axitinib, by IMDC subgroup.</w:t>
      </w:r>
    </w:p>
    <w:p>
      <w:pPr>
        <w:pStyle w:val="ListBullet"/>
      </w:pPr>
      <w:r>
        <w:rPr>
          <w:b/>
          <w:sz w:val="20"/>
        </w:rPr>
        <w:t xml:space="preserve">Rationale: </w:t>
      </w:r>
      <w:r>
        <w:rPr>
          <w:sz w:val="20"/>
        </w:rPr>
        <w:t>RDI feeds directly into drug cost. The submission uses ITT-derived RDI in a favourable-risk base case, which may misrepresent costs and tolerability in that subgroup, particularly given the long treatment duration.</w:t>
      </w:r>
    </w:p>
    <w:p>
      <w:r>
        <w:rPr>
          <w:b/>
          <w:sz w:val="22"/>
        </w:rPr>
        <w:t>CLIN-Merck-19</w:t>
      </w:r>
    </w:p>
    <w:p>
      <w:pPr>
        <w:pStyle w:val="ListBullet"/>
      </w:pPr>
      <w:r>
        <w:rPr>
          <w:b/>
          <w:sz w:val="20"/>
        </w:rPr>
        <w:t xml:space="preserve">Recipient: </w:t>
      </w:r>
      <w:r>
        <w:rPr>
          <w:sz w:val="20"/>
        </w:rPr>
        <w:t>Merck</w:t>
      </w:r>
    </w:p>
    <w:p>
      <w:pPr>
        <w:pStyle w:val="ListBullet"/>
      </w:pPr>
      <w:r>
        <w:rPr>
          <w:b/>
          <w:sz w:val="20"/>
        </w:rPr>
        <w:t xml:space="preserve">Topic: </w:t>
      </w:r>
      <w:r>
        <w:rPr>
          <w:sz w:val="20"/>
        </w:rPr>
        <w:t>Treatment-related discontinuation</w:t>
      </w:r>
    </w:p>
    <w:p>
      <w:pPr>
        <w:pStyle w:val="ListBullet"/>
      </w:pPr>
      <w:r>
        <w:rPr>
          <w:b/>
          <w:sz w:val="20"/>
        </w:rPr>
        <w:t xml:space="preserve">Question: </w:t>
      </w:r>
      <w:r>
        <w:rPr>
          <w:sz w:val="20"/>
        </w:rPr>
        <w:t>Section B.2.11.3.1 reports that 34.3% of avelumab + axitinib patients vs 17.5% of sunitinib patients discontinued at least one study drug due to TEAEs, and that the treatment-related TEAE discontinuation rate for any study drug was 25.3% vs 9.3%. Please (a) provide these discontinuation rates by IMDC subgroup; (b) provide the rate of discontinuation of axitinib alone, of avelumab alone, and of both together; (c) characterise outcomes (PFS and OS) for patients who discontinued one but not both drugs; and (d) describe how these patterns are reflected in the economic model TTD curves and post-discontinuation costs.</w:t>
      </w:r>
    </w:p>
    <w:p>
      <w:pPr>
        <w:pStyle w:val="ListBullet"/>
      </w:pPr>
      <w:r>
        <w:rPr>
          <w:b/>
          <w:sz w:val="20"/>
        </w:rPr>
        <w:t xml:space="preserve">Rationale: </w:t>
      </w:r>
      <w:r>
        <w:rPr>
          <w:sz w:val="20"/>
        </w:rPr>
        <w:t>Differential discontinuation patterns affect both effectiveness and costs. With the avelumab two-drug regimen, partial discontinuation is common and is not transparently handled in the submission.</w:t>
      </w:r>
    </w:p>
    <w:p>
      <w:r>
        <w:rPr>
          <w:b/>
          <w:sz w:val="22"/>
        </w:rPr>
        <w:t>CLIN-Merck-20</w:t>
      </w:r>
    </w:p>
    <w:p>
      <w:pPr>
        <w:pStyle w:val="ListBullet"/>
      </w:pPr>
      <w:r>
        <w:rPr>
          <w:b/>
          <w:sz w:val="20"/>
        </w:rPr>
        <w:t xml:space="preserve">Recipient: </w:t>
      </w:r>
      <w:r>
        <w:rPr>
          <w:sz w:val="20"/>
        </w:rPr>
        <w:t>Merck</w:t>
      </w:r>
    </w:p>
    <w:p>
      <w:pPr>
        <w:pStyle w:val="ListBullet"/>
      </w:pPr>
      <w:r>
        <w:rPr>
          <w:b/>
          <w:sz w:val="20"/>
        </w:rPr>
        <w:t xml:space="preserve">Topic: </w:t>
      </w:r>
      <w:r>
        <w:rPr>
          <w:sz w:val="20"/>
        </w:rPr>
        <w:t>Immune-related adverse events and corticosteroid use</w:t>
      </w:r>
    </w:p>
    <w:p>
      <w:pPr>
        <w:pStyle w:val="ListBullet"/>
      </w:pPr>
      <w:r>
        <w:rPr>
          <w:b/>
          <w:sz w:val="20"/>
        </w:rPr>
        <w:t xml:space="preserve">Question: </w:t>
      </w:r>
      <w:r>
        <w:rPr>
          <w:sz w:val="20"/>
        </w:rPr>
        <w:t>Section B.2.11.4.1 reports irAEs in 50.7% of avelumab + axitinib patients (14.7% Grade ≥3). Please (a) provide unredacted incidence by irAE cluster (currently redacted: rash, hepatitis, type 1 diabetes mellitus); (b) provide rates of systemic corticosteroid use, hospitalisation, and permanent endocrine sequelae (hypothyroidism on long-term replacement); and (c) characterise long-term irAEs occurring after treatment discontinuation given the median follow-up of &gt;6 years.</w:t>
      </w:r>
    </w:p>
    <w:p>
      <w:pPr>
        <w:pStyle w:val="ListBullet"/>
      </w:pPr>
      <w:r>
        <w:rPr>
          <w:b/>
          <w:sz w:val="20"/>
        </w:rPr>
        <w:t xml:space="preserve">Rationale: </w:t>
      </w:r>
      <w:r>
        <w:rPr>
          <w:sz w:val="20"/>
        </w:rPr>
        <w:t>Late-onset irAEs and lifelong endocrine replacement carry both clinical and cost implications that are not captured in the submission's single one-off AE cost (Table 67, £801.11 for all events).</w:t>
      </w:r>
    </w:p>
    <w:p>
      <w:r>
        <w:rPr>
          <w:b/>
          <w:sz w:val="22"/>
        </w:rPr>
        <w:t>CLIN-Merck-21</w:t>
      </w:r>
    </w:p>
    <w:p>
      <w:pPr>
        <w:pStyle w:val="ListBullet"/>
      </w:pPr>
      <w:r>
        <w:rPr>
          <w:b/>
          <w:sz w:val="20"/>
        </w:rPr>
        <w:t xml:space="preserve">Recipient: </w:t>
      </w:r>
      <w:r>
        <w:rPr>
          <w:sz w:val="20"/>
        </w:rPr>
        <w:t>Merck</w:t>
      </w:r>
    </w:p>
    <w:p>
      <w:pPr>
        <w:pStyle w:val="ListBullet"/>
      </w:pPr>
      <w:r>
        <w:rPr>
          <w:b/>
          <w:sz w:val="20"/>
        </w:rPr>
        <w:t xml:space="preserve">Topic: </w:t>
      </w:r>
      <w:r>
        <w:rPr>
          <w:sz w:val="20"/>
        </w:rPr>
        <w:t>Cardiac toxicity</w:t>
      </w:r>
    </w:p>
    <w:p>
      <w:pPr>
        <w:pStyle w:val="ListBullet"/>
      </w:pPr>
      <w:r>
        <w:rPr>
          <w:b/>
          <w:sz w:val="20"/>
        </w:rPr>
        <w:t xml:space="preserve">Question: </w:t>
      </w:r>
      <w:r>
        <w:rPr>
          <w:sz w:val="20"/>
        </w:rPr>
        <w:t>Section B.2.11.4.3 cites multiple redacted figures for cardiac TEAEs in the avelumab + axitinib arm, including ejection fraction decreased, troponin T increased, and myocardial necrosis marker increased. Acute myocardial infarction also appears in Table 35 as a serious TEAE more frequent in the avelumab + axitinib arm. Please unredact these figures and discuss whether the cardiac signal warrants any change in the AE costing or selection in the economic model.</w:t>
      </w:r>
    </w:p>
    <w:p>
      <w:pPr>
        <w:pStyle w:val="ListBullet"/>
      </w:pPr>
      <w:r>
        <w:rPr>
          <w:b/>
          <w:sz w:val="20"/>
        </w:rPr>
        <w:t xml:space="preserve">Rationale: </w:t>
      </w:r>
      <w:r>
        <w:rPr>
          <w:sz w:val="20"/>
        </w:rPr>
        <w:t>Cardiac toxicity is a known class effect of VEGFR-TKIs and immune checkpoint inhibitors; a redacted signal in a long-follow-up study warrants visibility.</w:t>
      </w:r>
    </w:p>
    <w:p>
      <w:pPr>
        <w:pStyle w:val="Heading3"/>
      </w:pPr>
      <w:r>
        <w:rPr>
          <w:color w:val="1F3864"/>
          <w:sz w:val="24"/>
        </w:rPr>
        <w:t>F. TREATMENT SWITCHING AND SUBSEQUENT THERAPY</w:t>
      </w:r>
    </w:p>
    <w:p>
      <w:r>
        <w:rPr>
          <w:b/>
          <w:sz w:val="22"/>
        </w:rPr>
        <w:t>CLIN-Merck-22</w:t>
      </w:r>
    </w:p>
    <w:p>
      <w:pPr>
        <w:pStyle w:val="ListBullet"/>
      </w:pPr>
      <w:r>
        <w:rPr>
          <w:b/>
          <w:sz w:val="20"/>
        </w:rPr>
        <w:t xml:space="preserve">Recipient: </w:t>
      </w:r>
      <w:r>
        <w:rPr>
          <w:sz w:val="20"/>
        </w:rPr>
        <w:t>Merck</w:t>
      </w:r>
    </w:p>
    <w:p>
      <w:pPr>
        <w:pStyle w:val="ListBullet"/>
      </w:pPr>
      <w:r>
        <w:rPr>
          <w:b/>
          <w:sz w:val="20"/>
        </w:rPr>
        <w:t xml:space="preserve">Topic: </w:t>
      </w:r>
      <w:r>
        <w:rPr>
          <w:sz w:val="20"/>
        </w:rPr>
        <w:t>Crossover and subsequent IO confounding</w:t>
      </w:r>
    </w:p>
    <w:p>
      <w:pPr>
        <w:pStyle w:val="ListBullet"/>
      </w:pPr>
      <w:r>
        <w:rPr>
          <w:b/>
          <w:sz w:val="20"/>
        </w:rPr>
        <w:t xml:space="preserve">Question: </w:t>
      </w:r>
      <w:r>
        <w:rPr>
          <w:sz w:val="20"/>
        </w:rPr>
        <w:t>Section B.2.3.1 confirms that crossover was not permitted, but Section B.2.6.3 reports that 64.6% of the sunitinib arm favourable-risk subgroup and 55.2% of the sunitinib intermediate-risk subgroup received subsequent PD-1/PD-L1 therapy. Please (a) confirm whether any treatment-switching adjustment (RPSFTM, two-stage estimation, IPCW) was conducted for OS in the favourable-risk and intermediate-/poor-risk subgroups; (b) if not, justify why an adjustment was not undertaken given the substantial subsequent IO exposure in the comparator arm; and (c) provide a switch-adjusted OS HR with 95% CI as a sensitivity analysis for each subgroup.</w:t>
      </w:r>
    </w:p>
    <w:p>
      <w:pPr>
        <w:pStyle w:val="ListBullet"/>
      </w:pPr>
      <w:r>
        <w:rPr>
          <w:b/>
          <w:sz w:val="20"/>
        </w:rPr>
        <w:t xml:space="preserve">Rationale: </w:t>
      </w:r>
      <w:r>
        <w:rPr>
          <w:sz w:val="20"/>
        </w:rPr>
        <w:t>When 64.6% of the comparator arm subsequently receives the same drug class being tested in the experimental arm, naïve OS may substantially understate the experimental OS benefit — or, equivalently, may reflect the benefit of subsequent IO rather than first-line avelumab + axitinib. NICE DSU TSD 16 is the relevant methodological reference.</w:t>
      </w:r>
    </w:p>
    <w:p>
      <w:r>
        <w:rPr>
          <w:b/>
          <w:sz w:val="22"/>
        </w:rPr>
        <w:t>CLIN-Merck-23</w:t>
      </w:r>
    </w:p>
    <w:p>
      <w:pPr>
        <w:pStyle w:val="ListBullet"/>
      </w:pPr>
      <w:r>
        <w:rPr>
          <w:b/>
          <w:sz w:val="20"/>
        </w:rPr>
        <w:t xml:space="preserve">Recipient: </w:t>
      </w:r>
      <w:r>
        <w:rPr>
          <w:sz w:val="20"/>
        </w:rPr>
        <w:t>Merck</w:t>
      </w:r>
    </w:p>
    <w:p>
      <w:pPr>
        <w:pStyle w:val="ListBullet"/>
      </w:pPr>
      <w:r>
        <w:rPr>
          <w:b/>
          <w:sz w:val="20"/>
        </w:rPr>
        <w:t xml:space="preserve">Topic: </w:t>
      </w:r>
      <w:r>
        <w:rPr>
          <w:sz w:val="20"/>
        </w:rPr>
        <w:t>Subsequent therapy distribution applied in the model</w:t>
      </w:r>
    </w:p>
    <w:p>
      <w:pPr>
        <w:pStyle w:val="ListBullet"/>
      </w:pPr>
      <w:r>
        <w:rPr>
          <w:b/>
          <w:sz w:val="20"/>
        </w:rPr>
        <w:t xml:space="preserve">Question: </w:t>
      </w:r>
      <w:r>
        <w:rPr>
          <w:sz w:val="20"/>
        </w:rPr>
        <w:t>Table 69 presents the subsequent therapy distribution used in the favourable-risk base case, with subsequent nivolumab removed from the avelumab + axitinib arm and re-allocated. Please (a) provide the unadjusted JAVELIN Renal 101 subsequent therapy distribution by IMDC subgroup; (b) provide UK-specific subsequent therapy distributions from the UK ROC, SACT CDF and Nathan 2024 datasets for patients who progressed on first-line avelumab + axitinib, by IMDC risk; (c) justify the assumption that no patient on avelumab + axitinib receives a subsequent IO in NHS practice (clinical experts unnamed); and (d) confirm whether the re-allocation of the nivolumab proportion to TKIs in the avelumab + axitinib arm is consistent with actual UK second-line prescribing patterns.</w:t>
      </w:r>
    </w:p>
    <w:p>
      <w:pPr>
        <w:pStyle w:val="ListBullet"/>
      </w:pPr>
      <w:r>
        <w:rPr>
          <w:b/>
          <w:sz w:val="20"/>
        </w:rPr>
        <w:t xml:space="preserve">Rationale: </w:t>
      </w:r>
      <w:r>
        <w:rPr>
          <w:sz w:val="20"/>
        </w:rPr>
        <w:t>Subsequent therapy assumptions are pivotal to the differential subsequent treatment cost (Table 72: £38,287 avelumab + axitinib vs £74,883 sunitinib), which materially favours the experimental arm. The assumptions need to be empirically grounded in UK practice.</w:t>
      </w:r>
    </w:p>
    <w:p>
      <w:pPr>
        <w:pStyle w:val="Heading3"/>
      </w:pPr>
      <w:r>
        <w:rPr>
          <w:color w:val="1F3864"/>
          <w:sz w:val="24"/>
        </w:rPr>
        <w:t>G. HEALTH-RELATED QUALITY OF LIFE</w:t>
      </w:r>
    </w:p>
    <w:p>
      <w:r>
        <w:rPr>
          <w:b/>
          <w:sz w:val="22"/>
        </w:rPr>
        <w:t>CLIN-Merck-24</w:t>
      </w:r>
    </w:p>
    <w:p>
      <w:pPr>
        <w:pStyle w:val="ListBullet"/>
      </w:pPr>
      <w:r>
        <w:rPr>
          <w:b/>
          <w:sz w:val="20"/>
        </w:rPr>
        <w:t xml:space="preserve">Recipient: </w:t>
      </w:r>
      <w:r>
        <w:rPr>
          <w:sz w:val="20"/>
        </w:rPr>
        <w:t>Merck</w:t>
      </w:r>
    </w:p>
    <w:p>
      <w:pPr>
        <w:pStyle w:val="ListBullet"/>
      </w:pPr>
      <w:r>
        <w:rPr>
          <w:b/>
          <w:sz w:val="20"/>
        </w:rPr>
        <w:t xml:space="preserve">Topic: </w:t>
      </w:r>
      <w:r>
        <w:rPr>
          <w:sz w:val="20"/>
        </w:rPr>
        <w:t>EQ-5D completion rate and post-progression collection</w:t>
      </w:r>
    </w:p>
    <w:p>
      <w:pPr>
        <w:pStyle w:val="ListBullet"/>
      </w:pPr>
      <w:r>
        <w:rPr>
          <w:b/>
          <w:sz w:val="20"/>
        </w:rPr>
        <w:t xml:space="preserve">Question: </w:t>
      </w:r>
      <w:r>
        <w:rPr>
          <w:sz w:val="20"/>
        </w:rPr>
        <w:t>Section B.2.6.4.1 reports EQ-5D-5L completion rates &gt;90% to Cycle 60 and 72.2% (avelumab + axitinib) / 74.5% (sunitinib) at the end-of-treatment visit. Please (a) confirm whether EQ-5D was collected post-progression and post-treatment-discontinuation, with completion rates by time point; (b) provide the absolute number of EQ-5D observations contributing to the progressed-disease utility value used in the model, in the favourable-risk subgroup; and (c) discuss whether the dominance of pre-progression observations may bias the progressed-disease utility upwards.</w:t>
      </w:r>
    </w:p>
    <w:p>
      <w:pPr>
        <w:pStyle w:val="ListBullet"/>
      </w:pPr>
      <w:r>
        <w:rPr>
          <w:b/>
          <w:sz w:val="20"/>
        </w:rPr>
        <w:t xml:space="preserve">Rationale: </w:t>
      </w:r>
      <w:r>
        <w:rPr>
          <w:sz w:val="20"/>
        </w:rPr>
        <w:t>The progressed-disease utility estimated from JAVELIN (redacted but described as "slightly greater than the upper estimate used in previous TAs", Section B.3.4.3) is higher than literature values. If post-progression observations are sparse, this utility may not be reliable.</w:t>
      </w:r>
    </w:p>
    <w:p>
      <w:r>
        <w:rPr>
          <w:b/>
          <w:sz w:val="22"/>
        </w:rPr>
        <w:t>CLIN-Merck-25</w:t>
      </w:r>
    </w:p>
    <w:p>
      <w:pPr>
        <w:pStyle w:val="ListBullet"/>
      </w:pPr>
      <w:r>
        <w:rPr>
          <w:b/>
          <w:sz w:val="20"/>
        </w:rPr>
        <w:t xml:space="preserve">Recipient: </w:t>
      </w:r>
      <w:r>
        <w:rPr>
          <w:sz w:val="20"/>
        </w:rPr>
        <w:t>Merck</w:t>
      </w:r>
    </w:p>
    <w:p>
      <w:pPr>
        <w:pStyle w:val="ListBullet"/>
      </w:pPr>
      <w:r>
        <w:rPr>
          <w:b/>
          <w:sz w:val="20"/>
        </w:rPr>
        <w:t xml:space="preserve">Topic: </w:t>
      </w:r>
      <w:r>
        <w:rPr>
          <w:sz w:val="20"/>
        </w:rPr>
        <w:t>Timing of EQ-5D in sunitinib arm</w:t>
      </w:r>
    </w:p>
    <w:p>
      <w:pPr>
        <w:pStyle w:val="ListBullet"/>
      </w:pPr>
      <w:r>
        <w:rPr>
          <w:b/>
          <w:sz w:val="20"/>
        </w:rPr>
        <w:t xml:space="preserve">Question: </w:t>
      </w:r>
      <w:r>
        <w:rPr>
          <w:sz w:val="20"/>
        </w:rPr>
        <w:t>Section B.2.13.1.1 acknowledges that "PROs were measured every 6 weeks, which corresponds to 'off treatment' weeks in the sunitinib arm, that is, at the point of lowest symptom burden in the cycle" and that the HRQoL difference may therefore be underestimated. Please (a) confirm whether the timing of PRO collection in the avelumab + axitinib arm corresponds to a similar "low symptom-burden" point in that arm; (b) provide a sensitivity analysis applying a sunitinib utility decrement to reflect the on-treatment 4 weeks; and (c) confirm that this timing artefact does not advantage the company's case.</w:t>
      </w:r>
    </w:p>
    <w:p>
      <w:pPr>
        <w:pStyle w:val="ListBullet"/>
      </w:pPr>
      <w:r>
        <w:rPr>
          <w:b/>
          <w:sz w:val="20"/>
        </w:rPr>
        <w:t xml:space="preserve">Rationale: </w:t>
      </w:r>
      <w:r>
        <w:rPr>
          <w:sz w:val="20"/>
        </w:rPr>
        <w:t>If the sunitinib QoL is over-estimated due to assessment timing, the avelumab + axitinib QALY differential should be larger — but the company has not quantified this in the model.</w:t>
      </w:r>
    </w:p>
    <w:p>
      <w:r>
        <w:rPr>
          <w:b/>
          <w:sz w:val="22"/>
        </w:rPr>
        <w:t>CLIN-Merck-26</w:t>
      </w:r>
    </w:p>
    <w:p>
      <w:pPr>
        <w:pStyle w:val="ListBullet"/>
      </w:pPr>
      <w:r>
        <w:rPr>
          <w:b/>
          <w:sz w:val="20"/>
        </w:rPr>
        <w:t xml:space="preserve">Recipient: </w:t>
      </w:r>
      <w:r>
        <w:rPr>
          <w:sz w:val="20"/>
        </w:rPr>
        <w:t>Merck</w:t>
      </w:r>
    </w:p>
    <w:p>
      <w:pPr>
        <w:pStyle w:val="ListBullet"/>
      </w:pPr>
      <w:r>
        <w:rPr>
          <w:b/>
          <w:sz w:val="20"/>
        </w:rPr>
        <w:t xml:space="preserve">Topic: </w:t>
      </w:r>
      <w:r>
        <w:rPr>
          <w:sz w:val="20"/>
        </w:rPr>
        <w:t>EQ-5D-5L to 3L mapping and treatment-effect utility</w:t>
      </w:r>
    </w:p>
    <w:p>
      <w:pPr>
        <w:pStyle w:val="ListBullet"/>
      </w:pPr>
      <w:r>
        <w:rPr>
          <w:b/>
          <w:sz w:val="20"/>
        </w:rPr>
        <w:t xml:space="preserve">Question: </w:t>
      </w:r>
      <w:r>
        <w:rPr>
          <w:sz w:val="20"/>
        </w:rPr>
        <w:t>Section B.3.4.2 confirms mapping from EQ-5D-5L to 3L using Hernández-Alava et al. 2017. Please (a) provide the regression model output (Table 57) and predicted utility values (Table 58, both redacted) unredacted, with 95% CIs; (b) confirm whether Model 2 (treatment-status covariate) included on/off treatment within the avelumab + axitinib arm to separate avelumab cessation from axitinib cessation; (c) report whether an arm-specific (avelumab + axitinib vs sunitinib) utility was tested, and present the results; and (d) confirm that the favourable-risk subgroup utilities are not driven by a small cell of post-progression observations.</w:t>
      </w:r>
    </w:p>
    <w:p>
      <w:pPr>
        <w:pStyle w:val="ListBullet"/>
      </w:pPr>
      <w:r>
        <w:rPr>
          <w:b/>
          <w:sz w:val="20"/>
        </w:rPr>
        <w:t xml:space="preserve">Rationale: </w:t>
      </w:r>
      <w:r>
        <w:rPr>
          <w:sz w:val="20"/>
        </w:rPr>
        <w:t>Utility derivation directly affects QALY estimates. The redacted values prevent assessment of plausibility versus literature (Table 59).</w:t>
      </w:r>
    </w:p>
    <w:p>
      <w:pPr>
        <w:pStyle w:val="Heading3"/>
      </w:pPr>
      <w:r>
        <w:rPr>
          <w:color w:val="1F3864"/>
          <w:sz w:val="24"/>
        </w:rPr>
        <w:t>H. INDIRECT TREATMENT COMPARISONS / NMA</w:t>
      </w:r>
    </w:p>
    <w:p>
      <w:r>
        <w:rPr>
          <w:b/>
          <w:sz w:val="22"/>
        </w:rPr>
        <w:t>CLIN-Merck-27</w:t>
      </w:r>
    </w:p>
    <w:p>
      <w:pPr>
        <w:pStyle w:val="ListBullet"/>
      </w:pPr>
      <w:r>
        <w:rPr>
          <w:b/>
          <w:sz w:val="20"/>
        </w:rPr>
        <w:t xml:space="preserve">Recipient: </w:t>
      </w:r>
      <w:r>
        <w:rPr>
          <w:sz w:val="20"/>
        </w:rPr>
        <w:t>Merck</w:t>
      </w:r>
    </w:p>
    <w:p>
      <w:pPr>
        <w:pStyle w:val="ListBullet"/>
      </w:pPr>
      <w:r>
        <w:rPr>
          <w:b/>
          <w:sz w:val="20"/>
        </w:rPr>
        <w:t xml:space="preserve">Topic: </w:t>
      </w:r>
      <w:r>
        <w:rPr>
          <w:sz w:val="20"/>
        </w:rPr>
        <w:t>Network composition and proportional hazards</w:t>
      </w:r>
    </w:p>
    <w:p>
      <w:pPr>
        <w:pStyle w:val="ListBullet"/>
      </w:pPr>
      <w:r>
        <w:rPr>
          <w:b/>
          <w:sz w:val="20"/>
        </w:rPr>
        <w:t xml:space="preserve">Question: </w:t>
      </w:r>
      <w:r>
        <w:rPr>
          <w:sz w:val="20"/>
        </w:rPr>
        <w:t>For the intermediate-/poor-risk NMA (Section B.2.10), please (a) provide the proportional hazards assessment per comparison (log-cumulative hazard plots, Schoenfeld residual tests) for each connection in the network; (b) confirm whether any non-PH method (fractional polynomials, restricted mean survival time, time-varying hazards) was explored, and present results; (c) provide the unredacted forest plots (Figures 16 and 17) with HRs and 95% CrIs; (d) confirm whether the IMDC intermediate-/poor-risk subgroup data from each comparator trial (CABOSUN, CheckMate 9ER, CheckMate 214, CLEAR) used the same definition of the intermediate-/poor-risk pooled subgroup as JAVELIN; and (e) discuss any imbalance in baseline characteristics across the NMA's intermediate-/poor-risk subgroups.</w:t>
      </w:r>
    </w:p>
    <w:p>
      <w:pPr>
        <w:pStyle w:val="ListBullet"/>
      </w:pPr>
      <w:r>
        <w:rPr>
          <w:b/>
          <w:sz w:val="20"/>
        </w:rPr>
        <w:t xml:space="preserve">Rationale: </w:t>
      </w:r>
      <w:r>
        <w:rPr>
          <w:sz w:val="20"/>
        </w:rPr>
        <w:t>PH violations in long-follow-up IO vs TKI trials are well known; the company's brief statement that PH "is likely reasonable" is insufficient. Subgroup definitions and baseline differences across the NMA also drive bias.</w:t>
      </w:r>
    </w:p>
    <w:p>
      <w:r>
        <w:rPr>
          <w:b/>
          <w:sz w:val="22"/>
        </w:rPr>
        <w:t>CLIN-Merck-28</w:t>
      </w:r>
    </w:p>
    <w:p>
      <w:pPr>
        <w:pStyle w:val="ListBullet"/>
      </w:pPr>
      <w:r>
        <w:rPr>
          <w:b/>
          <w:sz w:val="20"/>
        </w:rPr>
        <w:t xml:space="preserve">Recipient: </w:t>
      </w:r>
      <w:r>
        <w:rPr>
          <w:sz w:val="20"/>
        </w:rPr>
        <w:t>Merck</w:t>
      </w:r>
    </w:p>
    <w:p>
      <w:pPr>
        <w:pStyle w:val="ListBullet"/>
      </w:pPr>
      <w:r>
        <w:rPr>
          <w:b/>
          <w:sz w:val="20"/>
        </w:rPr>
        <w:t xml:space="preserve">Topic: </w:t>
      </w:r>
      <w:r>
        <w:rPr>
          <w:sz w:val="20"/>
        </w:rPr>
        <w:t>Fixed vs random effects choice in a single-study-per-comparison network</w:t>
      </w:r>
    </w:p>
    <w:p>
      <w:pPr>
        <w:pStyle w:val="ListBullet"/>
      </w:pPr>
      <w:r>
        <w:rPr>
          <w:b/>
          <w:sz w:val="20"/>
        </w:rPr>
        <w:t xml:space="preserve">Question: </w:t>
      </w:r>
      <w:r>
        <w:rPr>
          <w:sz w:val="20"/>
        </w:rPr>
        <w:t>Section B.2.10.5 selects the fixed-effects model on the basis of DIC and the fact that each connection contains a single study. Please (a) confirm that no between-study heterogeneity can be estimated in such a network and that the random-effects credible intervals are dominated by the prior; (b) provide a sensitivity analysis with an informative half-Normal prior on the heterogeneity SD (as per NICE DSU TSD 2) and report the impact on point estimates and uncertainty; and (c) discuss the impact on the credibility of the indirect comparison given the substantial heterogeneity in IMDC composition and baseline characteristics across CABOSUN, CheckMate 9ER, CheckMate 214 and CLEAR.</w:t>
      </w:r>
    </w:p>
    <w:p>
      <w:pPr>
        <w:pStyle w:val="ListBullet"/>
      </w:pPr>
      <w:r>
        <w:rPr>
          <w:b/>
          <w:sz w:val="20"/>
        </w:rPr>
        <w:t xml:space="preserve">Rationale: </w:t>
      </w:r>
      <w:r>
        <w:rPr>
          <w:sz w:val="20"/>
        </w:rPr>
        <w:t>A single-study-per-comparison network with fixed effects under-represents uncertainty; the random-effects results are needed to bound the plausible range.</w:t>
      </w:r>
    </w:p>
    <w:p>
      <w:r>
        <w:rPr>
          <w:b/>
          <w:sz w:val="22"/>
        </w:rPr>
        <w:t>CLIN-Merck-29</w:t>
      </w:r>
    </w:p>
    <w:p>
      <w:pPr>
        <w:pStyle w:val="ListBullet"/>
      </w:pPr>
      <w:r>
        <w:rPr>
          <w:b/>
          <w:sz w:val="20"/>
        </w:rPr>
        <w:t xml:space="preserve">Recipient: </w:t>
      </w:r>
      <w:r>
        <w:rPr>
          <w:sz w:val="20"/>
        </w:rPr>
        <w:t>Merck</w:t>
      </w:r>
    </w:p>
    <w:p>
      <w:pPr>
        <w:pStyle w:val="ListBullet"/>
      </w:pPr>
      <w:r>
        <w:rPr>
          <w:b/>
          <w:sz w:val="20"/>
        </w:rPr>
        <w:t xml:space="preserve">Topic: </w:t>
      </w:r>
      <w:r>
        <w:rPr>
          <w:sz w:val="20"/>
        </w:rPr>
        <w:t>Inclusion criteria — KEYNOTE-426 and other IO+TKI trials</w:t>
      </w:r>
    </w:p>
    <w:p>
      <w:pPr>
        <w:pStyle w:val="ListBullet"/>
      </w:pPr>
      <w:r>
        <w:rPr>
          <w:b/>
          <w:sz w:val="20"/>
        </w:rPr>
        <w:t xml:space="preserve">Question: </w:t>
      </w:r>
      <w:r>
        <w:rPr>
          <w:sz w:val="20"/>
        </w:rPr>
        <w:t>Please confirm whether KEYNOTE-426 (pembrolizumab + axitinib vs sunitinib — TA650) was identified in the SLR and explain its exclusion from the NMA, given its structural similarity to JAVELIN Renal 101 and its inclusion of a sunitinib arm that would allow a powerful indirect comparison. Provide any sensitivity NMA including KEYNOTE-426 to assess the robustness of relative effect estimates.</w:t>
      </w:r>
    </w:p>
    <w:p>
      <w:pPr>
        <w:pStyle w:val="ListBullet"/>
      </w:pPr>
      <w:r>
        <w:rPr>
          <w:b/>
          <w:sz w:val="20"/>
        </w:rPr>
        <w:t xml:space="preserve">Rationale: </w:t>
      </w:r>
      <w:r>
        <w:rPr>
          <w:sz w:val="20"/>
        </w:rPr>
        <w:t>Excluding the most structurally similar comparator (another PD-1/PD-L1 inhibitor + axitinib vs sunitinib trial) requires justification, particularly because its inclusion would alter the network connectivity and potentially the conclusions.</w:t>
      </w:r>
    </w:p>
    <w:p>
      <w:pPr>
        <w:pStyle w:val="Heading3"/>
      </w:pPr>
      <w:r>
        <w:rPr>
          <w:color w:val="1F3864"/>
          <w:sz w:val="24"/>
        </w:rPr>
        <w:t>I. END-OF-LIFE, INNOVATION, EQUALITY</w:t>
      </w:r>
    </w:p>
    <w:p>
      <w:r>
        <w:rPr>
          <w:b/>
          <w:sz w:val="22"/>
        </w:rPr>
        <w:t>CLIN-Merck-30</w:t>
      </w:r>
    </w:p>
    <w:p>
      <w:pPr>
        <w:pStyle w:val="ListBullet"/>
      </w:pPr>
      <w:r>
        <w:rPr>
          <w:b/>
          <w:sz w:val="20"/>
        </w:rPr>
        <w:t xml:space="preserve">Recipient: </w:t>
      </w:r>
      <w:r>
        <w:rPr>
          <w:sz w:val="20"/>
        </w:rPr>
        <w:t>Merck</w:t>
      </w:r>
    </w:p>
    <w:p>
      <w:pPr>
        <w:pStyle w:val="ListBullet"/>
      </w:pPr>
      <w:r>
        <w:rPr>
          <w:b/>
          <w:sz w:val="20"/>
        </w:rPr>
        <w:t xml:space="preserve">Topic: </w:t>
      </w:r>
      <w:r>
        <w:rPr>
          <w:sz w:val="20"/>
        </w:rPr>
        <w:t>Severity / QALY shortfall methodology</w:t>
      </w:r>
    </w:p>
    <w:p>
      <w:pPr>
        <w:pStyle w:val="ListBullet"/>
      </w:pPr>
      <w:r>
        <w:rPr>
          <w:b/>
          <w:sz w:val="20"/>
        </w:rPr>
        <w:t xml:space="preserve">Question: </w:t>
      </w:r>
      <w:r>
        <w:rPr>
          <w:sz w:val="20"/>
        </w:rPr>
        <w:t>Section B.3.6 reports a QALY shortfall of 8.04 absolute / 65.41% proportional in the favourable-risk population, concluding no severity modifier applies. Please (a) confirm the comparator general-population utility estimation and the baseline characteristics used; (b) provide the equivalent calculations for the intermediate-/poor-risk and ITT populations (referred to but not in the main body); and (c) explain whether the much shorter expected survival in poor-risk patients (10.2 months untreated — Section B.1.3.4.1) would justify a severity modifier in that subgroup.</w:t>
      </w:r>
    </w:p>
    <w:p>
      <w:pPr>
        <w:pStyle w:val="ListBullet"/>
      </w:pPr>
      <w:r>
        <w:rPr>
          <w:b/>
          <w:sz w:val="20"/>
        </w:rPr>
        <w:t xml:space="preserve">Rationale: </w:t>
      </w:r>
      <w:r>
        <w:rPr>
          <w:sz w:val="20"/>
        </w:rPr>
        <w:t>The severity modifier may apply differently across IMDC subgroups, and is a key driver of cost-effectiveness if the QALY shortfall thresholds are met.</w:t>
      </w:r>
    </w:p>
    <w:p>
      <w:r>
        <w:rPr>
          <w:b/>
          <w:sz w:val="22"/>
        </w:rPr>
        <w:t>CLIN-Merck-31</w:t>
      </w:r>
    </w:p>
    <w:p>
      <w:pPr>
        <w:pStyle w:val="ListBullet"/>
      </w:pPr>
      <w:r>
        <w:rPr>
          <w:b/>
          <w:sz w:val="20"/>
        </w:rPr>
        <w:t xml:space="preserve">Recipient: </w:t>
      </w:r>
      <w:r>
        <w:rPr>
          <w:sz w:val="20"/>
        </w:rPr>
        <w:t>Merck</w:t>
      </w:r>
    </w:p>
    <w:p>
      <w:pPr>
        <w:pStyle w:val="ListBullet"/>
      </w:pPr>
      <w:r>
        <w:rPr>
          <w:b/>
          <w:sz w:val="20"/>
        </w:rPr>
        <w:t xml:space="preserve">Topic: </w:t>
      </w:r>
      <w:r>
        <w:rPr>
          <w:sz w:val="20"/>
        </w:rPr>
        <w:t>Equality considerations</w:t>
      </w:r>
    </w:p>
    <w:p>
      <w:pPr>
        <w:pStyle w:val="ListBullet"/>
      </w:pPr>
      <w:r>
        <w:rPr>
          <w:b/>
          <w:sz w:val="20"/>
        </w:rPr>
        <w:t xml:space="preserve">Question: </w:t>
      </w:r>
      <w:r>
        <w:rPr>
          <w:sz w:val="20"/>
        </w:rPr>
        <w:t>Section B.1.4 frames the equity argument around favourable-risk patients in England/Wales not having access to an IO regimen, while Scottish patients (SMC recommendation) do. Please (a) provide the proportion of favourable-risk aRCC patients in England/Wales who currently access avelumab + axitinib through the CDF (or other access routes) and indicate whether the equality concern is therefore mitigated; (b) discuss whether the company has identified any protected characteristic (Equality Act 2010) that is differentially affected; and (c) confirm whether equity concerns extend to the intermediate-/poor-risk subgroup.</w:t>
      </w:r>
    </w:p>
    <w:p>
      <w:pPr>
        <w:pStyle w:val="ListBullet"/>
      </w:pPr>
      <w:r>
        <w:rPr>
          <w:b/>
          <w:sz w:val="20"/>
        </w:rPr>
        <w:t xml:space="preserve">Rationale: </w:t>
      </w:r>
      <w:r>
        <w:rPr>
          <w:sz w:val="20"/>
        </w:rPr>
        <w:t>Equality considerations must engage with protected characteristics, not regional NHS commissioning differences alone. The committee will want to see this distinction.</w:t>
      </w:r>
    </w:p>
    <w:p>
      <w:pPr>
        <w:pStyle w:val="Heading3"/>
      </w:pPr>
      <w:r>
        <w:rPr>
          <w:color w:val="1F3864"/>
          <w:sz w:val="24"/>
        </w:rPr>
        <w:t>J. ONGOING STUDIES</w:t>
      </w:r>
    </w:p>
    <w:p>
      <w:r>
        <w:rPr>
          <w:b/>
          <w:sz w:val="22"/>
        </w:rPr>
        <w:t>CLIN-Merck-32</w:t>
      </w:r>
    </w:p>
    <w:p>
      <w:pPr>
        <w:pStyle w:val="ListBullet"/>
      </w:pPr>
      <w:r>
        <w:rPr>
          <w:b/>
          <w:sz w:val="20"/>
        </w:rPr>
        <w:t xml:space="preserve">Recipient: </w:t>
      </w:r>
      <w:r>
        <w:rPr>
          <w:sz w:val="20"/>
        </w:rPr>
        <w:t>Merck</w:t>
      </w:r>
    </w:p>
    <w:p>
      <w:pPr>
        <w:pStyle w:val="ListBullet"/>
      </w:pPr>
      <w:r>
        <w:rPr>
          <w:b/>
          <w:sz w:val="20"/>
        </w:rPr>
        <w:t xml:space="preserve">Topic: </w:t>
      </w:r>
      <w:r>
        <w:rPr>
          <w:sz w:val="20"/>
        </w:rPr>
        <w:t>AVION and future data cuts</w:t>
      </w:r>
    </w:p>
    <w:p>
      <w:pPr>
        <w:pStyle w:val="ListBullet"/>
      </w:pPr>
      <w:r>
        <w:rPr>
          <w:b/>
          <w:sz w:val="20"/>
        </w:rPr>
        <w:t xml:space="preserve">Question: </w:t>
      </w:r>
      <w:r>
        <w:rPr>
          <w:sz w:val="20"/>
        </w:rPr>
        <w:t>Section B.2.12.1 cites the AVION study (NCT04941768, observational, EU/Russia, n=108, estimated completion May 2025). Please (a) confirm the current status of AVION and provide any interim outcomes that overlap with the appraisal timeline; (b) confirm whether any further data cuts of JAVELIN Renal 101 are planned beyond the FA (DCO 31 August 2023); (c) describe any ongoing UK-specific RWE collection beyond the SACT cohort that is expected to mature during the appraisal period; and (d) describe any planned Phase 4 commitments to UK regulators.</w:t>
      </w:r>
    </w:p>
    <w:p>
      <w:pPr>
        <w:pStyle w:val="ListBullet"/>
      </w:pPr>
      <w:r>
        <w:rPr>
          <w:b/>
          <w:sz w:val="20"/>
        </w:rPr>
        <w:t xml:space="preserve">Rationale: </w:t>
      </w:r>
      <w:r>
        <w:rPr>
          <w:sz w:val="20"/>
        </w:rPr>
        <w:t>The committee should know whether further evidence is imminent that could inform decision-making.</w:t>
      </w:r>
    </w:p>
    <w:p>
      <w:pPr>
        <w:pStyle w:val="Heading3"/>
      </w:pPr>
      <w:r>
        <w:rPr>
          <w:color w:val="1F3864"/>
          <w:sz w:val="24"/>
        </w:rPr>
        <w:t>K. ECONOMIC-MODEL-RELATED CLINICAL DATA</w:t>
      </w:r>
    </w:p>
    <w:p>
      <w:r>
        <w:rPr>
          <w:b/>
          <w:sz w:val="22"/>
        </w:rPr>
        <w:t>CLIN-Merck-33</w:t>
      </w:r>
    </w:p>
    <w:p>
      <w:pPr>
        <w:pStyle w:val="ListBullet"/>
      </w:pPr>
      <w:r>
        <w:rPr>
          <w:b/>
          <w:sz w:val="20"/>
        </w:rPr>
        <w:t xml:space="preserve">Recipient: </w:t>
      </w:r>
      <w:r>
        <w:rPr>
          <w:sz w:val="20"/>
        </w:rPr>
        <w:t>Merck</w:t>
      </w:r>
    </w:p>
    <w:p>
      <w:pPr>
        <w:pStyle w:val="ListBullet"/>
      </w:pPr>
      <w:r>
        <w:rPr>
          <w:b/>
          <w:sz w:val="20"/>
        </w:rPr>
        <w:t xml:space="preserve">Topic: </w:t>
      </w:r>
      <w:r>
        <w:rPr>
          <w:sz w:val="20"/>
        </w:rPr>
        <w:t>TTD vs PFS curves and clinical plausibility</w:t>
      </w:r>
    </w:p>
    <w:p>
      <w:pPr>
        <w:pStyle w:val="ListBullet"/>
      </w:pPr>
      <w:r>
        <w:rPr>
          <w:b/>
          <w:sz w:val="20"/>
        </w:rPr>
        <w:t xml:space="preserve">Question: </w:t>
      </w:r>
      <w:r>
        <w:rPr>
          <w:sz w:val="20"/>
        </w:rPr>
        <w:t>Section B.3.3.3 presents TTD curves modelled separately for avelumab and axitinib using a generalised gamma extrapolation, based on data with most numerical inputs redacted (Tables 49–54). Please (a) unredact the AIC/BIC tables and landmark TTD estimates; (b) provide the median and tail TTD estimates for avelumab and axitinib in the favourable-risk subgroup, and compare these to the median PFS (20.7 months) and OS (79.4 months); (c) confirm whether TTD modelled separately by drug allows patients to receive avelumab without axitinib, and vice versa, and how this is costed in the model; and (d) provide the implied proportion of avelumab + axitinib patients still on each drug at 2, 5 and 10 years.</w:t>
      </w:r>
    </w:p>
    <w:p>
      <w:pPr>
        <w:pStyle w:val="ListBullet"/>
      </w:pPr>
      <w:r>
        <w:rPr>
          <w:b/>
          <w:sz w:val="20"/>
        </w:rPr>
        <w:t xml:space="preserve">Rationale: </w:t>
      </w:r>
      <w:r>
        <w:rPr>
          <w:sz w:val="20"/>
        </w:rPr>
        <w:t>TTD drives drug cost; a long-tail extrapolation of avelumab and axitinib (each priced individually) materially affects the ICER and the credibility of the company's cost case.</w:t>
      </w:r>
    </w:p>
    <w:p>
      <w:r>
        <w:rPr>
          <w:b/>
          <w:sz w:val="22"/>
        </w:rPr>
        <w:t>CLIN-Merck-34</w:t>
      </w:r>
    </w:p>
    <w:p>
      <w:pPr>
        <w:pStyle w:val="ListBullet"/>
      </w:pPr>
      <w:r>
        <w:rPr>
          <w:b/>
          <w:sz w:val="20"/>
        </w:rPr>
        <w:t xml:space="preserve">Recipient: </w:t>
      </w:r>
      <w:r>
        <w:rPr>
          <w:sz w:val="20"/>
        </w:rPr>
        <w:t>Merck</w:t>
      </w:r>
    </w:p>
    <w:p>
      <w:pPr>
        <w:pStyle w:val="ListBullet"/>
      </w:pPr>
      <w:r>
        <w:rPr>
          <w:b/>
          <w:sz w:val="20"/>
        </w:rPr>
        <w:t xml:space="preserve">Topic: </w:t>
      </w:r>
      <w:r>
        <w:rPr>
          <w:sz w:val="20"/>
        </w:rPr>
        <w:t>Avelumab stopping rule</w:t>
      </w:r>
    </w:p>
    <w:p>
      <w:pPr>
        <w:pStyle w:val="ListBullet"/>
      </w:pPr>
      <w:r>
        <w:rPr>
          <w:b/>
          <w:sz w:val="20"/>
        </w:rPr>
        <w:t xml:space="preserve">Question: </w:t>
      </w:r>
      <w:r>
        <w:rPr>
          <w:sz w:val="20"/>
        </w:rPr>
        <w:t>Please confirm whether the avelumab SmPC, the JAVELIN Renal 101 protocol, or NHS commissioning policy includes a stopping rule for avelumab (e.g. a 2-year cap) in first-line aRCC. If yes, describe whether the model implements such a rule and provide a sensitivity analysis with and without it. If no, describe the maximum duration of avelumab exposure observed in JAVELIN Renal 101 and the proportion of patients still on avelumab at 24, 36 and 48 months.</w:t>
      </w:r>
    </w:p>
    <w:p>
      <w:pPr>
        <w:pStyle w:val="ListBullet"/>
      </w:pPr>
      <w:r>
        <w:rPr>
          <w:b/>
          <w:sz w:val="20"/>
        </w:rPr>
        <w:t xml:space="preserve">Rationale: </w:t>
      </w:r>
      <w:r>
        <w:rPr>
          <w:sz w:val="20"/>
        </w:rPr>
        <w:t>Stopping rules can materially change cost-effectiveness for high-cost IO therapies and have been used in other NICE IO appraisals.</w:t>
      </w:r>
    </w:p>
    <w:p>
      <w:r>
        <w:rPr>
          <w:b/>
          <w:sz w:val="22"/>
        </w:rPr>
        <w:t>CLIN-Merck-35</w:t>
      </w:r>
    </w:p>
    <w:p>
      <w:pPr>
        <w:pStyle w:val="ListBullet"/>
      </w:pPr>
      <w:r>
        <w:rPr>
          <w:b/>
          <w:sz w:val="20"/>
        </w:rPr>
        <w:t xml:space="preserve">Recipient: </w:t>
      </w:r>
      <w:r>
        <w:rPr>
          <w:sz w:val="20"/>
        </w:rPr>
        <w:t>Merck</w:t>
      </w:r>
    </w:p>
    <w:p>
      <w:pPr>
        <w:pStyle w:val="ListBullet"/>
      </w:pPr>
      <w:r>
        <w:rPr>
          <w:b/>
          <w:sz w:val="20"/>
        </w:rPr>
        <w:t xml:space="preserve">Topic: </w:t>
      </w:r>
      <w:r>
        <w:rPr>
          <w:sz w:val="20"/>
        </w:rPr>
        <w:t>Real-world OS in SACT vs JAVELIN — discordance in favourable-risk</w:t>
      </w:r>
    </w:p>
    <w:p>
      <w:pPr>
        <w:pStyle w:val="ListBullet"/>
      </w:pPr>
      <w:r>
        <w:rPr>
          <w:b/>
          <w:sz w:val="20"/>
        </w:rPr>
        <w:t xml:space="preserve">Question: </w:t>
      </w:r>
      <w:r>
        <w:rPr>
          <w:sz w:val="20"/>
        </w:rPr>
        <w:t>Section B.2.8.2.2 reports SACT CDF median OS for favourable-risk patients as redacted; Section B.2.13.1.1 acknowledges that intermediate-/poor-risk OS in the SACT cohort is "lower than the median OS seen in the JAVELIN Renal 101 trial" (37.8 months) and attributes this to selection effects. Please (a) unredact median OS by IMDC group in the SACT CDF cohort; (b) compare directly to JAVELIN favourable-risk (79.4 months) and intermediate-/poor-risk (37.8 months); (c) explore whether the SACT/EAMS data validate the OS extrapolations used in the cost-effectiveness model — particularly the optimistic log-normal OS curve for avelumab + axitinib in favourable-risk (Section B.3.3.2.1); and (d) provide a scenario where SACT-observed OS is used to anchor or calibrate the JAVELIN extrapolation.</w:t>
      </w:r>
    </w:p>
    <w:p>
      <w:pPr>
        <w:pStyle w:val="ListBullet"/>
      </w:pPr>
      <w:r>
        <w:rPr>
          <w:b/>
          <w:sz w:val="20"/>
        </w:rPr>
        <w:t xml:space="preserve">Rationale: </w:t>
      </w:r>
      <w:r>
        <w:rPr>
          <w:sz w:val="20"/>
        </w:rPr>
        <w:t>The model's favourable-risk OS extrapolation projects survival well beyond the observed trial data, and UK real-world data should be the primary check on its plausibility.</w:t>
      </w:r>
    </w:p>
    <w:p>
      <w:pPr>
        <w:pStyle w:val="Heading3"/>
      </w:pPr>
      <w:r>
        <w:rPr>
          <w:color w:val="1F3864"/>
          <w:sz w:val="24"/>
        </w:rPr>
        <w:t>L. REDACTED DATA THE EAG WOULD REQUEST UNREDACTED</w:t>
      </w:r>
    </w:p>
    <w:p>
      <w:r>
        <w:rPr>
          <w:b/>
          <w:sz w:val="22"/>
        </w:rPr>
        <w:t>CLIN-Merck-36</w:t>
      </w:r>
    </w:p>
    <w:p>
      <w:pPr>
        <w:pStyle w:val="ListBullet"/>
      </w:pPr>
      <w:r>
        <w:rPr>
          <w:b/>
          <w:sz w:val="20"/>
        </w:rPr>
        <w:t xml:space="preserve">Recipient: </w:t>
      </w:r>
      <w:r>
        <w:rPr>
          <w:sz w:val="20"/>
        </w:rPr>
        <w:t>Merck</w:t>
      </w:r>
    </w:p>
    <w:p>
      <w:pPr>
        <w:pStyle w:val="ListBullet"/>
      </w:pPr>
      <w:r>
        <w:rPr>
          <w:b/>
          <w:sz w:val="20"/>
        </w:rPr>
        <w:t xml:space="preserve">Topic: </w:t>
      </w:r>
      <w:r>
        <w:rPr>
          <w:sz w:val="20"/>
        </w:rPr>
        <w:t>Summary of redactions for the academic-in-confidence appendix</w:t>
      </w:r>
    </w:p>
    <w:p>
      <w:pPr>
        <w:pStyle w:val="ListBullet"/>
      </w:pPr>
      <w:r>
        <w:rPr>
          <w:b/>
          <w:sz w:val="20"/>
        </w:rPr>
        <w:t xml:space="preserve">Question: </w:t>
      </w:r>
      <w:r>
        <w:rPr>
          <w:sz w:val="20"/>
        </w:rPr>
        <w:t>Please provide an academic-/commercial-in-confidence version of the submission containing unredacted values for, at minimum: (a) baseline characteristics by IMDC subgroup (Table 8); (b) all efficacy endpoints in the PD-L1+ favourable-risk and intermediate-/poor-risk subgroups (Table 20); (c) the SACT CDF and EAMS cohort sizes, baseline characteristics, and median OS by IMDC risk (Tables 21, 22, 23, 24); (d) all relative-dose-intensity, dose-modification, and discontinuation rates (Tables 31, 36, 37); (e) the most common TEAEs, treatment-related TEAEs and serious TEAEs (Tables 32, 33, 34, 35); (f) parametric model goodness-of-fit and landmark survival estimates for OS, PFS and TTD (Tables 45, 46, 49–54); (g) regression utility model output and predicted utility values (Tables 57, 58); (h) the avelumab PAS discount percentage (Table 2); and (i) the NMA forest plots (Figures 16, 17).</w:t>
      </w:r>
    </w:p>
    <w:p>
      <w:pPr>
        <w:pStyle w:val="ListBullet"/>
      </w:pPr>
      <w:r>
        <w:rPr>
          <w:b/>
          <w:sz w:val="20"/>
        </w:rPr>
        <w:t xml:space="preserve">Rationale: </w:t>
      </w:r>
      <w:r>
        <w:rPr>
          <w:sz w:val="20"/>
        </w:rPr>
        <w:t>The EAG cannot independently verify the company's clinical inferences without these data. The volume of redactions in the public submission is exceptional and the academic-in-confidence appendix is the standard route for committee access.</w:t>
      </w:r>
    </w:p>
    <w:p>
      <w:pPr>
        <w:pStyle w:val="Heading3"/>
      </w:pPr>
      <w:r>
        <w:rPr>
          <w:color w:val="1F3864"/>
          <w:sz w:val="24"/>
        </w:rPr>
        <w:t>Question count summary</w:t>
      </w:r>
    </w:p>
    <w:p>
      <w:pPr>
        <w:pStyle w:val="ListBullet"/>
      </w:pPr>
      <w:r>
        <w:rPr>
          <w:sz w:val="20"/>
        </w:rPr>
        <w:t>Total CLIN-Merck: 36</w:t>
      </w:r>
    </w:p>
    <w:p>
      <w:r>
        <w:rPr>
          <w:sz w:val="20"/>
        </w:rPr>
        <w:t>Topics covered:</w:t>
      </w:r>
    </w:p>
    <w:p>
      <w:pPr>
        <w:pStyle w:val="ListBullet"/>
      </w:pPr>
      <w:r>
        <w:rPr>
          <w:sz w:val="20"/>
        </w:rPr>
        <w:t>A. Scope deviations: population framing, omission of NMA in favourable-risk and ITT, PD-L1 exclusion from CEM, MA wording vs trial population (CLIN-Merck-1 to 4)</w:t>
      </w:r>
    </w:p>
    <w:p>
      <w:pPr>
        <w:pStyle w:val="ListBullet"/>
      </w:pPr>
      <w:r>
        <w:rPr>
          <w:sz w:val="20"/>
        </w:rPr>
        <w:t>B. Trial design/internal validity: switch from BICR to investigator-assessed PFS, censoring rules, loss to follow-up by arm, OS maturity, stratification and multiplicity (CLIN-Merck-5 to 9)</w:t>
      </w:r>
    </w:p>
    <w:p>
      <w:pPr>
        <w:pStyle w:val="ListBullet"/>
      </w:pPr>
      <w:r>
        <w:rPr>
          <w:sz w:val="20"/>
        </w:rPr>
        <w:t>C. Population/external validity: UK representation, baseline characteristics vs UK, sunitinib schedule, place in evolving pathway (CLIN-Merck-10 to 13)</w:t>
      </w:r>
    </w:p>
    <w:p>
      <w:pPr>
        <w:pStyle w:val="ListBullet"/>
      </w:pPr>
      <w:r>
        <w:rPr>
          <w:sz w:val="20"/>
        </w:rPr>
        <w:t>D. Subgroups: forest plots, sarcomatoid, PD-L1 × IMDC interactions, intermediate vs poor separation (CLIN-Merck-14 to 17)</w:t>
      </w:r>
    </w:p>
    <w:p>
      <w:pPr>
        <w:pStyle w:val="ListBullet"/>
      </w:pPr>
      <w:r>
        <w:rPr>
          <w:sz w:val="20"/>
        </w:rPr>
        <w:t>E. Safety/RDI/discontinuations: RDI by subgroup, treatment-related discontinuation patterns, irAEs and steroids, cardiac signal (CLIN-Merck-18 to 21)</w:t>
      </w:r>
    </w:p>
    <w:p>
      <w:pPr>
        <w:pStyle w:val="ListBullet"/>
      </w:pPr>
      <w:r>
        <w:rPr>
          <w:sz w:val="20"/>
        </w:rPr>
        <w:t>F. Treatment switching/subsequent therapy: OS confounded by subsequent IO, subsequent therapy distribution applied in model (CLIN-Merck-22 to 23)</w:t>
      </w:r>
    </w:p>
    <w:p>
      <w:pPr>
        <w:pStyle w:val="ListBullet"/>
      </w:pPr>
      <w:r>
        <w:rPr>
          <w:sz w:val="20"/>
        </w:rPr>
        <w:t>G. HRQoL: EQ-5D completion and post-progression utility, sunitinib PRO timing artefact, EQ-5D-5L to 3L mapping (CLIN-Merck-24 to 26)</w:t>
      </w:r>
    </w:p>
    <w:p>
      <w:pPr>
        <w:pStyle w:val="ListBullet"/>
      </w:pPr>
      <w:r>
        <w:rPr>
          <w:sz w:val="20"/>
        </w:rPr>
        <w:t>H. ITC / NMA: PH assessment, fixed vs random effects in single-study-per-comparison network, exclusion of KEYNOTE-426 (CLIN-Merck-27 to 29)</w:t>
      </w:r>
    </w:p>
    <w:p>
      <w:pPr>
        <w:pStyle w:val="ListBullet"/>
      </w:pPr>
      <w:r>
        <w:rPr>
          <w:sz w:val="20"/>
        </w:rPr>
        <w:t>I. End-of-life / innovation / equality: severity modifier across IMDC groups, equality framing (CLIN-Merck-30 to 31)</w:t>
      </w:r>
    </w:p>
    <w:p>
      <w:pPr>
        <w:pStyle w:val="ListBullet"/>
      </w:pPr>
      <w:r>
        <w:rPr>
          <w:sz w:val="20"/>
        </w:rPr>
        <w:t>J. Ongoing studies: AVION, planned data cuts, ongoing UK RWE (CLIN-Merck-32)</w:t>
      </w:r>
    </w:p>
    <w:p>
      <w:pPr>
        <w:pStyle w:val="ListBullet"/>
      </w:pPr>
      <w:r>
        <w:rPr>
          <w:sz w:val="20"/>
        </w:rPr>
        <w:t>K. Model-related clinical data: TTD curves and clinical plausibility, avelumab stopping rule, SACT vs JAVELIN OS reconciliation (CLIN-Merck-33 to 35)</w:t>
      </w:r>
    </w:p>
    <w:p>
      <w:pPr>
        <w:pStyle w:val="ListBullet"/>
      </w:pPr>
      <w:r>
        <w:rPr>
          <w:sz w:val="20"/>
        </w:rPr>
        <w:t>L. Redactions: PAS discount, RDI, AE rates, subgroup baseline tables, NMA outputs, utility regression output (CLIN-Merck-36)</w:t>
      </w:r>
    </w:p>
    <w:p>
      <w:r>
        <w:br w:type="page"/>
      </w:r>
    </w:p>
    <w:p>
      <w:pPr>
        <w:pStyle w:val="Heading2"/>
      </w:pPr>
      <w:r>
        <w:rPr>
          <w:color w:val="1F3864"/>
          <w:sz w:val="28"/>
        </w:rPr>
        <w:t>A.2 Statistician questions</w:t>
      </w:r>
    </w:p>
    <w:p>
      <w:r>
        <w:rPr>
          <w:b/>
          <w:sz w:val="20"/>
        </w:rPr>
        <w:t xml:space="preserve">Reviewer role: </w:t>
      </w:r>
      <w:r>
        <w:rPr>
          <w:sz w:val="20"/>
        </w:rPr>
        <w:t>EAG Statistician</w:t>
      </w:r>
    </w:p>
    <w:p>
      <w:r>
        <w:rPr>
          <w:b/>
          <w:sz w:val="20"/>
        </w:rPr>
        <w:t xml:space="preserve">Appraisal: </w:t>
      </w:r>
      <w:r>
        <w:rPr>
          <w:sz w:val="20"/>
        </w:rPr>
        <w:t>TA1120 — Avelumab + axitinib for untreated advanced RCC (MA review of TA645)</w:t>
      </w:r>
    </w:p>
    <w:p>
      <w:r>
        <w:rPr>
          <w:b/>
          <w:sz w:val="20"/>
        </w:rPr>
        <w:t xml:space="preserve">Source: </w:t>
      </w:r>
      <w:r>
        <w:rPr>
          <w:sz w:val="20"/>
        </w:rPr>
        <w:t>Merck submission (Document B, 07 November 2024 / v3.0 21 February 2025)</w:t>
      </w:r>
    </w:p>
    <w:p>
      <w:r>
        <w:rPr>
          <w:b/>
          <w:sz w:val="20"/>
        </w:rPr>
        <w:t xml:space="preserve">Reference frameworks cited: </w:t>
      </w:r>
      <w:r>
        <w:rPr>
          <w:sz w:val="20"/>
        </w:rPr>
        <w:t>NICE DSU TSD 14, 16, 17, 19, 20, 21 (as relevant)</w:t>
      </w:r>
    </w:p>
    <w:p>
      <w:pPr>
        <w:pStyle w:val="Heading3"/>
      </w:pPr>
      <w:r>
        <w:rPr>
          <w:color w:val="1F3864"/>
          <w:sz w:val="24"/>
        </w:rPr>
        <w:t>A. Proportional hazards testing</w:t>
      </w:r>
    </w:p>
    <w:p>
      <w:r>
        <w:rPr>
          <w:b/>
          <w:sz w:val="22"/>
        </w:rPr>
        <w:t>STAT-Merck-1 — Reporting of PH tests</w:t>
      </w:r>
    </w:p>
    <w:p>
      <w:r>
        <w:rPr>
          <w:b/>
          <w:sz w:val="20"/>
        </w:rPr>
        <w:t xml:space="preserve">Recipient: </w:t>
      </w:r>
      <w:r>
        <w:rPr>
          <w:sz w:val="20"/>
        </w:rPr>
        <w:t>Merck</w:t>
      </w:r>
    </w:p>
    <w:p>
      <w:r>
        <w:rPr>
          <w:b/>
          <w:sz w:val="20"/>
        </w:rPr>
        <w:t xml:space="preserve">Topic: </w:t>
      </w:r>
      <w:r>
        <w:rPr>
          <w:sz w:val="20"/>
        </w:rPr>
        <w:t>Completeness of PH diagnostics for OS, PFS and the NMA inputs</w:t>
      </w:r>
    </w:p>
    <w:p>
      <w:r>
        <w:rPr>
          <w:b/>
          <w:sz w:val="20"/>
        </w:rPr>
        <w:t xml:space="preserve">Question: </w:t>
      </w:r>
      <w:r>
        <w:rPr>
          <w:sz w:val="20"/>
        </w:rPr>
        <w:t>For every endpoint (OS, PFS, TTD) and every comparator KM curve included in the NMA (JAVELIN Renal 101, CABOSUN, CheckMate 9ER, CheckMate 214, CLEAR), provide a complete set of PH diagnostics:</w:t>
      </w:r>
    </w:p>
    <w:p>
      <w:r>
        <w:rPr>
          <w:sz w:val="20"/>
        </w:rPr>
        <w:t>(a) Grambsch–Therneau global Schoenfeld residual test (chi-square, df, p-value) and per-treatment-arm tests, with the time transformation (KM, identity, log, rank) stated and justified.</w:t>
      </w:r>
    </w:p>
    <w:p>
      <w:r>
        <w:rPr>
          <w:sz w:val="20"/>
        </w:rPr>
        <w:t>(b) Log-cumulative hazard ( log[−log S(t)] ) plots against log(time), with crossings and parallelism explicitly annotated.</w:t>
      </w:r>
    </w:p>
    <w:p>
      <w:r>
        <w:rPr>
          <w:sz w:val="20"/>
        </w:rPr>
        <w:t>(c) Scaled Schoenfeld residual plots with smoothed lines and 95% bands.</w:t>
      </w:r>
    </w:p>
    <w:p>
      <w:r>
        <w:rPr>
          <w:sz w:val="20"/>
        </w:rPr>
        <w:t>(d) The smoothed log-HR(t) from a Cox model with a time-varying coefficient (Therneau–Grambsch parameterisation) for the avelumab + axitinib vs sunitinib contrast in (i) ITT, (ii) IMDC favourable-risk, (iii) IMDC intermediate-/poor-risk, and (iv) PD-L1+ subgroups at the final analysis cut.</w:t>
      </w:r>
    </w:p>
    <w:p>
      <w:r>
        <w:rPr>
          <w:b/>
          <w:sz w:val="20"/>
        </w:rPr>
        <w:t xml:space="preserve">Rationale: </w:t>
      </w:r>
      <w:r>
        <w:rPr>
          <w:sz w:val="20"/>
        </w:rPr>
        <w:t>Document B Appendix N is referenced (Section B.2.10.2) but only one summary sentence appears in Document B — "On balance, the PH assumption was considered reasonable... owing to the number of comparisons required and the subjectivity associated with assessing the PH assumption." NICE DSU TSD 14 and TSD 21 require explicit quantitative and visual PH testing as the precondition for selecting between PH and non-PH/flexible models; "subjectivity" is not a valid statistical justification.</w:t>
      </w:r>
    </w:p>
    <w:p>
      <w:r>
        <w:rPr>
          <w:b/>
          <w:sz w:val="22"/>
        </w:rPr>
        <w:t>STAT-Merck-2 — PH assumption used to enable PH NMA despite likely violation</w:t>
      </w:r>
    </w:p>
    <w:p>
      <w:r>
        <w:rPr>
          <w:b/>
          <w:sz w:val="20"/>
        </w:rPr>
        <w:t xml:space="preserve">Recipient: </w:t>
      </w:r>
      <w:r>
        <w:rPr>
          <w:sz w:val="20"/>
        </w:rPr>
        <w:t>Merck</w:t>
      </w:r>
    </w:p>
    <w:p>
      <w:r>
        <w:rPr>
          <w:b/>
          <w:sz w:val="20"/>
        </w:rPr>
        <w:t xml:space="preserve">Topic: </w:t>
      </w:r>
      <w:r>
        <w:rPr>
          <w:sz w:val="20"/>
        </w:rPr>
        <w:t>Internal consistency of the PH decision</w:t>
      </w:r>
    </w:p>
    <w:p>
      <w:r>
        <w:rPr>
          <w:b/>
          <w:sz w:val="20"/>
        </w:rPr>
        <w:t xml:space="preserve">Question: </w:t>
      </w:r>
      <w:r>
        <w:rPr>
          <w:sz w:val="20"/>
        </w:rPr>
        <w:t>Reconcile the position that the PH assumption is reasonable "for the purpose of estimating relative effects for the model" (Section B.2.10.2 / B.2.10.6) with (a) the visual non-proportionality apparent in the JAVELIN Renal 101 OS KM curves (favourable-risk OS curves cross/separate only after ~30 months — Section B.2.6.1.1), and (b) the well-documented delayed-effect signature of IO+TKI vs TKI seen in CheckMate 214, CheckMate 9ER and CLEAR. State the formal statistical criterion (test, threshold) that defined "reasonable" in this submission, and provide pairwise PH test results for every contrast in the NMA.</w:t>
      </w:r>
    </w:p>
    <w:p>
      <w:r>
        <w:rPr>
          <w:b/>
          <w:sz w:val="20"/>
        </w:rPr>
        <w:t xml:space="preserve">Rationale: </w:t>
      </w:r>
      <w:r>
        <w:rPr>
          <w:sz w:val="20"/>
        </w:rPr>
        <w:t>TSD 14 / TSD 19 / TSD 21. Selecting a constant-HR NMA when delayed treatment effects are biologically plausible and visually apparent risks systematic mis-estimation of long-term relative effects against IO+IO and IO+TKI competitors.</w:t>
      </w:r>
    </w:p>
    <w:p>
      <w:r>
        <w:rPr>
          <w:b/>
          <w:sz w:val="22"/>
        </w:rPr>
        <w:t>STAT-Merck-3 — Asymmetric handling of PH "fail" vs "fail-to-reject"</w:t>
      </w:r>
    </w:p>
    <w:p>
      <w:r>
        <w:rPr>
          <w:b/>
          <w:sz w:val="20"/>
        </w:rPr>
        <w:t xml:space="preserve">Recipient: </w:t>
      </w:r>
      <w:r>
        <w:rPr>
          <w:sz w:val="20"/>
        </w:rPr>
        <w:t>Merck</w:t>
      </w:r>
    </w:p>
    <w:p>
      <w:r>
        <w:rPr>
          <w:b/>
          <w:sz w:val="20"/>
        </w:rPr>
        <w:t xml:space="preserve">Topic: </w:t>
      </w:r>
      <w:r>
        <w:rPr>
          <w:sz w:val="20"/>
        </w:rPr>
        <w:t>Decision rule consistency</w:t>
      </w:r>
    </w:p>
    <w:p>
      <w:r>
        <w:rPr>
          <w:b/>
          <w:sz w:val="20"/>
        </w:rPr>
        <w:t xml:space="preserve">Question: </w:t>
      </w:r>
      <w:r>
        <w:rPr>
          <w:sz w:val="20"/>
        </w:rPr>
        <w:t>State the pre-specified rule by which a Schoenfeld test result was treated as evidence in favour of PH or against PH, including the multiple-testing strategy across endpoints and subgroups. Provide a table cross-referencing PH test p-values to the curve-selection decisions (independent vs joint fits, constant-HR vs time-varying HR NMA).</w:t>
      </w:r>
    </w:p>
    <w:p>
      <w:r>
        <w:rPr>
          <w:b/>
          <w:sz w:val="20"/>
        </w:rPr>
        <w:t xml:space="preserve">Rationale: </w:t>
      </w:r>
      <w:r>
        <w:rPr>
          <w:sz w:val="20"/>
        </w:rPr>
        <w:t>Without a pre-specified rule, post-hoc curve selection biases extrapolation in favour of the sponsor's arm. TSD 14, §3.</w:t>
      </w:r>
    </w:p>
    <w:p>
      <w:pPr>
        <w:pStyle w:val="Heading3"/>
      </w:pPr>
      <w:r>
        <w:rPr>
          <w:color w:val="1F3864"/>
          <w:sz w:val="24"/>
        </w:rPr>
        <w:t>B. Survival distribution selection and extrapolation</w:t>
      </w:r>
    </w:p>
    <w:p>
      <w:r>
        <w:rPr>
          <w:b/>
          <w:sz w:val="22"/>
        </w:rPr>
        <w:t>STAT-Merck-4 — Full AIC/BIC tables and joint vs independent fits</w:t>
      </w:r>
    </w:p>
    <w:p>
      <w:r>
        <w:rPr>
          <w:b/>
          <w:sz w:val="20"/>
        </w:rPr>
        <w:t xml:space="preserve">Recipient: </w:t>
      </w:r>
      <w:r>
        <w:rPr>
          <w:sz w:val="20"/>
        </w:rPr>
        <w:t>Merck</w:t>
      </w:r>
    </w:p>
    <w:p>
      <w:r>
        <w:rPr>
          <w:b/>
          <w:sz w:val="20"/>
        </w:rPr>
        <w:t xml:space="preserve">Topic: </w:t>
      </w:r>
      <w:r>
        <w:rPr>
          <w:sz w:val="20"/>
        </w:rPr>
        <w:t>Reporting completeness of parametric survival model (PSM) goodness-of-fit</w:t>
      </w:r>
    </w:p>
    <w:p>
      <w:r>
        <w:rPr>
          <w:b/>
          <w:sz w:val="20"/>
        </w:rPr>
        <w:t xml:space="preserve">Question: </w:t>
      </w:r>
      <w:r>
        <w:rPr>
          <w:sz w:val="20"/>
        </w:rPr>
        <w:t>Provide the numerical AIC and BIC values (currently redacted as "XXXXX" in Tables 45, 47, 49, 51, 53 — favourable-risk PFS, sunitinib PFS, avelumab TTD, axitinib TTD, sunitinib TTD) for **all** candidate distributions (exponential, Weibull, Gompertz, log-normal, log-logistic, gamma, generalised gamma) and for **joint** as well as independent fits. Repeat for OS and PFS in the intermediate-/poor-risk and ITT populations (Appendix O).</w:t>
      </w:r>
    </w:p>
    <w:p>
      <w:r>
        <w:rPr>
          <w:b/>
          <w:sz w:val="20"/>
        </w:rPr>
        <w:t xml:space="preserve">Rationale: </w:t>
      </w:r>
      <w:r>
        <w:rPr>
          <w:sz w:val="20"/>
        </w:rPr>
        <w:t>TSD 14 requires both joint and independent fits and a transparent goodness-of-fit table to justify departures. The OS difference between Weibull (best by AIC/BIC for sunitinib) and the selected generalised gamma is large at 10 years (15.5% vs 18.6%) and the choice materially affects ICERs.</w:t>
      </w:r>
    </w:p>
    <w:p>
      <w:r>
        <w:rPr>
          <w:b/>
          <w:sz w:val="22"/>
        </w:rPr>
        <w:t>STAT-Merck-5 — Log-normal OS for avelumab + axitinib: justification beyond AIC/BIC</w:t>
      </w:r>
    </w:p>
    <w:p>
      <w:r>
        <w:rPr>
          <w:b/>
          <w:sz w:val="20"/>
        </w:rPr>
        <w:t xml:space="preserve">Recipient: </w:t>
      </w:r>
      <w:r>
        <w:rPr>
          <w:sz w:val="20"/>
        </w:rPr>
        <w:t>Merck</w:t>
      </w:r>
    </w:p>
    <w:p>
      <w:r>
        <w:rPr>
          <w:b/>
          <w:sz w:val="20"/>
        </w:rPr>
        <w:t xml:space="preserve">Topic: </w:t>
      </w:r>
      <w:r>
        <w:rPr>
          <w:sz w:val="20"/>
        </w:rPr>
        <w:t>Base-case OS curve choice (favourable-risk)</w:t>
      </w:r>
    </w:p>
    <w:p>
      <w:r>
        <w:rPr>
          <w:b/>
          <w:sz w:val="20"/>
        </w:rPr>
        <w:t xml:space="preserve">Question: </w:t>
      </w:r>
      <w:r>
        <w:rPr>
          <w:sz w:val="20"/>
        </w:rPr>
        <w:t>The log-normal was selected for avelumab + axitinib OS but a different distribution (generalised gamma) was selected for sunitinib OS, despite the Weibull being ranked AIC/BIC-best for sunitinib (Tables 41, 43). Provide: (a) a side-by-side plot of all six fitted curves over the trial follow-up and to year 40 for both arms, (b) Cox–Snell residual plots, (c) the resulting implied HR(t) profile for each pairing, and (d) external validation against SACT favourable-risk OS and the Nathan et al. EAMS cohort. Justify why curves implying different baseline hazard shapes for sunitinib in the same risk group (different choices for OS vs PFS) are clinically plausible.</w:t>
      </w:r>
    </w:p>
    <w:p>
      <w:r>
        <w:rPr>
          <w:b/>
          <w:sz w:val="20"/>
        </w:rPr>
        <w:t xml:space="preserve">Rationale: </w:t>
      </w:r>
      <w:r>
        <w:rPr>
          <w:sz w:val="20"/>
        </w:rPr>
        <w:t>Mixing distribution families across arms generates time-varying implicit HRs which contradict the submission's stated PH conclusion; this needs explicit reconciliation under TSD 14 §3.4 and TSD 21.</w:t>
      </w:r>
    </w:p>
    <w:p>
      <w:r>
        <w:rPr>
          <w:b/>
          <w:sz w:val="22"/>
        </w:rPr>
        <w:t>STAT-Merck-6 — PSA instability of the generalised gamma sunitinib OS fit</w:t>
      </w:r>
    </w:p>
    <w:p>
      <w:r>
        <w:rPr>
          <w:b/>
          <w:sz w:val="20"/>
        </w:rPr>
        <w:t xml:space="preserve">Recipient: </w:t>
      </w:r>
      <w:r>
        <w:rPr>
          <w:sz w:val="20"/>
        </w:rPr>
        <w:t>Merck</w:t>
      </w:r>
    </w:p>
    <w:p>
      <w:r>
        <w:rPr>
          <w:b/>
          <w:sz w:val="20"/>
        </w:rPr>
        <w:t xml:space="preserve">Topic: </w:t>
      </w:r>
      <w:r>
        <w:rPr>
          <w:sz w:val="20"/>
        </w:rPr>
        <w:t>Convergence and PSA stability</w:t>
      </w:r>
    </w:p>
    <w:p>
      <w:r>
        <w:rPr>
          <w:b/>
          <w:sz w:val="20"/>
        </w:rPr>
        <w:t xml:space="preserve">Question: </w:t>
      </w:r>
      <w:r>
        <w:rPr>
          <w:sz w:val="20"/>
        </w:rPr>
        <w:t>Section B.3.9.1 reports that "some probabilistic draws of the generalised gamma model for the sunitinib arm (used to model OS) result in unrealistic extrapolations, and therefore the mean LYG is higher than what is seen for the deterministic analysis". State: (a) how many of the 5,000 PSA draws produced extrapolations classified as unrealistic; (b) the criterion used to define "unrealistic"; (c) whether any draws were excluded or constrained; (d) the maximum likelihood point estimate, Hessian, and condition number; (e) the parameter correlation matrix and Cholesky decomposition used; (f) provide alternative PSA results truncating mean survival to general-population life expectancy and using a more stable distribution (e.g. Weibull, which had the best AIC/BIC).</w:t>
      </w:r>
    </w:p>
    <w:p>
      <w:r>
        <w:rPr>
          <w:b/>
          <w:sz w:val="20"/>
        </w:rPr>
        <w:t xml:space="preserve">Rationale: </w:t>
      </w:r>
      <w:r>
        <w:rPr>
          <w:sz w:val="20"/>
        </w:rPr>
        <w:t>Implausible PSA draws inflate the comparator's modelled survival and reduce the ICER, advantaging the intervention. TSD 14 §7 and the NICE reference case require PSA to be a valid characterisation of joint parameter uncertainty.</w:t>
      </w:r>
    </w:p>
    <w:p>
      <w:r>
        <w:rPr>
          <w:b/>
          <w:sz w:val="22"/>
        </w:rPr>
        <w:t>STAT-Merck-7 — Curve-crossing in OS favourable-risk</w:t>
      </w:r>
    </w:p>
    <w:p>
      <w:r>
        <w:rPr>
          <w:b/>
          <w:sz w:val="20"/>
        </w:rPr>
        <w:t xml:space="preserve">Recipient: </w:t>
      </w:r>
      <w:r>
        <w:rPr>
          <w:sz w:val="20"/>
        </w:rPr>
        <w:t>Merck</w:t>
      </w:r>
    </w:p>
    <w:p>
      <w:r>
        <w:rPr>
          <w:b/>
          <w:sz w:val="20"/>
        </w:rPr>
        <w:t xml:space="preserve">Topic: </w:t>
      </w:r>
      <w:r>
        <w:rPr>
          <w:sz w:val="20"/>
        </w:rPr>
        <w:t>Plausibility of long-term extrapolations</w:t>
      </w:r>
    </w:p>
    <w:p>
      <w:r>
        <w:rPr>
          <w:b/>
          <w:sz w:val="20"/>
        </w:rPr>
        <w:t xml:space="preserve">Question: </w:t>
      </w:r>
      <w:r>
        <w:rPr>
          <w:sz w:val="20"/>
        </w:rPr>
        <w:t>The KM curves for OS in the favourable-risk subgroup only separate from ~30 months (Section B.2.6.1.1; Figure 6). Show: (a) the modelled cumulative hazard ratio of avelumab + axitinib vs sunitinib over 0–40 years under the base-case (log-normal/generalised gamma) pairing; (b) whether the modelled HR ever reverses (HR&gt;1) during the lifetime horizon; (c) the impact on the ICER of imposing HR≥1 at all times after year T, where T is the end of trial follow-up.</w:t>
      </w:r>
    </w:p>
    <w:p>
      <w:r>
        <w:rPr>
          <w:b/>
          <w:sz w:val="20"/>
        </w:rPr>
        <w:t xml:space="preserve">Rationale: </w:t>
      </w:r>
      <w:r>
        <w:rPr>
          <w:sz w:val="20"/>
        </w:rPr>
        <w:t>Independent extrapolation can imply implausible long-term effects (TSD 14 §3.4; TSD 21).</w:t>
      </w:r>
    </w:p>
    <w:p>
      <w:r>
        <w:rPr>
          <w:b/>
          <w:sz w:val="22"/>
        </w:rPr>
        <w:t>STAT-Merck-8 — External validation against UK real-world data</w:t>
      </w:r>
    </w:p>
    <w:p>
      <w:r>
        <w:rPr>
          <w:b/>
          <w:sz w:val="20"/>
        </w:rPr>
        <w:t xml:space="preserve">Recipient: </w:t>
      </w:r>
      <w:r>
        <w:rPr>
          <w:sz w:val="20"/>
        </w:rPr>
        <w:t>Merck</w:t>
      </w:r>
    </w:p>
    <w:p>
      <w:r>
        <w:rPr>
          <w:b/>
          <w:sz w:val="20"/>
        </w:rPr>
        <w:t xml:space="preserve">Topic: </w:t>
      </w:r>
      <w:r>
        <w:rPr>
          <w:sz w:val="20"/>
        </w:rPr>
        <w:t>Validation against SACT and EAMS cohorts</w:t>
      </w:r>
    </w:p>
    <w:p>
      <w:r>
        <w:rPr>
          <w:b/>
          <w:sz w:val="20"/>
        </w:rPr>
        <w:t xml:space="preserve">Question: </w:t>
      </w:r>
      <w:r>
        <w:rPr>
          <w:sz w:val="20"/>
        </w:rPr>
        <w:t>For each base-case OS and PFS curve, overlay (a) the trial KM, (b) the chosen parametric extrapolation, and (c) the SACT CDF cohort KM and Nathan et al. EAMS KM (with 95% CIs). Provide the absolute discrepancy at 12, 24, 36 and 48 months by IMDC subgroup, and the supporting calibration metric (e.g., observed-vs-expected ratio with 95% CI).</w:t>
      </w:r>
    </w:p>
    <w:p>
      <w:r>
        <w:rPr>
          <w:b/>
          <w:sz w:val="20"/>
        </w:rPr>
        <w:t xml:space="preserve">Rationale: </w:t>
      </w:r>
      <w:r>
        <w:rPr>
          <w:sz w:val="20"/>
        </w:rPr>
        <w:t>Section B.2.8 reports SACT and Nathan et al. real-world OS/PFS but these are not used to validate the modelled curves; TSD 14 §6 and the NICE reference case require external validation where data permit.</w:t>
      </w:r>
    </w:p>
    <w:p>
      <w:pPr>
        <w:pStyle w:val="Heading3"/>
      </w:pPr>
      <w:r>
        <w:rPr>
          <w:color w:val="1F3864"/>
          <w:sz w:val="24"/>
        </w:rPr>
        <w:t>C. NMA methodology</w:t>
      </w:r>
    </w:p>
    <w:p>
      <w:r>
        <w:rPr>
          <w:b/>
          <w:sz w:val="22"/>
        </w:rPr>
        <w:t>STAT-Merck-9 — FE vs RE choice in single-study-per-edge network</w:t>
      </w:r>
    </w:p>
    <w:p>
      <w:r>
        <w:rPr>
          <w:b/>
          <w:sz w:val="20"/>
        </w:rPr>
        <w:t xml:space="preserve">Recipient: </w:t>
      </w:r>
      <w:r>
        <w:rPr>
          <w:sz w:val="20"/>
        </w:rPr>
        <w:t>Merck</w:t>
      </w:r>
    </w:p>
    <w:p>
      <w:r>
        <w:rPr>
          <w:b/>
          <w:sz w:val="20"/>
        </w:rPr>
        <w:t xml:space="preserve">Topic: </w:t>
      </w:r>
      <w:r>
        <w:rPr>
          <w:sz w:val="20"/>
        </w:rPr>
        <w:t>Fixed-effects justification</w:t>
      </w:r>
    </w:p>
    <w:p>
      <w:r>
        <w:rPr>
          <w:b/>
          <w:sz w:val="20"/>
        </w:rPr>
        <w:t xml:space="preserve">Question: </w:t>
      </w:r>
      <w:r>
        <w:rPr>
          <w:sz w:val="20"/>
        </w:rPr>
        <w:t>Both OS and PFS NMAs reported essentially identical DIC for fixed- and random-effects (OS: 9.99 vs 9.99; PFS: 9.99 vs 9.97 — Section B.2.10.5). Explain how a fixed-effects model was preferred on the basis of a 0.02 DIC difference. Provide the posterior summary for τ (between-trial heterogeneity SD) under (i) the non-informative uniform prior used in the submission, (ii) a half-normal(0, 0.5) prior and (iii) a log-normal(−2.56, 1.74) Turner-class informative prior for survival HRs (per TSD 17). Report pD, total residual deviance vs number of data points, and report between-study heterogeneity I².</w:t>
      </w:r>
    </w:p>
    <w:p>
      <w:r>
        <w:rPr>
          <w:b/>
          <w:sz w:val="20"/>
        </w:rPr>
        <w:t xml:space="preserve">Rationale: </w:t>
      </w:r>
      <w:r>
        <w:rPr>
          <w:sz w:val="20"/>
        </w:rPr>
        <w:t>TSD 17 explicitly cautions against fixed-effects models in single-study-per-edge networks and recommends informative priors on τ for sparse networks.</w:t>
      </w:r>
    </w:p>
    <w:p>
      <w:r>
        <w:rPr>
          <w:b/>
          <w:sz w:val="22"/>
        </w:rPr>
        <w:t>STAT-Merck-10 — Constant-HR NMA versus flexible NMA</w:t>
      </w:r>
    </w:p>
    <w:p>
      <w:r>
        <w:rPr>
          <w:b/>
          <w:sz w:val="20"/>
        </w:rPr>
        <w:t xml:space="preserve">Recipient: </w:t>
      </w:r>
      <w:r>
        <w:rPr>
          <w:sz w:val="20"/>
        </w:rPr>
        <w:t>Merck</w:t>
      </w:r>
    </w:p>
    <w:p>
      <w:r>
        <w:rPr>
          <w:b/>
          <w:sz w:val="20"/>
        </w:rPr>
        <w:t xml:space="preserve">Topic: </w:t>
      </w:r>
      <w:r>
        <w:rPr>
          <w:sz w:val="20"/>
        </w:rPr>
        <w:t>Time-varying HR / fractional polynomial NMA</w:t>
      </w:r>
    </w:p>
    <w:p>
      <w:r>
        <w:rPr>
          <w:b/>
          <w:sz w:val="20"/>
        </w:rPr>
        <w:t xml:space="preserve">Question: </w:t>
      </w:r>
      <w:r>
        <w:rPr>
          <w:sz w:val="20"/>
        </w:rPr>
        <w:t>Given the visual non-proportionality apparent in JAVELIN Renal 101, CheckMate 214, CheckMate 9ER and CLEAR, conduct a fractional polynomial NMA per TSD 19 (FP1 and FP2 across the recommended power grid, with FE and RE models) using the published KM data. Present (a) DIC/DIC component comparison vs the PH NMA, (b) plotted HR(t) for each comparator, (c) re-projected long-term mean survival, and (d) the impact on the cost-effectiveness ICERs in the intermediate-/poor-risk subgroup.</w:t>
      </w:r>
    </w:p>
    <w:p>
      <w:r>
        <w:rPr>
          <w:b/>
          <w:sz w:val="20"/>
        </w:rPr>
        <w:t xml:space="preserve">Rationale: </w:t>
      </w:r>
      <w:r>
        <w:rPr>
          <w:sz w:val="20"/>
        </w:rPr>
        <w:t>TSD 19 specifies FP NMA as the appropriate response when PH is violated; the dismissal "deemed unlikely to yield markedly different conclusions" (Section B.2.10.6) is not an empirical demonstration.</w:t>
      </w:r>
    </w:p>
    <w:p>
      <w:r>
        <w:rPr>
          <w:b/>
          <w:sz w:val="22"/>
        </w:rPr>
        <w:t>STAT-Merck-11 — MCMC convergence diagnostics</w:t>
      </w:r>
    </w:p>
    <w:p>
      <w:r>
        <w:rPr>
          <w:b/>
          <w:sz w:val="20"/>
        </w:rPr>
        <w:t xml:space="preserve">Recipient: </w:t>
      </w:r>
      <w:r>
        <w:rPr>
          <w:sz w:val="20"/>
        </w:rPr>
        <w:t>Merck</w:t>
      </w:r>
    </w:p>
    <w:p>
      <w:r>
        <w:rPr>
          <w:b/>
          <w:sz w:val="20"/>
        </w:rPr>
        <w:t xml:space="preserve">Topic: </w:t>
      </w:r>
      <w:r>
        <w:rPr>
          <w:sz w:val="20"/>
        </w:rPr>
        <w:t>Convergence reporting</w:t>
      </w:r>
    </w:p>
    <w:p>
      <w:r>
        <w:rPr>
          <w:b/>
          <w:sz w:val="20"/>
        </w:rPr>
        <w:t xml:space="preserve">Question: </w:t>
      </w:r>
      <w:r>
        <w:rPr>
          <w:sz w:val="20"/>
        </w:rPr>
        <w:t>For every NMA model (FE/RE × OS/PFS × subgroup), provide: number of chains, burn-in, post-burn-in iterations, thinning interval, Brooks–Gelman–Rubin R-hat for each monitored parameter, effective sample size (ESS), trace plots, density plots, autocorrelation plots and the criterion that triggered the "increased burn-in where there was evidence MCMC had not converged" (Section B.2.10.4).</w:t>
      </w:r>
    </w:p>
    <w:p>
      <w:r>
        <w:rPr>
          <w:b/>
          <w:sz w:val="20"/>
        </w:rPr>
        <w:t xml:space="preserve">Rationale: </w:t>
      </w:r>
      <w:r>
        <w:rPr>
          <w:sz w:val="20"/>
        </w:rPr>
        <w:t>TSD 17 requires this minimum diagnostic set; Section B.2.10.4 only states "minimum 50,000" without specifying that this criterion was met for every reported analysis.</w:t>
      </w:r>
    </w:p>
    <w:p>
      <w:r>
        <w:rPr>
          <w:b/>
          <w:sz w:val="22"/>
        </w:rPr>
        <w:t>STAT-Merck-12 — Network heterogeneity and inconsistency</w:t>
      </w:r>
    </w:p>
    <w:p>
      <w:r>
        <w:rPr>
          <w:b/>
          <w:sz w:val="20"/>
        </w:rPr>
        <w:t xml:space="preserve">Recipient: </w:t>
      </w:r>
      <w:r>
        <w:rPr>
          <w:sz w:val="20"/>
        </w:rPr>
        <w:t>Merck</w:t>
      </w:r>
    </w:p>
    <w:p>
      <w:r>
        <w:rPr>
          <w:b/>
          <w:sz w:val="20"/>
        </w:rPr>
        <w:t xml:space="preserve">Topic: </w:t>
      </w:r>
      <w:r>
        <w:rPr>
          <w:sz w:val="20"/>
        </w:rPr>
        <w:t>Within-network heterogeneity in IMDC intermediate-/poor-risk subgroup</w:t>
      </w:r>
    </w:p>
    <w:p>
      <w:r>
        <w:rPr>
          <w:b/>
          <w:sz w:val="20"/>
        </w:rPr>
        <w:t xml:space="preserve">Question: </w:t>
      </w:r>
      <w:r>
        <w:rPr>
          <w:sz w:val="20"/>
        </w:rPr>
        <w:t>Section B.2.10.3 states I² and inconsistency cannot be evaluated because the network has no loops and one trial per edge. Provide a node-splitting / unrelated-mean-effects sensitivity analysis where feasible, and a quantitative assessment of effect modifiers across trials (proportion poor vs intermediate, PD-L1+, prior nephrectomy, time of recruitment, region) — both narratively and with meta-regression where possible. Indicate, by quantitative imbalance metrics, which comparisons are most at risk of bias.</w:t>
      </w:r>
    </w:p>
    <w:p>
      <w:r>
        <w:rPr>
          <w:b/>
          <w:sz w:val="20"/>
        </w:rPr>
        <w:t xml:space="preserve">Rationale: </w:t>
      </w:r>
      <w:r>
        <w:rPr>
          <w:sz w:val="20"/>
        </w:rPr>
        <w:t>TSD 17 §7 and TSD 20 require explicit handling of effect-modifier imbalance in single-edge networks.</w:t>
      </w:r>
    </w:p>
    <w:p>
      <w:r>
        <w:rPr>
          <w:b/>
          <w:sz w:val="22"/>
        </w:rPr>
        <w:t>STAT-Merck-13 — Equivalence assumption for TKI monotherapies</w:t>
      </w:r>
    </w:p>
    <w:p>
      <w:r>
        <w:rPr>
          <w:b/>
          <w:sz w:val="20"/>
        </w:rPr>
        <w:t xml:space="preserve">Recipient: </w:t>
      </w:r>
      <w:r>
        <w:rPr>
          <w:sz w:val="20"/>
        </w:rPr>
        <w:t>Merck</w:t>
      </w:r>
    </w:p>
    <w:p>
      <w:r>
        <w:rPr>
          <w:b/>
          <w:sz w:val="20"/>
        </w:rPr>
        <w:t xml:space="preserve">Topic: </w:t>
      </w:r>
      <w:r>
        <w:rPr>
          <w:sz w:val="20"/>
        </w:rPr>
        <w:t>Pazopanib/tivozanib = sunitinib assumption</w:t>
      </w:r>
    </w:p>
    <w:p>
      <w:r>
        <w:rPr>
          <w:b/>
          <w:sz w:val="20"/>
        </w:rPr>
        <w:t xml:space="preserve">Question: </w:t>
      </w:r>
      <w:r>
        <w:rPr>
          <w:sz w:val="20"/>
        </w:rPr>
        <w:t>The base case sets pazopanib and tivozanib equal to sunitinib for OS, PFS and TTD across favourable- and intermediate-/poor-risk subgroups (Sections B.3.3.2.1, B.3.3.2.2, B.3.3.3). Provide: (a) the formal evidence base — including the Manz 2019 NMA — disaggregated by IMDC risk group, with HRs and 95% CIs; (b) an HR-prior elicitation that allows ≠1; (c) a probabilistic sensitivity analysis where each TKI's relative effect to sunitinib is sampled from an informative prior. Justify why subjecting pazopanib and tivozanib to identical OS curves (including identical PSA draws) is consistent with the joint parameter uncertainty principle.</w:t>
      </w:r>
    </w:p>
    <w:p>
      <w:r>
        <w:rPr>
          <w:b/>
          <w:sz w:val="20"/>
        </w:rPr>
        <w:t xml:space="preserve">Rationale: </w:t>
      </w:r>
      <w:r>
        <w:rPr>
          <w:sz w:val="20"/>
        </w:rPr>
        <w:t>TSD 17, TSD 20. Setting HR≡1 with no uncertainty understates ICER variance.</w:t>
      </w:r>
    </w:p>
    <w:p>
      <w:pPr>
        <w:pStyle w:val="Heading3"/>
      </w:pPr>
      <w:r>
        <w:rPr>
          <w:color w:val="1F3864"/>
          <w:sz w:val="24"/>
        </w:rPr>
        <w:t>D. Treatment switching adjustment</w:t>
      </w:r>
    </w:p>
    <w:p>
      <w:r>
        <w:rPr>
          <w:b/>
          <w:sz w:val="22"/>
        </w:rPr>
        <w:t>STAT-Merck-14 — Post-progression therapy and OS adjustment</w:t>
      </w:r>
    </w:p>
    <w:p>
      <w:r>
        <w:rPr>
          <w:b/>
          <w:sz w:val="20"/>
        </w:rPr>
        <w:t xml:space="preserve">Recipient: </w:t>
      </w:r>
      <w:r>
        <w:rPr>
          <w:sz w:val="20"/>
        </w:rPr>
        <w:t>Merck</w:t>
      </w:r>
    </w:p>
    <w:p>
      <w:r>
        <w:rPr>
          <w:b/>
          <w:sz w:val="20"/>
        </w:rPr>
        <w:t xml:space="preserve">Topic: </w:t>
      </w:r>
      <w:r>
        <w:rPr>
          <w:sz w:val="20"/>
        </w:rPr>
        <w:t>Subsequent therapy distortion of OS estimates</w:t>
      </w:r>
    </w:p>
    <w:p>
      <w:r>
        <w:rPr>
          <w:b/>
          <w:sz w:val="20"/>
        </w:rPr>
        <w:t xml:space="preserve">Question: </w:t>
      </w:r>
      <w:r>
        <w:rPr>
          <w:sz w:val="20"/>
        </w:rPr>
        <w:t>Table 69 shows that 86.23% of sunitinib-arm favourable-risk patients received subsequent nivolumab (or grouped IO equivalents), whereas avelumab + axitinib patients received none in the modelled distribution. Given that JAVELIN Renal 101 did not permit protocolised crossover but did allow subsequent therapy, has the company performed an adjustment to the comparator OS to account for the receipt of post-progression IO that would not be available in NHS practice in the same proportions? Provide:</w:t>
      </w:r>
    </w:p>
    <w:p>
      <w:r>
        <w:rPr>
          <w:sz w:val="20"/>
        </w:rPr>
        <w:t>(a) The full subsequent therapy pattern in JAVELIN Renal 101 by arm, IMDC subgroup and data cut.</w:t>
      </w:r>
    </w:p>
    <w:p>
      <w:r>
        <w:rPr>
          <w:sz w:val="20"/>
        </w:rPr>
        <w:t>(b) RPSFTM, two-stage estimation (TSE) and IPCW adjusted OS HRs for the favourable-risk and intermediate-/poor-risk subgroups, with bootstrap CIs (≥1,000 replicates).</w:t>
      </w:r>
    </w:p>
    <w:p>
      <w:r>
        <w:rPr>
          <w:sz w:val="20"/>
        </w:rPr>
        <w:t>(c) The covariates included in the IPCW switching model and the stabilised weight distribution (mean, SD, range, % &gt;5, % &lt;0.2).</w:t>
      </w:r>
    </w:p>
    <w:p>
      <w:r>
        <w:rPr>
          <w:sz w:val="20"/>
        </w:rPr>
        <w:t>(d) Justification for the choice between "with re-censoring" vs "without re-censoring" for TSE (TSD 16 recommends with re-censoring as the base case).</w:t>
      </w:r>
    </w:p>
    <w:p>
      <w:r>
        <w:rPr>
          <w:b/>
          <w:sz w:val="20"/>
        </w:rPr>
        <w:t xml:space="preserve">Rationale: </w:t>
      </w:r>
      <w:r>
        <w:rPr>
          <w:sz w:val="20"/>
        </w:rPr>
        <w:t>TSD 16. Without adjustment, comparator OS includes treatment effect from non-NHS-routine downstream IO, which biases the ICER in favour of avelumab + axitinib.</w:t>
      </w:r>
    </w:p>
    <w:p>
      <w:r>
        <w:rPr>
          <w:b/>
          <w:sz w:val="22"/>
        </w:rPr>
        <w:t>STAT-Merck-15 — Bootstrap CIs around adjusted HRs</w:t>
      </w:r>
    </w:p>
    <w:p>
      <w:r>
        <w:rPr>
          <w:b/>
          <w:sz w:val="20"/>
        </w:rPr>
        <w:t xml:space="preserve">Recipient: </w:t>
      </w:r>
      <w:r>
        <w:rPr>
          <w:sz w:val="20"/>
        </w:rPr>
        <w:t>Merck</w:t>
      </w:r>
    </w:p>
    <w:p>
      <w:r>
        <w:rPr>
          <w:b/>
          <w:sz w:val="20"/>
        </w:rPr>
        <w:t xml:space="preserve">Topic: </w:t>
      </w:r>
      <w:r>
        <w:rPr>
          <w:sz w:val="20"/>
        </w:rPr>
        <w:t>Uncertainty propagation for switching adjustments</w:t>
      </w:r>
    </w:p>
    <w:p>
      <w:r>
        <w:rPr>
          <w:b/>
          <w:sz w:val="20"/>
        </w:rPr>
        <w:t xml:space="preserve">Question: </w:t>
      </w:r>
      <w:r>
        <w:rPr>
          <w:sz w:val="20"/>
        </w:rPr>
        <w:t>For any TSE, RPSFTM or IPCW analysis produced in response to STAT-Merck-14, confirm that CIs are derived via a full-pipeline non-parametric bootstrap (resampling at the patient level, re-fitting both the switching/PS model and the outcome model). Report the number of replicates, percentile vs BCa method, and the bootstrap distribution of the adjusted HR.</w:t>
      </w:r>
    </w:p>
    <w:p>
      <w:r>
        <w:rPr>
          <w:b/>
          <w:sz w:val="20"/>
        </w:rPr>
        <w:t xml:space="preserve">Rationale: </w:t>
      </w:r>
      <w:r>
        <w:rPr>
          <w:sz w:val="20"/>
        </w:rPr>
        <w:t>TSD 16 §6.</w:t>
      </w:r>
    </w:p>
    <w:p>
      <w:pPr>
        <w:pStyle w:val="Heading3"/>
      </w:pPr>
      <w:r>
        <w:rPr>
          <w:color w:val="1F3864"/>
          <w:sz w:val="24"/>
        </w:rPr>
        <w:t>E. Censoring rules and PFS estimation</w:t>
      </w:r>
    </w:p>
    <w:p>
      <w:r>
        <w:rPr>
          <w:b/>
          <w:sz w:val="22"/>
        </w:rPr>
        <w:t>STAT-Merck-16 — FDA vs EMA censoring rules and BICR vs investigator</w:t>
      </w:r>
    </w:p>
    <w:p>
      <w:r>
        <w:rPr>
          <w:b/>
          <w:sz w:val="20"/>
        </w:rPr>
        <w:t xml:space="preserve">Recipient: </w:t>
      </w:r>
      <w:r>
        <w:rPr>
          <w:sz w:val="20"/>
        </w:rPr>
        <w:t>Merck</w:t>
      </w:r>
    </w:p>
    <w:p>
      <w:r>
        <w:rPr>
          <w:b/>
          <w:sz w:val="20"/>
        </w:rPr>
        <w:t xml:space="preserve">Topic: </w:t>
      </w:r>
      <w:r>
        <w:rPr>
          <w:sz w:val="20"/>
        </w:rPr>
        <w:t>PFS censoring rule sensitivity</w:t>
      </w:r>
    </w:p>
    <w:p>
      <w:r>
        <w:rPr>
          <w:b/>
          <w:sz w:val="20"/>
        </w:rPr>
        <w:t xml:space="preserve">Question: </w:t>
      </w:r>
      <w:r>
        <w:rPr>
          <w:sz w:val="20"/>
        </w:rPr>
        <w:t>Provide side-by-side PFS analyses (median, HR, 95% CI, 12/24/36-month event-free rates) for the favourable-risk and intermediate-/poor-risk subgroups under: (a) FDA censoring rules; (b) EMA censoring rules; (c) BICR assessment at IA1/IA2; (d) investigator assessment at FA. Quantify BICR-investigator concordance (kappa or weighted kappa, % discordance for progression events). Justify the decision to rely on investigator-assessed PFS at the FA in the base case given that "BICR activities subsequently ended" (Section B.2.4.2).</w:t>
      </w:r>
    </w:p>
    <w:p>
      <w:r>
        <w:rPr>
          <w:b/>
          <w:sz w:val="20"/>
        </w:rPr>
        <w:t xml:space="preserve">Rationale: </w:t>
      </w:r>
      <w:r>
        <w:rPr>
          <w:sz w:val="20"/>
        </w:rPr>
        <w:t>Open-label trial. TSD 14 §2.2; the JAVELIN sponsor's reliance on investigator-assessed PFS post-IA2 introduces risk of informative censoring and assessment bias.</w:t>
      </w:r>
    </w:p>
    <w:p>
      <w:pPr>
        <w:pStyle w:val="Heading3"/>
      </w:pPr>
      <w:r>
        <w:rPr>
          <w:color w:val="1F3864"/>
          <w:sz w:val="24"/>
        </w:rPr>
        <w:t>F. Stratification and inference</w:t>
      </w:r>
    </w:p>
    <w:p>
      <w:r>
        <w:rPr>
          <w:b/>
          <w:sz w:val="22"/>
        </w:rPr>
        <w:t>STAT-Merck-17 — Stratified vs unstratified HR divergence in favourable-risk</w:t>
      </w:r>
    </w:p>
    <w:p>
      <w:r>
        <w:rPr>
          <w:b/>
          <w:sz w:val="20"/>
        </w:rPr>
        <w:t xml:space="preserve">Recipient: </w:t>
      </w:r>
      <w:r>
        <w:rPr>
          <w:sz w:val="20"/>
        </w:rPr>
        <w:t>Merck</w:t>
      </w:r>
    </w:p>
    <w:p>
      <w:r>
        <w:rPr>
          <w:b/>
          <w:sz w:val="20"/>
        </w:rPr>
        <w:t xml:space="preserve">Topic: </w:t>
      </w:r>
      <w:r>
        <w:rPr>
          <w:sz w:val="20"/>
        </w:rPr>
        <w:t>Stratification factor handling</w:t>
      </w:r>
    </w:p>
    <w:p>
      <w:r>
        <w:rPr>
          <w:b/>
          <w:sz w:val="20"/>
        </w:rPr>
        <w:t xml:space="preserve">Question: </w:t>
      </w:r>
      <w:r>
        <w:rPr>
          <w:sz w:val="20"/>
        </w:rPr>
        <w:t>In the favourable-risk OS analysis the stratified HR is 0.73 (95% CI 0.48, 1.10; p=0.1290) and the unstratified HR is 0.78 (95% CI 0.52, 1.17; p=0.2281) — Table 14. State (a) the stratification variables and the number of strata in each subgroup analysis; (b) cell counts per stratum (is any stratum sparse?); (c) which CI was used in the economic model; (d) sensitivity analyses using profile likelihood and bootstrap CIs for the HR.</w:t>
      </w:r>
    </w:p>
    <w:p>
      <w:r>
        <w:rPr>
          <w:b/>
          <w:sz w:val="20"/>
        </w:rPr>
        <w:t xml:space="preserve">Rationale: </w:t>
      </w:r>
      <w:r>
        <w:rPr>
          <w:sz w:val="20"/>
        </w:rPr>
        <w:t>Stratified HRs in subgroup analyses with small cells (n=94 vs n=96) can be unstable. TSD 14 §3.</w:t>
      </w:r>
    </w:p>
    <w:p>
      <w:r>
        <w:rPr>
          <w:b/>
          <w:sz w:val="22"/>
        </w:rPr>
        <w:t>STAT-Merck-18 — Repeated CI methodology and alpha spending</w:t>
      </w:r>
    </w:p>
    <w:p>
      <w:r>
        <w:rPr>
          <w:b/>
          <w:sz w:val="20"/>
        </w:rPr>
        <w:t xml:space="preserve">Recipient: </w:t>
      </w:r>
      <w:r>
        <w:rPr>
          <w:sz w:val="20"/>
        </w:rPr>
        <w:t>Merck</w:t>
      </w:r>
    </w:p>
    <w:p>
      <w:r>
        <w:rPr>
          <w:b/>
          <w:sz w:val="20"/>
        </w:rPr>
        <w:t xml:space="preserve">Topic: </w:t>
      </w:r>
      <w:r>
        <w:rPr>
          <w:sz w:val="20"/>
        </w:rPr>
        <w:t>Multiplicity across data cuts and endpoints</w:t>
      </w:r>
    </w:p>
    <w:p>
      <w:r>
        <w:rPr>
          <w:b/>
          <w:sz w:val="20"/>
        </w:rPr>
        <w:t xml:space="preserve">Question: </w:t>
      </w:r>
      <w:r>
        <w:rPr>
          <w:sz w:val="20"/>
        </w:rPr>
        <w:t>Provide the complete alpha-spending schedule across IA1, IA2, IA3 and FA for OS and PFS, in both PD-L1+ and PD-L1-unselected populations (Section B.2.4.2). State the repeated CI (RCI) construction used at the FA and how this propagates into point and interval estimates used in the cost-effectiveness model.</w:t>
      </w:r>
    </w:p>
    <w:p>
      <w:r>
        <w:rPr>
          <w:b/>
          <w:sz w:val="20"/>
        </w:rPr>
        <w:t xml:space="preserve">Rationale: </w:t>
      </w:r>
      <w:r>
        <w:rPr>
          <w:sz w:val="20"/>
        </w:rPr>
        <w:t>The stated four-look Lan–DeMets O'Brien-Fleming design needs explicit reporting per TSD 14 §3.6.</w:t>
      </w:r>
    </w:p>
    <w:p>
      <w:pPr>
        <w:pStyle w:val="Heading3"/>
      </w:pPr>
      <w:r>
        <w:rPr>
          <w:color w:val="1F3864"/>
          <w:sz w:val="24"/>
        </w:rPr>
        <w:t>G. Subgroups</w:t>
      </w:r>
    </w:p>
    <w:p>
      <w:r>
        <w:rPr>
          <w:b/>
          <w:sz w:val="22"/>
        </w:rPr>
        <w:t>STAT-Merck-19 — Multiplicity adjustment and interaction tests</w:t>
      </w:r>
    </w:p>
    <w:p>
      <w:r>
        <w:rPr>
          <w:b/>
          <w:sz w:val="20"/>
        </w:rPr>
        <w:t xml:space="preserve">Recipient: </w:t>
      </w:r>
      <w:r>
        <w:rPr>
          <w:sz w:val="20"/>
        </w:rPr>
        <w:t>Merck</w:t>
      </w:r>
    </w:p>
    <w:p>
      <w:r>
        <w:rPr>
          <w:b/>
          <w:sz w:val="20"/>
        </w:rPr>
        <w:t xml:space="preserve">Topic: </w:t>
      </w:r>
      <w:r>
        <w:rPr>
          <w:sz w:val="20"/>
        </w:rPr>
        <w:t>Subgroup inference rigour</w:t>
      </w:r>
    </w:p>
    <w:p>
      <w:r>
        <w:rPr>
          <w:b/>
          <w:sz w:val="20"/>
        </w:rPr>
        <w:t xml:space="preserve">Question: </w:t>
      </w:r>
      <w:r>
        <w:rPr>
          <w:sz w:val="20"/>
        </w:rPr>
        <w:t>The submission states subgroup analyses by IMDC risk were "exploratory with no adjustment for multiplicity" and that intermediate and poor subgroups were "pooled in a post hoc analysis" (Section B.2.5, Table 12). Provide: (a) the treatment-by-IMDC subgroup interaction p-values for OS and PFS; (b) the number of pre-specified vs post-hoc subgroup analyses; (c) the power calculation for OS within the favourable-risk subgroup at the FA event count; (d) Bonferroni- or hierarchical-adjusted p-values for the key subgroup-level claims.</w:t>
      </w:r>
    </w:p>
    <w:p>
      <w:r>
        <w:rPr>
          <w:b/>
          <w:sz w:val="20"/>
        </w:rPr>
        <w:t xml:space="preserve">Rationale: </w:t>
      </w:r>
      <w:r>
        <w:rPr>
          <w:sz w:val="20"/>
        </w:rPr>
        <w:t>The base-case ICER for the appraisal rests entirely on a subgroup (favourable-risk) that was not pre-specified for confirmatory testing. TSD 14, NICE methods guide §3.5.</w:t>
      </w:r>
    </w:p>
    <w:p>
      <w:r>
        <w:rPr>
          <w:b/>
          <w:sz w:val="22"/>
        </w:rPr>
        <w:t>STAT-Merck-20 — Subgroups where the IO arm performs worse</w:t>
      </w:r>
    </w:p>
    <w:p>
      <w:r>
        <w:rPr>
          <w:b/>
          <w:sz w:val="20"/>
        </w:rPr>
        <w:t xml:space="preserve">Recipient: </w:t>
      </w:r>
      <w:r>
        <w:rPr>
          <w:sz w:val="20"/>
        </w:rPr>
        <w:t>Merck</w:t>
      </w:r>
    </w:p>
    <w:p>
      <w:r>
        <w:rPr>
          <w:b/>
          <w:sz w:val="20"/>
        </w:rPr>
        <w:t xml:space="preserve">Topic: </w:t>
      </w:r>
      <w:r>
        <w:rPr>
          <w:sz w:val="20"/>
        </w:rPr>
        <w:t>Adverse subgroup signals</w:t>
      </w:r>
    </w:p>
    <w:p>
      <w:r>
        <w:rPr>
          <w:b/>
          <w:sz w:val="20"/>
        </w:rPr>
        <w:t xml:space="preserve">Question: </w:t>
      </w:r>
      <w:r>
        <w:rPr>
          <w:sz w:val="20"/>
        </w:rPr>
        <w:t>Provide a forest plot of OS and PFS HRs for **every** pre-specified subgroup in JAVELIN Renal 101 (age, sex, region, ECOG PS, IMDC risk, MSKCC risk, PD-L1 status, prior nephrectomy, number of organ sites, baseline LDH, sarcomatoid features) for the FA data cut. Identify any subgroup where the HR for avelumab + axitinib exceeds 1 (favouring sunitinib) or where the lower 95% CI is below the null in a direction unfavourable to the intervention, and address potential effect heterogeneity.</w:t>
      </w:r>
    </w:p>
    <w:p>
      <w:r>
        <w:rPr>
          <w:b/>
          <w:sz w:val="20"/>
        </w:rPr>
        <w:t xml:space="preserve">Rationale: </w:t>
      </w:r>
      <w:r>
        <w:rPr>
          <w:sz w:val="20"/>
        </w:rPr>
        <w:t>TSD 14, TSD 20. Identifying decision-relevant heterogeneity for adverse subgroups (e.g. PD-L1– intermediate risk) supports a more complete view of efficacy.</w:t>
      </w:r>
    </w:p>
    <w:p>
      <w:r>
        <w:rPr>
          <w:b/>
          <w:sz w:val="22"/>
        </w:rPr>
        <w:t>STAT-Merck-21 — PD-L1 subgroup discordance</w:t>
      </w:r>
    </w:p>
    <w:p>
      <w:r>
        <w:rPr>
          <w:b/>
          <w:sz w:val="20"/>
        </w:rPr>
        <w:t xml:space="preserve">Recipient: </w:t>
      </w:r>
      <w:r>
        <w:rPr>
          <w:sz w:val="20"/>
        </w:rPr>
        <w:t>Merck</w:t>
      </w:r>
    </w:p>
    <w:p>
      <w:r>
        <w:rPr>
          <w:b/>
          <w:sz w:val="20"/>
        </w:rPr>
        <w:t xml:space="preserve">Topic: </w:t>
      </w:r>
      <w:r>
        <w:rPr>
          <w:sz w:val="20"/>
        </w:rPr>
        <w:t>PD-L1 results</w:t>
      </w:r>
    </w:p>
    <w:p>
      <w:r>
        <w:rPr>
          <w:b/>
          <w:sz w:val="20"/>
        </w:rPr>
        <w:t xml:space="preserve">Question: </w:t>
      </w:r>
      <w:r>
        <w:rPr>
          <w:sz w:val="20"/>
        </w:rPr>
        <w:t>Table 20 reports almost all PD-L1+ effect estimates as redacted "XXX". Provide the unredacted PD-L1+ OS and PFS HRs and 95% CIs in favourable-risk and intermediate-/poor-risk, along with the PD-L1– counterpart estimates, and an interaction p-value for treatment × PD-L1 status. Justify the omission of PD-L1 from cost-effectiveness modelling against the regulator's primary endpoint definition (PD-L1+).</w:t>
      </w:r>
    </w:p>
    <w:p>
      <w:r>
        <w:rPr>
          <w:b/>
          <w:sz w:val="20"/>
        </w:rPr>
        <w:t xml:space="preserve">Rationale: </w:t>
      </w:r>
      <w:r>
        <w:rPr>
          <w:sz w:val="20"/>
        </w:rPr>
        <w:t>The original regulatory primary endpoint was defined in PD-L1+; ignoring it without justification weakens construct validity (TSD 14 §3.5).</w:t>
      </w:r>
    </w:p>
    <w:p>
      <w:pPr>
        <w:pStyle w:val="Heading3"/>
      </w:pPr>
      <w:r>
        <w:rPr>
          <w:color w:val="1F3864"/>
          <w:sz w:val="24"/>
        </w:rPr>
        <w:t>H. PSA implementation</w:t>
      </w:r>
    </w:p>
    <w:p>
      <w:r>
        <w:rPr>
          <w:b/>
          <w:sz w:val="22"/>
        </w:rPr>
        <w:t>STAT-Merck-22 — Correlated sampling of survival parameters</w:t>
      </w:r>
    </w:p>
    <w:p>
      <w:r>
        <w:rPr>
          <w:b/>
          <w:sz w:val="20"/>
        </w:rPr>
        <w:t xml:space="preserve">Recipient: </w:t>
      </w:r>
      <w:r>
        <w:rPr>
          <w:sz w:val="20"/>
        </w:rPr>
        <w:t>Merck</w:t>
      </w:r>
    </w:p>
    <w:p>
      <w:r>
        <w:rPr>
          <w:b/>
          <w:sz w:val="20"/>
        </w:rPr>
        <w:t xml:space="preserve">Topic: </w:t>
      </w:r>
      <w:r>
        <w:rPr>
          <w:sz w:val="20"/>
        </w:rPr>
        <w:t>Cholesky decomposition / joint sampling</w:t>
      </w:r>
    </w:p>
    <w:p>
      <w:r>
        <w:rPr>
          <w:b/>
          <w:sz w:val="20"/>
        </w:rPr>
        <w:t xml:space="preserve">Question: </w:t>
      </w:r>
      <w:r>
        <w:rPr>
          <w:sz w:val="20"/>
        </w:rPr>
        <w:t>Confirm that PSMs for OS, PFS and TTD are PSA-sampled using a Cholesky decomposition of the variance–covariance matrix from the underlying ML fits (not independent univariate draws on each shape/scale parameter). Provide the variance–covariance matrices for each PSM. State how generalised gamma's three correlated parameters (Q, sigma, mu) are sampled jointly. Demonstrate this with a paired scatter plot of sampled parameters.</w:t>
      </w:r>
    </w:p>
    <w:p>
      <w:r>
        <w:rPr>
          <w:b/>
          <w:sz w:val="20"/>
        </w:rPr>
        <w:t xml:space="preserve">Rationale: </w:t>
      </w:r>
      <w:r>
        <w:rPr>
          <w:sz w:val="20"/>
        </w:rPr>
        <w:t>Independent draws on correlated survival parameters produce nonsense fits — directly relevant to the "unrealistic extrapolations" reported in B.3.9.1.</w:t>
      </w:r>
    </w:p>
    <w:p>
      <w:r>
        <w:rPr>
          <w:b/>
          <w:sz w:val="22"/>
        </w:rPr>
        <w:t>STAT-Merck-23 — Propagation of NMA uncertainty into PSA</w:t>
      </w:r>
    </w:p>
    <w:p>
      <w:r>
        <w:rPr>
          <w:b/>
          <w:sz w:val="20"/>
        </w:rPr>
        <w:t xml:space="preserve">Recipient: </w:t>
      </w:r>
      <w:r>
        <w:rPr>
          <w:sz w:val="20"/>
        </w:rPr>
        <w:t>Merck</w:t>
      </w:r>
    </w:p>
    <w:p>
      <w:r>
        <w:rPr>
          <w:b/>
          <w:sz w:val="20"/>
        </w:rPr>
        <w:t xml:space="preserve">Topic: </w:t>
      </w:r>
      <w:r>
        <w:rPr>
          <w:sz w:val="20"/>
        </w:rPr>
        <w:t>Joint MCMC-to-PSA pipeline</w:t>
      </w:r>
    </w:p>
    <w:p>
      <w:r>
        <w:rPr>
          <w:b/>
          <w:sz w:val="20"/>
        </w:rPr>
        <w:t xml:space="preserve">Question: </w:t>
      </w:r>
      <w:r>
        <w:rPr>
          <w:sz w:val="20"/>
        </w:rPr>
        <w:t>For the intermediate-/poor-risk cost-effectiveness analysis, describe how the MCMC posterior of each pairwise HR from the NMA enters the PSA — i.e. whether the full posterior chain is sampled in each PSA iteration (preserving correlation across treatments) or whether univariate log-normal draws are used. Provide a covariance check between the sampled pairwise HRs.</w:t>
      </w:r>
    </w:p>
    <w:p>
      <w:r>
        <w:rPr>
          <w:b/>
          <w:sz w:val="20"/>
        </w:rPr>
        <w:t xml:space="preserve">Rationale: </w:t>
      </w:r>
      <w:r>
        <w:rPr>
          <w:sz w:val="20"/>
        </w:rPr>
        <w:t>TSD 17, TSD 20. Independent univariate draws break the multivariate posterior structure and bias decision uncertainty estimates.</w:t>
      </w:r>
    </w:p>
    <w:p>
      <w:r>
        <w:rPr>
          <w:b/>
          <w:sz w:val="22"/>
        </w:rPr>
        <w:t>STAT-Merck-24 — PSA stopping criterion</w:t>
      </w:r>
    </w:p>
    <w:p>
      <w:r>
        <w:rPr>
          <w:b/>
          <w:sz w:val="20"/>
        </w:rPr>
        <w:t xml:space="preserve">Recipient: </w:t>
      </w:r>
      <w:r>
        <w:rPr>
          <w:sz w:val="20"/>
        </w:rPr>
        <w:t>Merck</w:t>
      </w:r>
    </w:p>
    <w:p>
      <w:r>
        <w:rPr>
          <w:b/>
          <w:sz w:val="20"/>
        </w:rPr>
        <w:t xml:space="preserve">Topic: </w:t>
      </w:r>
      <w:r>
        <w:rPr>
          <w:sz w:val="20"/>
        </w:rPr>
        <w:t>PSA iteration adequacy</w:t>
      </w:r>
    </w:p>
    <w:p>
      <w:r>
        <w:rPr>
          <w:b/>
          <w:sz w:val="20"/>
        </w:rPr>
        <w:t xml:space="preserve">Question: </w:t>
      </w:r>
      <w:r>
        <w:rPr>
          <w:sz w:val="20"/>
        </w:rPr>
        <w:t>5,000 PSA iterations are reported. Demonstrate convergence by plotting the running mean of incremental costs, incremental QALYs and ICER vs iteration number for each pairwise comparison, and the running half-width of the 95% interval around the INMB.</w:t>
      </w:r>
    </w:p>
    <w:p>
      <w:r>
        <w:rPr>
          <w:b/>
          <w:sz w:val="20"/>
        </w:rPr>
        <w:t xml:space="preserve">Rationale: </w:t>
      </w:r>
      <w:r>
        <w:rPr>
          <w:sz w:val="20"/>
        </w:rPr>
        <w:t>Stability "by visual inspection" (B.3.9.1) is not formally established.</w:t>
      </w:r>
    </w:p>
    <w:p>
      <w:pPr>
        <w:pStyle w:val="Heading3"/>
      </w:pPr>
      <w:r>
        <w:rPr>
          <w:color w:val="1F3864"/>
          <w:sz w:val="24"/>
        </w:rPr>
        <w:t>I. Sample size and design</w:t>
      </w:r>
    </w:p>
    <w:p>
      <w:r>
        <w:rPr>
          <w:b/>
          <w:sz w:val="22"/>
        </w:rPr>
        <w:t>STAT-Merck-25 — Power of OS as a secondary endpoint within the favourable-risk subgroup</w:t>
      </w:r>
    </w:p>
    <w:p>
      <w:r>
        <w:rPr>
          <w:b/>
          <w:sz w:val="20"/>
        </w:rPr>
        <w:t xml:space="preserve">Recipient: </w:t>
      </w:r>
      <w:r>
        <w:rPr>
          <w:sz w:val="20"/>
        </w:rPr>
        <w:t>Merck</w:t>
      </w:r>
    </w:p>
    <w:p>
      <w:r>
        <w:rPr>
          <w:b/>
          <w:sz w:val="20"/>
        </w:rPr>
        <w:t xml:space="preserve">Topic: </w:t>
      </w:r>
      <w:r>
        <w:rPr>
          <w:sz w:val="20"/>
        </w:rPr>
        <w:t>Statistical power for the decision-relevant comparison</w:t>
      </w:r>
    </w:p>
    <w:p>
      <w:r>
        <w:rPr>
          <w:b/>
          <w:sz w:val="20"/>
        </w:rPr>
        <w:t xml:space="preserve">Question: </w:t>
      </w:r>
      <w:r>
        <w:rPr>
          <w:sz w:val="20"/>
        </w:rPr>
        <w:t>Provide the achieved power calculation for the favourable-risk OS comparison at the FA, given n=94 vs n=96 patients and 96 observed deaths. Provide the minimum detectable HR at 80% and 90% power. State the company's interpretation of the non-significant stratified OS HR of 0.73 (p=0.1290) in light of this power.</w:t>
      </w:r>
    </w:p>
    <w:p>
      <w:r>
        <w:rPr>
          <w:b/>
          <w:sz w:val="20"/>
        </w:rPr>
        <w:t xml:space="preserve">Rationale: </w:t>
      </w:r>
      <w:r>
        <w:rPr>
          <w:sz w:val="20"/>
        </w:rPr>
        <w:t>The favourable-risk subgroup drives the base-case ICER. A clinical-effectiveness conclusion that is not formally significant must be transparently reconciled with the modelled OS gain (3.7 LYG, 1.53 QALY).</w:t>
      </w:r>
    </w:p>
    <w:p>
      <w:pPr>
        <w:pStyle w:val="Heading3"/>
      </w:pPr>
      <w:r>
        <w:rPr>
          <w:color w:val="1F3864"/>
          <w:sz w:val="24"/>
        </w:rPr>
        <w:t>K. Covariate selection (utility regression)</w:t>
      </w:r>
    </w:p>
    <w:p>
      <w:r>
        <w:rPr>
          <w:b/>
          <w:sz w:val="22"/>
        </w:rPr>
        <w:t>STAT-Merck-26 — Utility regression model selection</w:t>
      </w:r>
    </w:p>
    <w:p>
      <w:r>
        <w:rPr>
          <w:b/>
          <w:sz w:val="20"/>
        </w:rPr>
        <w:t xml:space="preserve">Recipient: </w:t>
      </w:r>
      <w:r>
        <w:rPr>
          <w:sz w:val="20"/>
        </w:rPr>
        <w:t>Merck</w:t>
      </w:r>
    </w:p>
    <w:p>
      <w:r>
        <w:rPr>
          <w:b/>
          <w:sz w:val="20"/>
        </w:rPr>
        <w:t xml:space="preserve">Topic: </w:t>
      </w:r>
      <w:r>
        <w:rPr>
          <w:sz w:val="20"/>
        </w:rPr>
        <w:t>Stepwise/pre-specification</w:t>
      </w:r>
    </w:p>
    <w:p>
      <w:r>
        <w:rPr>
          <w:b/>
          <w:sz w:val="20"/>
        </w:rPr>
        <w:t xml:space="preserve">Question: </w:t>
      </w:r>
      <w:r>
        <w:rPr>
          <w:sz w:val="20"/>
        </w:rPr>
        <w:t>For the EQ-5D-5L→EQ-5D-3L mapped utility regression (Table 57), state: (a) whether the covariate set (progression status, treatment status) was pre-specified or selected by AIC/BIC/backward elimination; (b) what other covariates were tested (age, sex, IMDC risk, AE status, baseline utility); (c) residual diagnostics and intracluster correlation from the linear mixed model; (d) sensitivity to using a Hernández-Alava response-mapping (not value-set mapping) which is the current DSU-recommended approach for EQ-5D-5L→3L.</w:t>
      </w:r>
    </w:p>
    <w:p>
      <w:r>
        <w:rPr>
          <w:b/>
          <w:sz w:val="20"/>
        </w:rPr>
        <w:t xml:space="preserve">Rationale: </w:t>
      </w:r>
      <w:r>
        <w:rPr>
          <w:sz w:val="20"/>
        </w:rPr>
        <w:t>TSD 14 / DSU Hernández-Alava 2017 guidance.</w:t>
      </w:r>
    </w:p>
    <w:p>
      <w:pPr>
        <w:pStyle w:val="Heading3"/>
      </w:pPr>
      <w:r>
        <w:rPr>
          <w:color w:val="1F3864"/>
          <w:sz w:val="24"/>
        </w:rPr>
        <w:t>L. TTD modelling</w:t>
      </w:r>
    </w:p>
    <w:p>
      <w:r>
        <w:rPr>
          <w:b/>
          <w:sz w:val="22"/>
        </w:rPr>
        <w:t>STAT-Merck-27 — Differential TTD curve choice</w:t>
      </w:r>
    </w:p>
    <w:p>
      <w:r>
        <w:rPr>
          <w:b/>
          <w:sz w:val="20"/>
        </w:rPr>
        <w:t xml:space="preserve">Recipient: </w:t>
      </w:r>
      <w:r>
        <w:rPr>
          <w:sz w:val="20"/>
        </w:rPr>
        <w:t>Merck</w:t>
      </w:r>
    </w:p>
    <w:p>
      <w:r>
        <w:rPr>
          <w:b/>
          <w:sz w:val="20"/>
        </w:rPr>
        <w:t xml:space="preserve">Topic: </w:t>
      </w:r>
      <w:r>
        <w:rPr>
          <w:sz w:val="20"/>
        </w:rPr>
        <w:t>Distribution choice per drug</w:t>
      </w:r>
    </w:p>
    <w:p>
      <w:r>
        <w:rPr>
          <w:b/>
          <w:sz w:val="20"/>
        </w:rPr>
        <w:t xml:space="preserve">Question: </w:t>
      </w:r>
      <w:r>
        <w:rPr>
          <w:sz w:val="20"/>
        </w:rPr>
        <w:t>Per Table 55, generalised gamma is selected for avelumab, axitinib and sunitinib TTD despite the AIC/BIC tables (Tables 49, 51, 53) ranking exponential or Gompertz first. Justify why generalised gamma is preferred for all three drugs simultaneously, given that this distribution has three parameters and well-known convergence/stability issues at small sample sizes (n=94 favourable-risk arm). Provide a sensitivity analysis using the AIC/BIC-best distribution per drug (and a single best common distribution) and show the impact on incremental costs.</w:t>
      </w:r>
    </w:p>
    <w:p>
      <w:r>
        <w:rPr>
          <w:b/>
          <w:sz w:val="20"/>
        </w:rPr>
        <w:t xml:space="preserve">Rationale: </w:t>
      </w:r>
      <w:r>
        <w:rPr>
          <w:sz w:val="20"/>
        </w:rPr>
        <w:t>TTD is the dominant driver of cost (OWSA shows axitinib RDI as the largest INMB driver, Figure 37) — distribution choice has direct ICER impact.</w:t>
      </w:r>
    </w:p>
    <w:p>
      <w:r>
        <w:rPr>
          <w:b/>
          <w:sz w:val="22"/>
        </w:rPr>
        <w:t>STAT-Merck-28 — Independent vs joint avelumab/axitinib TTD</w:t>
      </w:r>
    </w:p>
    <w:p>
      <w:r>
        <w:rPr>
          <w:b/>
          <w:sz w:val="20"/>
        </w:rPr>
        <w:t xml:space="preserve">Recipient: </w:t>
      </w:r>
      <w:r>
        <w:rPr>
          <w:sz w:val="20"/>
        </w:rPr>
        <w:t>Merck</w:t>
      </w:r>
    </w:p>
    <w:p>
      <w:r>
        <w:rPr>
          <w:b/>
          <w:sz w:val="20"/>
        </w:rPr>
        <w:t xml:space="preserve">Topic: </w:t>
      </w:r>
      <w:r>
        <w:rPr>
          <w:sz w:val="20"/>
        </w:rPr>
        <w:t>Bivariate correlation in TTD</w:t>
      </w:r>
    </w:p>
    <w:p>
      <w:r>
        <w:rPr>
          <w:b/>
          <w:sz w:val="20"/>
        </w:rPr>
        <w:t xml:space="preserve">Question: </w:t>
      </w:r>
      <w:r>
        <w:rPr>
          <w:sz w:val="20"/>
        </w:rPr>
        <w:t>Avelumab and axitinib TTD are modelled independently (Sections B.3.3.3). State the empirical correlation between time-to-avelumab-discontinuation and time-to-axitinib-discontinuation in JAVELIN Renal 101 (Spearman, with 95% CI), and show whether independent extrapolation overestimates expected cost of doublet treatment over the lifetime horizon. Provide a bivariate or copula-based sensitivity analysis.</w:t>
      </w:r>
    </w:p>
    <w:p>
      <w:r>
        <w:rPr>
          <w:b/>
          <w:sz w:val="20"/>
        </w:rPr>
        <w:t xml:space="preserve">Rationale: </w:t>
      </w:r>
      <w:r>
        <w:rPr>
          <w:sz w:val="20"/>
        </w:rPr>
        <w:t>TSD 14. Patients discontinuing one component frequently discontinue both (footnote to Table 11 reports 411/442 = 93% discontinue both).</w:t>
      </w:r>
    </w:p>
    <w:p>
      <w:pPr>
        <w:pStyle w:val="Heading3"/>
      </w:pPr>
      <w:r>
        <w:rPr>
          <w:color w:val="1F3864"/>
          <w:sz w:val="24"/>
        </w:rPr>
        <w:t>M. Curve-crossing handling</w:t>
      </w:r>
    </w:p>
    <w:p>
      <w:r>
        <w:rPr>
          <w:b/>
          <w:sz w:val="22"/>
        </w:rPr>
        <w:t>STAT-Merck-29 — PFS curve crossing and visual goodness-of-fit</w:t>
      </w:r>
    </w:p>
    <w:p>
      <w:r>
        <w:rPr>
          <w:b/>
          <w:sz w:val="20"/>
        </w:rPr>
        <w:t xml:space="preserve">Recipient: </w:t>
      </w:r>
      <w:r>
        <w:rPr>
          <w:sz w:val="20"/>
        </w:rPr>
        <w:t>Merck</w:t>
      </w:r>
    </w:p>
    <w:p>
      <w:r>
        <w:rPr>
          <w:b/>
          <w:sz w:val="20"/>
        </w:rPr>
        <w:t xml:space="preserve">Topic: </w:t>
      </w:r>
      <w:r>
        <w:rPr>
          <w:sz w:val="20"/>
        </w:rPr>
        <w:t>Long-term PFS plausibility</w:t>
      </w:r>
    </w:p>
    <w:p>
      <w:r>
        <w:rPr>
          <w:b/>
          <w:sz w:val="20"/>
        </w:rPr>
        <w:t xml:space="preserve">Question: </w:t>
      </w:r>
      <w:r>
        <w:rPr>
          <w:sz w:val="20"/>
        </w:rPr>
        <w:t>In the favourable-risk PFS comparison, the log-normal extrapolation for avelumab + axitinib (selected as base case) and the generalised gamma for sunitinib produce small absolute differences at year 10 (Tables 46, 48 — partially redacted). Provide the modelled PFS curves and PFS HR(t) trajectory over 0–40 years, and conduct a sensitivity analysis (a) imposing PFS(t)_aveaxi ≥ PFS(t)_sun at all t after end of follow-up, and (b) truncating each curve at a clinically informed mortality cap by IMDC risk.</w:t>
      </w:r>
    </w:p>
    <w:p>
      <w:r>
        <w:rPr>
          <w:b/>
          <w:sz w:val="20"/>
        </w:rPr>
        <w:t xml:space="preserve">Rationale: </w:t>
      </w:r>
      <w:r>
        <w:rPr>
          <w:sz w:val="20"/>
        </w:rPr>
        <w:t>TSD 14 §3.4; small PFS differences at long horizons compound the QALY/LY gain.</w:t>
      </w:r>
    </w:p>
    <w:p>
      <w:pPr>
        <w:pStyle w:val="Heading3"/>
      </w:pPr>
      <w:r>
        <w:rPr>
          <w:color w:val="1F3864"/>
          <w:sz w:val="24"/>
        </w:rPr>
        <w:t>N. Visual goodness-of-fit and residuals</w:t>
      </w:r>
    </w:p>
    <w:p>
      <w:r>
        <w:rPr>
          <w:b/>
          <w:sz w:val="22"/>
        </w:rPr>
        <w:t>STAT-Merck-30 — KM/extrapolation overlays and Cox–Snell residuals</w:t>
      </w:r>
    </w:p>
    <w:p>
      <w:r>
        <w:rPr>
          <w:b/>
          <w:sz w:val="20"/>
        </w:rPr>
        <w:t xml:space="preserve">Recipient: </w:t>
      </w:r>
      <w:r>
        <w:rPr>
          <w:sz w:val="20"/>
        </w:rPr>
        <w:t>Merck</w:t>
      </w:r>
    </w:p>
    <w:p>
      <w:r>
        <w:rPr>
          <w:b/>
          <w:sz w:val="20"/>
        </w:rPr>
        <w:t xml:space="preserve">Topic: </w:t>
      </w:r>
      <w:r>
        <w:rPr>
          <w:sz w:val="20"/>
        </w:rPr>
        <w:t>Standard PSM diagnostic plots</w:t>
      </w:r>
    </w:p>
    <w:p>
      <w:r>
        <w:rPr>
          <w:b/>
          <w:sz w:val="20"/>
        </w:rPr>
        <w:t xml:space="preserve">Question: </w:t>
      </w:r>
      <w:r>
        <w:rPr>
          <w:sz w:val="20"/>
        </w:rPr>
        <w:t>For each PSM (OS, PFS, TTD by treatment, in each population), supply: (a) a single figure with KM and all six parametric overlays over both observed follow-up and the 40-year horizon; (b) Cox–Snell residual plots with 45° reference line; (c) hazard plots (smoothed empirical hazard vs parametric hazard); (d) deviance/martingale residual plots. Provide the underlying data so the EAG can reproduce.</w:t>
      </w:r>
    </w:p>
    <w:p>
      <w:r>
        <w:rPr>
          <w:b/>
          <w:sz w:val="20"/>
        </w:rPr>
        <w:t xml:space="preserve">Rationale: </w:t>
      </w:r>
      <w:r>
        <w:rPr>
          <w:sz w:val="20"/>
        </w:rPr>
        <w:t>TSD 14 §3 standard reporting.</w:t>
      </w:r>
    </w:p>
    <w:p>
      <w:r>
        <w:rPr>
          <w:sz w:val="20"/>
        </w:rPr>
        <w:t>Total questions: 30</w:t>
      </w:r>
    </w:p>
    <w:p>
      <w:r>
        <w:rPr>
          <w:sz w:val="20"/>
        </w:rPr>
        <w:t>Highest-priority items the EAG should pursue first:</w:t>
      </w:r>
    </w:p>
    <w:p>
      <w:r>
        <w:rPr>
          <w:sz w:val="20"/>
        </w:rPr>
        <w:t xml:space="preserve">1. </w:t>
      </w:r>
      <w:r>
        <w:rPr>
          <w:b/>
          <w:sz w:val="20"/>
        </w:rPr>
        <w:t>STAT-Merck-14</w:t>
      </w:r>
      <w:r>
        <w:rPr>
          <w:sz w:val="20"/>
        </w:rPr>
        <w:t xml:space="preserve"> — Subsequent therapy distortion of comparator OS. The base-case model has 86% of the comparator arm receiving subsequent IO (Table 69) with no formal switching adjustment; if uncorrected, this fundamentally biases the OS comparison against avelumab + axitinib's incremental survival claim. (TSD 16)</w:t>
      </w:r>
    </w:p>
    <w:p>
      <w:r>
        <w:rPr>
          <w:sz w:val="20"/>
        </w:rPr>
        <w:t xml:space="preserve">2. </w:t>
      </w:r>
      <w:r>
        <w:rPr>
          <w:b/>
          <w:sz w:val="20"/>
        </w:rPr>
        <w:t>STAT-Merck-6</w:t>
      </w:r>
      <w:r>
        <w:rPr>
          <w:sz w:val="20"/>
        </w:rPr>
        <w:t xml:space="preserve"> — PSA "unrealistic extrapolations" of the generalised gamma sunitinib OS. The submission openly acknowledges PSA instability that inflates comparator LY (B.3.9.1). This needs full diagnostic resolution before any cost-effectiveness conclusion is taken at face value.</w:t>
      </w:r>
    </w:p>
    <w:p>
      <w:r>
        <w:rPr>
          <w:sz w:val="20"/>
        </w:rPr>
        <w:t xml:space="preserve">3. </w:t>
      </w:r>
      <w:r>
        <w:rPr>
          <w:b/>
          <w:sz w:val="20"/>
        </w:rPr>
        <w:t>STAT-Merck-2 / STAT-Merck-10</w:t>
      </w:r>
      <w:r>
        <w:rPr>
          <w:sz w:val="20"/>
        </w:rPr>
        <w:t xml:space="preserve"> — PH validity and the constant-HR NMA. JAVELIN curves separate only after ~30 months and competing IO+IO/IO+TKI delayed-effect signatures argue for FP NMA (TSD 19). The intermediate-/poor-risk results (subgroup table 79) rely entirely on this NMA.</w:t>
      </w:r>
    </w:p>
    <w:p>
      <w:r>
        <w:rPr>
          <w:sz w:val="20"/>
        </w:rPr>
        <w:t xml:space="preserve">4. </w:t>
      </w:r>
      <w:r>
        <w:rPr>
          <w:b/>
          <w:sz w:val="20"/>
        </w:rPr>
        <w:t>STAT-Merck-19 / STAT-Merck-25</w:t>
      </w:r>
      <w:r>
        <w:rPr>
          <w:sz w:val="20"/>
        </w:rPr>
        <w:t xml:space="preserve"> — Subgroup inference rigour and power. The base case is the favourable-risk subgroup, which is exploratory, unpowered, post-hoc-pooled-elsewhere, with a non-significant OS HR (p=0.13). All downstream cost-effectiveness conclusions depend on accepting this subgroup's effect estimate as decision-grade evidence.</w:t>
      </w:r>
    </w:p>
    <w:p>
      <w:r>
        <w:rPr>
          <w:sz w:val="20"/>
        </w:rPr>
        <w:t xml:space="preserve">5. </w:t>
      </w:r>
      <w:r>
        <w:rPr>
          <w:b/>
          <w:sz w:val="20"/>
        </w:rPr>
        <w:t>STAT-Merck-13</w:t>
      </w:r>
      <w:r>
        <w:rPr>
          <w:sz w:val="20"/>
        </w:rPr>
        <w:t xml:space="preserve"> — TKI equivalence assumption with no uncertainty. Pazopanib and tivozanib are set equal to sunitinib without any HR uncertainty, suppressing PSA variance and likely biasing the ICER.</w:t>
      </w:r>
    </w:p>
    <w:p>
      <w:r>
        <w:rPr>
          <w:sz w:val="20"/>
        </w:rPr>
        <w:t xml:space="preserve">6. </w:t>
      </w:r>
      <w:r>
        <w:rPr>
          <w:b/>
          <w:sz w:val="20"/>
        </w:rPr>
        <w:t>STAT-Merck-22 / STAT-Merck-23</w:t>
      </w:r>
      <w:r>
        <w:rPr>
          <w:sz w:val="20"/>
        </w:rPr>
        <w:t xml:space="preserve"> — Joint parameter sampling. Cholesky-correctness of PSMs in PSA and propagation of MCMC NMA posteriors into the cost-effectiveness model are foundational to all probabilistic outputs.</w:t>
      </w:r>
    </w:p>
    <w:p>
      <w:r>
        <w:br w:type="page"/>
      </w:r>
    </w:p>
    <w:p>
      <w:pPr>
        <w:pStyle w:val="Heading2"/>
      </w:pPr>
      <w:r>
        <w:rPr>
          <w:color w:val="1F3864"/>
          <w:sz w:val="28"/>
        </w:rPr>
        <w:t>A.3 Health economist questions</w:t>
      </w:r>
    </w:p>
    <w:p>
      <w:pPr>
        <w:pStyle w:val="Heading3"/>
      </w:pPr>
      <w:r>
        <w:rPr>
          <w:color w:val="1F3864"/>
          <w:sz w:val="24"/>
        </w:rPr>
        <w:t>Cost-Effectiveness Clarification Questions from the EAG Health Economist</w:t>
      </w:r>
    </w:p>
    <w:p>
      <w:r>
        <w:rPr>
          <w:sz w:val="20"/>
        </w:rPr>
        <w:t>Prepared for the EAG, STA.</w:t>
      </w:r>
    </w:p>
    <w:p>
      <w:r>
        <w:rPr>
          <w:sz w:val="20"/>
        </w:rPr>
        <w:t>Recipient: Merck.</w:t>
      </w:r>
    </w:p>
    <w:p>
      <w:pPr>
        <w:pStyle w:val="Heading3"/>
      </w:pPr>
      <w:r>
        <w:rPr>
          <w:color w:val="1F3864"/>
          <w:sz w:val="24"/>
        </w:rPr>
        <w:t>A. Model auditability and executable model</w:t>
      </w:r>
    </w:p>
    <w:p>
      <w:r>
        <w:rPr>
          <w:b/>
          <w:sz w:val="22"/>
        </w:rPr>
        <w:t>HE-Merck-1 | Executable model</w:t>
      </w:r>
    </w:p>
    <w:p>
      <w:r>
        <w:rPr>
          <w:b/>
          <w:sz w:val="20"/>
        </w:rPr>
        <w:t xml:space="preserve">Recipient: </w:t>
      </w:r>
      <w:r>
        <w:rPr>
          <w:sz w:val="20"/>
        </w:rPr>
        <w:t>Merck</w:t>
      </w:r>
    </w:p>
    <w:p>
      <w:r>
        <w:rPr>
          <w:b/>
          <w:sz w:val="20"/>
        </w:rPr>
        <w:t xml:space="preserve">Topic: </w:t>
      </w:r>
      <w:r>
        <w:rPr>
          <w:sz w:val="20"/>
        </w:rPr>
        <w:t>Executable model</w:t>
      </w:r>
    </w:p>
    <w:p>
      <w:r>
        <w:rPr>
          <w:b/>
          <w:sz w:val="20"/>
        </w:rPr>
        <w:t xml:space="preserve">Question: </w:t>
      </w:r>
      <w:r>
        <w:rPr>
          <w:sz w:val="20"/>
        </w:rPr>
        <w:t>Provide the fully executable, unprotected Microsoft Excel cost-effectiveness model used to generate all results in Section B.3 (including Tables 75–79 and all scenario analyses), with all VBA macros visible and editable, all named ranges accessible, all sheets unhidden, all cells unprotected, and the PAS price for avelumab as a single editable input cell. Provide a separate version with the PAS price set to zero (list price) so the EAG can verify the deflator logic.</w:t>
      </w:r>
    </w:p>
    <w:p>
      <w:r>
        <w:rPr>
          <w:b/>
          <w:sz w:val="20"/>
        </w:rPr>
        <w:t xml:space="preserve">Rationale: </w:t>
      </w:r>
      <w:r>
        <w:rPr>
          <w:sz w:val="20"/>
        </w:rPr>
        <w:t>NICE PMG36 requires that the EAG be able to fully interrogate, reproduce and re-run the company base case, PSA, OWSA and all scenarios. Section B.3.12 confirms an Excel workbook was used, but the submission does not state that protection has been removed or that PAS inputs are unlocked for EAG use.</w:t>
      </w:r>
    </w:p>
    <w:p>
      <w:r>
        <w:rPr>
          <w:b/>
          <w:sz w:val="22"/>
        </w:rPr>
        <w:t>HE-Merck-2 | R/Stata scripts and analytical code</w:t>
      </w:r>
    </w:p>
    <w:p>
      <w:r>
        <w:rPr>
          <w:b/>
          <w:sz w:val="20"/>
        </w:rPr>
        <w:t xml:space="preserve">Recipient: </w:t>
      </w:r>
      <w:r>
        <w:rPr>
          <w:sz w:val="20"/>
        </w:rPr>
        <w:t>Merck</w:t>
      </w:r>
    </w:p>
    <w:p>
      <w:r>
        <w:rPr>
          <w:b/>
          <w:sz w:val="20"/>
        </w:rPr>
        <w:t xml:space="preserve">Topic: </w:t>
      </w:r>
      <w:r>
        <w:rPr>
          <w:sz w:val="20"/>
        </w:rPr>
        <w:t>Off-model code</w:t>
      </w:r>
    </w:p>
    <w:p>
      <w:r>
        <w:rPr>
          <w:b/>
          <w:sz w:val="20"/>
        </w:rPr>
        <w:t xml:space="preserve">Question: </w:t>
      </w:r>
      <w:r>
        <w:rPr>
          <w:sz w:val="20"/>
        </w:rPr>
        <w:t>Provide the complete R/Stata code (and any other software scripts) used for: (i) parametric survival modelling of OS, PFS and TTD (Sections B.3.3.2 and B.3.3.3); (ii) the Bayesian NMA in `gemtc` (Section B.2.10.4), including JAGS/BUGS model files, MCMC seeds, burn-in, thinning and convergence diagnostics; (iii) the EQ-5D-5L to EQ-5D-3L crosswalk and the linear mixed-effects regression models for utilities (Section B.3.4.2, Table 57); and (iv) any IPD reconstruction from comparator KM curves used in the NMA.</w:t>
      </w:r>
    </w:p>
    <w:p>
      <w:r>
        <w:rPr>
          <w:b/>
          <w:sz w:val="20"/>
        </w:rPr>
        <w:t xml:space="preserve">Rationale: </w:t>
      </w:r>
      <w:r>
        <w:rPr>
          <w:sz w:val="20"/>
        </w:rPr>
        <w:t>Survival extrapolations, the NMA and utility regressions are all key drivers of the ICER. Without the scripts, the EAG cannot verify covariates, distributional assumptions, priors, or convergence and cannot reproduce confidential cells in Tables 41–54.</w:t>
      </w:r>
    </w:p>
    <w:p>
      <w:r>
        <w:rPr>
          <w:b/>
          <w:sz w:val="22"/>
        </w:rPr>
        <w:t>HE-Merck-3 | User guide and changelog versus TA645</w:t>
      </w:r>
    </w:p>
    <w:p>
      <w:r>
        <w:rPr>
          <w:b/>
          <w:sz w:val="20"/>
        </w:rPr>
        <w:t xml:space="preserve">Recipient: </w:t>
      </w:r>
      <w:r>
        <w:rPr>
          <w:sz w:val="20"/>
        </w:rPr>
        <w:t>Merck</w:t>
      </w:r>
    </w:p>
    <w:p>
      <w:r>
        <w:rPr>
          <w:b/>
          <w:sz w:val="20"/>
        </w:rPr>
        <w:t xml:space="preserve">Topic: </w:t>
      </w:r>
      <w:r>
        <w:rPr>
          <w:sz w:val="20"/>
        </w:rPr>
        <w:t>Model documentation</w:t>
      </w:r>
    </w:p>
    <w:p>
      <w:r>
        <w:rPr>
          <w:b/>
          <w:sz w:val="20"/>
        </w:rPr>
        <w:t xml:space="preserve">Question: </w:t>
      </w:r>
      <w:r>
        <w:rPr>
          <w:sz w:val="20"/>
        </w:rPr>
        <w:t>Provide a user guide for the submitted Excel model and a structured changelog listing every model change relative to the TA645 model (cell-level if possible), including changes to: model structure, cycle length, time horizon, survival curve selection, utility regression specification, AE costing, subsequent therapy distributions and unit costs, end-of-life cost source, RDI handling and general-population mortality cap. Identify which changes are driven by new data (final JAVELIN Renal 101 analysis, SACT) and which are methodological choices made by the company.</w:t>
      </w:r>
    </w:p>
    <w:p>
      <w:r>
        <w:rPr>
          <w:b/>
          <w:sz w:val="20"/>
        </w:rPr>
        <w:t xml:space="preserve">Rationale: </w:t>
      </w:r>
      <w:r>
        <w:rPr>
          <w:sz w:val="20"/>
        </w:rPr>
        <w:t>This is an MA review of TA645. PMG36 requires that the EAG can determine which changes vs the original appraisal reflect new evidence and which reflect new modelling choices.</w:t>
      </w:r>
    </w:p>
    <w:p>
      <w:r>
        <w:rPr>
          <w:b/>
          <w:sz w:val="22"/>
        </w:rPr>
        <w:t>HE-Merck-4 | Random seeds and PSA reproducibility</w:t>
      </w:r>
    </w:p>
    <w:p>
      <w:r>
        <w:rPr>
          <w:b/>
          <w:sz w:val="20"/>
        </w:rPr>
        <w:t xml:space="preserve">Recipient: </w:t>
      </w:r>
      <w:r>
        <w:rPr>
          <w:sz w:val="20"/>
        </w:rPr>
        <w:t>Merck</w:t>
      </w:r>
    </w:p>
    <w:p>
      <w:r>
        <w:rPr>
          <w:b/>
          <w:sz w:val="20"/>
        </w:rPr>
        <w:t xml:space="preserve">Topic: </w:t>
      </w:r>
      <w:r>
        <w:rPr>
          <w:sz w:val="20"/>
        </w:rPr>
        <w:t>Reproducibility</w:t>
      </w:r>
    </w:p>
    <w:p>
      <w:r>
        <w:rPr>
          <w:b/>
          <w:sz w:val="20"/>
        </w:rPr>
        <w:t xml:space="preserve">Question: </w:t>
      </w:r>
      <w:r>
        <w:rPr>
          <w:sz w:val="20"/>
        </w:rPr>
        <w:t>Confirm and document the random seed(s) used for the 5,000-iteration PSA reported in Table 77 and confirm that re-running the submitted model with that seed reproduces the exact incremental costs, QALYs and ICERs in Table 77 (and the CEACs in Figures 31–33). If different software was used to generate any PSA outputs outside Excel, provide those scripts and seeds.</w:t>
      </w:r>
    </w:p>
    <w:p>
      <w:r>
        <w:rPr>
          <w:b/>
          <w:sz w:val="20"/>
        </w:rPr>
        <w:t xml:space="preserve">Rationale: </w:t>
      </w:r>
      <w:r>
        <w:rPr>
          <w:sz w:val="20"/>
        </w:rPr>
        <w:t>Section B.3.9.1 reports mean PSA results across 5,000 iterations but does not document seeds or convergence assessment beyond a visual inspection statement; reproducibility is a PMG36 requirement.</w:t>
      </w:r>
    </w:p>
    <w:p>
      <w:pPr>
        <w:pStyle w:val="Heading3"/>
      </w:pPr>
      <w:r>
        <w:rPr>
          <w:color w:val="1F3864"/>
          <w:sz w:val="24"/>
        </w:rPr>
        <w:t>B. Decision problem and scope concordance</w:t>
      </w:r>
    </w:p>
    <w:p>
      <w:r>
        <w:rPr>
          <w:b/>
          <w:sz w:val="22"/>
        </w:rPr>
        <w:t>HE-Merck-5 | Comparator coverage for intermediate-/poor-risk</w:t>
      </w:r>
    </w:p>
    <w:p>
      <w:r>
        <w:rPr>
          <w:b/>
          <w:sz w:val="20"/>
        </w:rPr>
        <w:t xml:space="preserve">Recipient: </w:t>
      </w:r>
      <w:r>
        <w:rPr>
          <w:sz w:val="20"/>
        </w:rPr>
        <w:t>Merck</w:t>
      </w:r>
    </w:p>
    <w:p>
      <w:r>
        <w:rPr>
          <w:b/>
          <w:sz w:val="20"/>
        </w:rPr>
        <w:t xml:space="preserve">Topic: </w:t>
      </w:r>
      <w:r>
        <w:rPr>
          <w:sz w:val="20"/>
        </w:rPr>
        <w:t>Scope concordance — comparators</w:t>
      </w:r>
    </w:p>
    <w:p>
      <w:r>
        <w:rPr>
          <w:b/>
          <w:sz w:val="20"/>
        </w:rPr>
        <w:t xml:space="preserve">Question: </w:t>
      </w:r>
      <w:r>
        <w:rPr>
          <w:sz w:val="20"/>
        </w:rPr>
        <w:t>Section B.3.10 and Table 79 present the intermediate-/poor-risk results but explicitly caution that the comparisons "cannot, and thus do not, take into consideration the inherent heterogeneity within this subgroup". Confirm whether Merck considers the intermediate-/poor-risk subgroup to be in or out of scope for decision-making, and provide a fully specified base case (PSA, OWSA, scenarios) for each of the seven scope-listed comparators (cabozantinib, nivolumab + ipilimumab, lenvatinib + pembrolizumab, cabozantinib + nivolumab, pazopanib, sunitinib, tivozanib) with the same level of detail as the favourable-risk base case.</w:t>
      </w:r>
    </w:p>
    <w:p>
      <w:r>
        <w:rPr>
          <w:b/>
          <w:sz w:val="20"/>
        </w:rPr>
        <w:t xml:space="preserve">Rationale: </w:t>
      </w:r>
      <w:r>
        <w:rPr>
          <w:sz w:val="20"/>
        </w:rPr>
        <w:t>The NICE final scope (issued September 2024) lists seven comparators in this subgroup. PMG36 requires the company to address the full scope. Restricting full uncertainty analysis to favourable-risk leaves a material portion of the relevant decision unaddressed.</w:t>
      </w:r>
    </w:p>
    <w:p>
      <w:r>
        <w:rPr>
          <w:b/>
          <w:sz w:val="22"/>
        </w:rPr>
        <w:t>HE-Merck-6 | PD-L1 subgroup</w:t>
      </w:r>
    </w:p>
    <w:p>
      <w:r>
        <w:rPr>
          <w:b/>
          <w:sz w:val="20"/>
        </w:rPr>
        <w:t xml:space="preserve">Recipient: </w:t>
      </w:r>
      <w:r>
        <w:rPr>
          <w:sz w:val="20"/>
        </w:rPr>
        <w:t>Merck</w:t>
      </w:r>
    </w:p>
    <w:p>
      <w:r>
        <w:rPr>
          <w:b/>
          <w:sz w:val="20"/>
        </w:rPr>
        <w:t xml:space="preserve">Topic: </w:t>
      </w:r>
      <w:r>
        <w:rPr>
          <w:sz w:val="20"/>
        </w:rPr>
        <w:t>Scope concordance — subgroups</w:t>
      </w:r>
    </w:p>
    <w:p>
      <w:r>
        <w:rPr>
          <w:b/>
          <w:sz w:val="20"/>
        </w:rPr>
        <w:t xml:space="preserve">Question: </w:t>
      </w:r>
      <w:r>
        <w:rPr>
          <w:sz w:val="20"/>
        </w:rPr>
        <w:t>The final scope lists "PD-L1 status" as a subgroup. Section B.3.2.1 states this was not explored in the cost-effectiveness modelling on the basis of "clinical expert opinion". Provide either: (i) a cost-effectiveness analysis (deterministic + PSA) for the PD-L1+ subgroup using JAVELIN Renal 101 PD-L1+ OS/PFS/TTD curves (Table 20), or (ii) the full evidence base (number of clinical experts, structured elicitation method, transcripts/summaries) underpinning the decision not to model this subgroup.</w:t>
      </w:r>
    </w:p>
    <w:p>
      <w:r>
        <w:rPr>
          <w:b/>
          <w:sz w:val="20"/>
        </w:rPr>
        <w:t xml:space="preserve">Rationale: </w:t>
      </w:r>
      <w:r>
        <w:rPr>
          <w:sz w:val="20"/>
        </w:rPr>
        <w:t>Scope departures require explicit, evidenced justification under PMG36.</w:t>
      </w:r>
    </w:p>
    <w:p>
      <w:r>
        <w:rPr>
          <w:b/>
          <w:sz w:val="22"/>
        </w:rPr>
        <w:t>HE-Merck-7 | Updated decision-problem table</w:t>
      </w:r>
    </w:p>
    <w:p>
      <w:r>
        <w:rPr>
          <w:b/>
          <w:sz w:val="20"/>
        </w:rPr>
        <w:t xml:space="preserve">Recipient: </w:t>
      </w:r>
      <w:r>
        <w:rPr>
          <w:sz w:val="20"/>
        </w:rPr>
        <w:t>Merck</w:t>
      </w:r>
    </w:p>
    <w:p>
      <w:r>
        <w:rPr>
          <w:b/>
          <w:sz w:val="20"/>
        </w:rPr>
        <w:t xml:space="preserve">Topic: </w:t>
      </w:r>
      <w:r>
        <w:rPr>
          <w:sz w:val="20"/>
        </w:rPr>
        <w:t>Decision problem</w:t>
      </w:r>
    </w:p>
    <w:p>
      <w:r>
        <w:rPr>
          <w:b/>
          <w:sz w:val="20"/>
        </w:rPr>
        <w:t xml:space="preserve">Question: </w:t>
      </w:r>
      <w:r>
        <w:rPr>
          <w:sz w:val="20"/>
        </w:rPr>
        <w:t>Provide an updated Table 1 (decision problem) that clearly flags as departures from the scope: (i) restriction of the cost-effectiveness base case to the favourable-risk subgroup rather than the all-comers population; (ii) exclusion of PD-L1 status subgroup analysis from the economic model; and (iii) any other deviation. Provide an explicit reference-case checklist (PMG36 Section 4) listing each item as Met / Partially met / Not met with the page reference and justification.</w:t>
      </w:r>
    </w:p>
    <w:p>
      <w:r>
        <w:rPr>
          <w:b/>
          <w:sz w:val="20"/>
        </w:rPr>
        <w:t xml:space="preserve">Rationale: </w:t>
      </w:r>
      <w:r>
        <w:rPr>
          <w:sz w:val="20"/>
        </w:rPr>
        <w:t>Section B.1.1 states the submission is consistent with the final scope, but Sections B.3.2.1 and B.3.10 reveal material restrictions to the base case that warrant explicit acknowledgement.</w:t>
      </w:r>
    </w:p>
    <w:p>
      <w:pPr>
        <w:pStyle w:val="Heading3"/>
      </w:pPr>
      <w:r>
        <w:rPr>
          <w:color w:val="1F3864"/>
          <w:sz w:val="24"/>
        </w:rPr>
        <w:t>C. Model structure</w:t>
      </w:r>
    </w:p>
    <w:p>
      <w:r>
        <w:rPr>
          <w:b/>
          <w:sz w:val="22"/>
        </w:rPr>
        <w:t>HE-Merck-8 | Partitioned survival versus state-transition</w:t>
      </w:r>
    </w:p>
    <w:p>
      <w:r>
        <w:rPr>
          <w:b/>
          <w:sz w:val="20"/>
        </w:rPr>
        <w:t xml:space="preserve">Recipient: </w:t>
      </w:r>
      <w:r>
        <w:rPr>
          <w:sz w:val="20"/>
        </w:rPr>
        <w:t>Merck</w:t>
      </w:r>
    </w:p>
    <w:p>
      <w:r>
        <w:rPr>
          <w:b/>
          <w:sz w:val="20"/>
        </w:rPr>
        <w:t xml:space="preserve">Topic: </w:t>
      </w:r>
      <w:r>
        <w:rPr>
          <w:sz w:val="20"/>
        </w:rPr>
        <w:t>Model structure</w:t>
      </w:r>
    </w:p>
    <w:p>
      <w:r>
        <w:rPr>
          <w:b/>
          <w:sz w:val="20"/>
        </w:rPr>
        <w:t xml:space="preserve">Question: </w:t>
      </w:r>
      <w:r>
        <w:rPr>
          <w:sz w:val="20"/>
        </w:rPr>
        <w:t>Provide the justification for retaining a partitioned survival (PartSA) structure rather than a state-transition Markov or semi-Markov approach, with explicit reference to NICE DSU TSD 19. In particular, address: (i) the structural assumption that OS is independent of PFS; (ii) how this assumption is validated for an IO+TKI combination with potentially long-tailed OS but shorter PFS; and (iii) provide a state-transition scenario analysis (multistate model with PFS→PD, PFS→Death and PD→Death transitions) for comparison.</w:t>
      </w:r>
    </w:p>
    <w:p>
      <w:r>
        <w:rPr>
          <w:b/>
          <w:sz w:val="20"/>
        </w:rPr>
        <w:t xml:space="preserve">Rationale: </w:t>
      </w:r>
      <w:r>
        <w:rPr>
          <w:sz w:val="20"/>
        </w:rPr>
        <w:t>DSU TSD 19 recommends that PartSA models be cross-checked against a state-transition structure, particularly where post-progression survival is long and disconnected from progression dynamics, as is the case in IO-treated aRCC.</w:t>
      </w:r>
    </w:p>
    <w:p>
      <w:r>
        <w:rPr>
          <w:b/>
          <w:sz w:val="22"/>
        </w:rPr>
        <w:t>HE-Merck-9 | Half-cycle correction</w:t>
      </w:r>
    </w:p>
    <w:p>
      <w:r>
        <w:rPr>
          <w:b/>
          <w:sz w:val="20"/>
        </w:rPr>
        <w:t xml:space="preserve">Recipient: </w:t>
      </w:r>
      <w:r>
        <w:rPr>
          <w:sz w:val="20"/>
        </w:rPr>
        <w:t>Merck</w:t>
      </w:r>
    </w:p>
    <w:p>
      <w:r>
        <w:rPr>
          <w:b/>
          <w:sz w:val="20"/>
        </w:rPr>
        <w:t xml:space="preserve">Topic: </w:t>
      </w:r>
      <w:r>
        <w:rPr>
          <w:sz w:val="20"/>
        </w:rPr>
        <w:t>Model structure</w:t>
      </w:r>
    </w:p>
    <w:p>
      <w:r>
        <w:rPr>
          <w:b/>
          <w:sz w:val="20"/>
        </w:rPr>
        <w:t xml:space="preserve">Question: </w:t>
      </w:r>
      <w:r>
        <w:rPr>
          <w:sz w:val="20"/>
        </w:rPr>
        <w:t>Section B.3.2.2.3 states a 1-week cycle length was used and a half-cycle correction was not applied because of the short cycle length. Provide a scenario applying a half-cycle correction (Simpson's rule or life-table) to costs and outcomes and report its impact on the ICER versus each comparator.</w:t>
      </w:r>
    </w:p>
    <w:p>
      <w:r>
        <w:rPr>
          <w:b/>
          <w:sz w:val="20"/>
        </w:rPr>
        <w:t xml:space="preserve">Rationale: </w:t>
      </w:r>
      <w:r>
        <w:rPr>
          <w:sz w:val="20"/>
        </w:rPr>
        <w:t>Even with a short cycle, the cumulative effect across a 40-year horizon is non-trivial; standard practice is to apply or test the correction.</w:t>
      </w:r>
    </w:p>
    <w:p>
      <w:r>
        <w:rPr>
          <w:b/>
          <w:sz w:val="22"/>
        </w:rPr>
        <w:t>HE-Merck-10 | Time horizon scenarios</w:t>
      </w:r>
    </w:p>
    <w:p>
      <w:r>
        <w:rPr>
          <w:b/>
          <w:sz w:val="20"/>
        </w:rPr>
        <w:t xml:space="preserve">Recipient: </w:t>
      </w:r>
      <w:r>
        <w:rPr>
          <w:sz w:val="20"/>
        </w:rPr>
        <w:t>Merck</w:t>
      </w:r>
    </w:p>
    <w:p>
      <w:r>
        <w:rPr>
          <w:b/>
          <w:sz w:val="20"/>
        </w:rPr>
        <w:t xml:space="preserve">Topic: </w:t>
      </w:r>
      <w:r>
        <w:rPr>
          <w:sz w:val="20"/>
        </w:rPr>
        <w:t>Time horizon</w:t>
      </w:r>
    </w:p>
    <w:p>
      <w:r>
        <w:rPr>
          <w:b/>
          <w:sz w:val="20"/>
        </w:rPr>
        <w:t xml:space="preserve">Question: </w:t>
      </w:r>
      <w:r>
        <w:rPr>
          <w:sz w:val="20"/>
        </w:rPr>
        <w:t>Table 78 reports 20- and 30-year time horizon scenarios. Provide additional scenarios at 15 years and a sensitivity analysis showing the cumulative incremental costs, LYs and QALYs by year over the full 40-year horizon (incremental QALY accrual profile by year). Report what proportion of incremental QALYs accrue after the end of trial follow-up (~5.67 years) and after 10, 15 and 20 years.</w:t>
      </w:r>
    </w:p>
    <w:p>
      <w:r>
        <w:rPr>
          <w:b/>
          <w:sz w:val="20"/>
        </w:rPr>
        <w:t xml:space="preserve">Rationale: </w:t>
      </w:r>
      <w:r>
        <w:rPr>
          <w:sz w:val="20"/>
        </w:rPr>
        <w:t>Section B.3.13 acknowledges substantial extrapolation despite 68-month median follow-up. The committee needs to see how much of the QALY gain is being driven by extrapolation versus observed data, particularly given the long-tail OS dynamics with IO therapy.</w:t>
      </w:r>
    </w:p>
    <w:p>
      <w:pPr>
        <w:pStyle w:val="Heading3"/>
      </w:pPr>
      <w:r>
        <w:rPr>
          <w:color w:val="1F3864"/>
          <w:sz w:val="24"/>
        </w:rPr>
        <w:t>D. Survival extrapolation — OS, PFS, TTD</w:t>
      </w:r>
    </w:p>
    <w:p>
      <w:r>
        <w:rPr>
          <w:b/>
          <w:sz w:val="22"/>
        </w:rPr>
        <w:t>HE-Merck-11 | Unredacted statistical fit and landmark tables</w:t>
      </w:r>
    </w:p>
    <w:p>
      <w:r>
        <w:rPr>
          <w:b/>
          <w:sz w:val="20"/>
        </w:rPr>
        <w:t xml:space="preserve">Recipient: </w:t>
      </w:r>
      <w:r>
        <w:rPr>
          <w:sz w:val="20"/>
        </w:rPr>
        <w:t>Merck</w:t>
      </w:r>
    </w:p>
    <w:p>
      <w:r>
        <w:rPr>
          <w:b/>
          <w:sz w:val="20"/>
        </w:rPr>
        <w:t xml:space="preserve">Topic: </w:t>
      </w:r>
      <w:r>
        <w:rPr>
          <w:sz w:val="20"/>
        </w:rPr>
        <w:t>Survival extrapolation transparency</w:t>
      </w:r>
    </w:p>
    <w:p>
      <w:r>
        <w:rPr>
          <w:b/>
          <w:sz w:val="20"/>
        </w:rPr>
        <w:t xml:space="preserve">Question: </w:t>
      </w:r>
      <w:r>
        <w:rPr>
          <w:sz w:val="20"/>
        </w:rPr>
        <w:t>Provide unredacted AIC/BIC values and landmark 1-, 2-, 5-, 10-, 15- and 20-year survival estimates for every candidate distribution (Exponential, Weibull, Gompertz, log-logistic, log-normal, generalised gamma) for: avelumab + axitinib OS and PFS; sunitinib OS and PFS; avelumab TTD; axitinib TTD; sunitinib TTD — in both the favourable-risk and intermediate-/poor-risk populations (i.e., redacted cells in Tables 45–54 and Appendix O equivalents).</w:t>
      </w:r>
    </w:p>
    <w:p>
      <w:r>
        <w:rPr>
          <w:b/>
          <w:sz w:val="20"/>
        </w:rPr>
        <w:t xml:space="preserve">Rationale: </w:t>
      </w:r>
      <w:r>
        <w:rPr>
          <w:sz w:val="20"/>
        </w:rPr>
        <w:t>Tables 45–54 contain XXXXX redactions for AIC/BIC and landmark estimates that prevent the EAG from assessing whether the selected distribution is supported by the goodness-of-fit evidence. The EAG requires the full numerical evidence base. PAS prices are confidential but AIC/BIC and survival proportions are not.</w:t>
      </w:r>
    </w:p>
    <w:p>
      <w:r>
        <w:rPr>
          <w:b/>
          <w:sz w:val="22"/>
        </w:rPr>
        <w:t>HE-Merck-12 | Clinical plausibility overrides</w:t>
      </w:r>
    </w:p>
    <w:p>
      <w:r>
        <w:rPr>
          <w:b/>
          <w:sz w:val="20"/>
        </w:rPr>
        <w:t xml:space="preserve">Recipient: </w:t>
      </w:r>
      <w:r>
        <w:rPr>
          <w:sz w:val="20"/>
        </w:rPr>
        <w:t>Merck</w:t>
      </w:r>
    </w:p>
    <w:p>
      <w:r>
        <w:rPr>
          <w:b/>
          <w:sz w:val="20"/>
        </w:rPr>
        <w:t xml:space="preserve">Topic: </w:t>
      </w:r>
      <w:r>
        <w:rPr>
          <w:sz w:val="20"/>
        </w:rPr>
        <w:t>Curve selection rationale</w:t>
      </w:r>
    </w:p>
    <w:p>
      <w:r>
        <w:rPr>
          <w:b/>
          <w:sz w:val="20"/>
        </w:rPr>
        <w:t xml:space="preserve">Question: </w:t>
      </w:r>
      <w:r>
        <w:rPr>
          <w:sz w:val="20"/>
        </w:rPr>
        <w:t>For each instance where the selected distribution is not the best-fitting model on AIC and BIC, provide a structured justification for the override, including: (i) the specific clinical plausibility argument and which clinical expert(s) endorsed it; (ii) the long-term landmark survival prediction the expert(s) anchored on; (iii) external evidence cited; and (iv) any structured elicitation protocol used. This applies in particular to: avelumab + axitinib OS (log-normal selected; log-logistic ranked 1 on AIC/BIC, Table 41); sunitinib OS (generalised gamma selected; Weibull ranked 1 on AIC/BIC, Table 43); avelumab + axitinib PFS (log-normal selected — best fit, but justify against generalised gamma); avelumab and axitinib TTD (generalised gamma selected; Gompertz/exponential ranked 1, Tables 49, 51).</w:t>
      </w:r>
    </w:p>
    <w:p>
      <w:r>
        <w:rPr>
          <w:b/>
          <w:sz w:val="20"/>
        </w:rPr>
        <w:t xml:space="preserve">Rationale: </w:t>
      </w:r>
      <w:r>
        <w:rPr>
          <w:sz w:val="20"/>
        </w:rPr>
        <w:t>Section B.3.3 invokes clinical expert opinion repeatedly to overrule statistical fit. DSU TSD 14 requires that such overrides be transparent, evidenced and reproducible.</w:t>
      </w:r>
    </w:p>
    <w:p>
      <w:r>
        <w:rPr>
          <w:b/>
          <w:sz w:val="22"/>
        </w:rPr>
        <w:t>HE-Merck-13 | Sunitinib OS curve choice and unrealistic PSA tails</w:t>
      </w:r>
    </w:p>
    <w:p>
      <w:r>
        <w:rPr>
          <w:b/>
          <w:sz w:val="20"/>
        </w:rPr>
        <w:t xml:space="preserve">Recipient: </w:t>
      </w:r>
      <w:r>
        <w:rPr>
          <w:sz w:val="20"/>
        </w:rPr>
        <w:t>Merck</w:t>
      </w:r>
    </w:p>
    <w:p>
      <w:r>
        <w:rPr>
          <w:b/>
          <w:sz w:val="20"/>
        </w:rPr>
        <w:t xml:space="preserve">Topic: </w:t>
      </w:r>
      <w:r>
        <w:rPr>
          <w:sz w:val="20"/>
        </w:rPr>
        <w:t>Sunitinib OS extrapolation</w:t>
      </w:r>
    </w:p>
    <w:p>
      <w:r>
        <w:rPr>
          <w:b/>
          <w:sz w:val="20"/>
        </w:rPr>
        <w:t xml:space="preserve">Question: </w:t>
      </w:r>
      <w:r>
        <w:rPr>
          <w:sz w:val="20"/>
        </w:rPr>
        <w:t>Section B.3.9.1 states "some probabilistic draws of the generalised gamma model for the sunitinib arm (used to model OS) result in unrealistic extrapolations, and therefore the mean LYG is higher than what is seen for the deterministic analysis" (Table 77: PSA LYG 6.90 vs deterministic 6.45 for sunitinib). Provide: (i) the proportion of PSA iterations that produced "unrealistic" sunitinib OS; (ii) the definition used to classify an iteration as unrealistic; (iii) a re-run of the PSA with a curve choice (e.g., Weibull) that does not generate these implausible tails; and (iv) a base case scenario using the best-fitting distribution (Weibull, Table 43).</w:t>
      </w:r>
    </w:p>
    <w:p>
      <w:r>
        <w:rPr>
          <w:b/>
          <w:sz w:val="20"/>
        </w:rPr>
        <w:t xml:space="preserve">Rationale: </w:t>
      </w:r>
      <w:r>
        <w:rPr>
          <w:sz w:val="20"/>
        </w:rPr>
        <w:t>A curve known to generate implausible PSA tails biases the PSA mean upward in the sunitinib arm, mechanically reducing the avelumab + axitinib incremental QALY gain and inflating cost-effectiveness. This is a material driver of the ICER.</w:t>
      </w:r>
    </w:p>
    <w:p>
      <w:r>
        <w:rPr>
          <w:b/>
          <w:sz w:val="22"/>
        </w:rPr>
        <w:t>HE-Merck-14 | Independent OS/PFS extrapolation and intersection</w:t>
      </w:r>
    </w:p>
    <w:p>
      <w:r>
        <w:rPr>
          <w:b/>
          <w:sz w:val="20"/>
        </w:rPr>
        <w:t xml:space="preserve">Recipient: </w:t>
      </w:r>
      <w:r>
        <w:rPr>
          <w:sz w:val="20"/>
        </w:rPr>
        <w:t>Merck</w:t>
      </w:r>
    </w:p>
    <w:p>
      <w:r>
        <w:rPr>
          <w:b/>
          <w:sz w:val="20"/>
        </w:rPr>
        <w:t xml:space="preserve">Topic: </w:t>
      </w:r>
      <w:r>
        <w:rPr>
          <w:sz w:val="20"/>
        </w:rPr>
        <w:t>PartSA curve integrity</w:t>
      </w:r>
    </w:p>
    <w:p>
      <w:r>
        <w:rPr>
          <w:b/>
          <w:sz w:val="20"/>
        </w:rPr>
        <w:t xml:space="preserve">Question: </w:t>
      </w:r>
      <w:r>
        <w:rPr>
          <w:sz w:val="20"/>
        </w:rPr>
        <w:t>Confirm that for every base case and scenario combination of OS and PFS curves, PFS does not exceed OS at any cycle for any arm. Provide a check across the full 40-year horizon and identify any cycles requiring adjustment. State how the model handles such intersections (truncation, refitting, or other).</w:t>
      </w:r>
    </w:p>
    <w:p>
      <w:r>
        <w:rPr>
          <w:b/>
          <w:sz w:val="20"/>
        </w:rPr>
        <w:t xml:space="preserve">Rationale: </w:t>
      </w:r>
      <w:r>
        <w:rPr>
          <w:sz w:val="20"/>
        </w:rPr>
        <w:t>Independent fitting of OS and PFS within a PartSA framework can produce PFS &gt; OS in tails; this needs documented handling per DSU TSD 19.</w:t>
      </w:r>
    </w:p>
    <w:p>
      <w:r>
        <w:rPr>
          <w:b/>
          <w:sz w:val="22"/>
        </w:rPr>
        <w:t>HE-Merck-15 | General-population mortality cap</w:t>
      </w:r>
    </w:p>
    <w:p>
      <w:r>
        <w:rPr>
          <w:b/>
          <w:sz w:val="20"/>
        </w:rPr>
        <w:t xml:space="preserve">Recipient: </w:t>
      </w:r>
      <w:r>
        <w:rPr>
          <w:sz w:val="20"/>
        </w:rPr>
        <w:t>Merck</w:t>
      </w:r>
    </w:p>
    <w:p>
      <w:r>
        <w:rPr>
          <w:b/>
          <w:sz w:val="20"/>
        </w:rPr>
        <w:t xml:space="preserve">Topic: </w:t>
      </w:r>
      <w:r>
        <w:rPr>
          <w:sz w:val="20"/>
        </w:rPr>
        <w:t>Background mortality</w:t>
      </w:r>
    </w:p>
    <w:p>
      <w:r>
        <w:rPr>
          <w:b/>
          <w:sz w:val="20"/>
        </w:rPr>
        <w:t xml:space="preserve">Question: </w:t>
      </w:r>
      <w:r>
        <w:rPr>
          <w:sz w:val="20"/>
        </w:rPr>
        <w:t>Section B.3.3.2 states curves were capped so that the probability of death is never lower than the age- and sex-adjusted general population. Provide: (i) the source life table (ONS year), (ii) the sex split used, (iii) the algebra of the cap (instantaneous hazard vs survival proportion), and (iv) the cycle at which each base-case OS curve is first bound by the general-population mortality cap.</w:t>
      </w:r>
    </w:p>
    <w:p>
      <w:r>
        <w:rPr>
          <w:b/>
          <w:sz w:val="20"/>
        </w:rPr>
        <w:t xml:space="preserve">Rationale: </w:t>
      </w:r>
      <w:r>
        <w:rPr>
          <w:sz w:val="20"/>
        </w:rPr>
        <w:t>The point at which the cap binds materially influences long-term OS and the magnitude of extrapolated QALY gain.</w:t>
      </w:r>
    </w:p>
    <w:p>
      <w:r>
        <w:rPr>
          <w:b/>
          <w:sz w:val="22"/>
        </w:rPr>
        <w:t>HE-Merck-16 | Treatment switching in JAVELIN Renal 101</w:t>
      </w:r>
    </w:p>
    <w:p>
      <w:r>
        <w:rPr>
          <w:b/>
          <w:sz w:val="20"/>
        </w:rPr>
        <w:t xml:space="preserve">Recipient: </w:t>
      </w:r>
      <w:r>
        <w:rPr>
          <w:sz w:val="20"/>
        </w:rPr>
        <w:t>Merck</w:t>
      </w:r>
    </w:p>
    <w:p>
      <w:r>
        <w:rPr>
          <w:b/>
          <w:sz w:val="20"/>
        </w:rPr>
        <w:t xml:space="preserve">Topic: </w:t>
      </w:r>
      <w:r>
        <w:rPr>
          <w:sz w:val="20"/>
        </w:rPr>
        <w:t>Subsequent therapy and OS</w:t>
      </w:r>
    </w:p>
    <w:p>
      <w:r>
        <w:rPr>
          <w:b/>
          <w:sz w:val="20"/>
        </w:rPr>
        <w:t xml:space="preserve">Question: </w:t>
      </w:r>
      <w:r>
        <w:rPr>
          <w:sz w:val="20"/>
        </w:rPr>
        <w:t>Section B.3.5.4 indicates 86.23% of JAVELIN Renal 101 favourable-risk sunitinib-arm patients received subsequent nivolumab. State whether this constitutes treatment switching as defined in DSU TSD 16 and, if so, provide adjusted OS for the sunitinib arm using a two-stage (Latimer) and/or RPSFT/IPCW approach. Provide a scenario in the base case using switching-adjusted sunitinib OS.</w:t>
      </w:r>
    </w:p>
    <w:p>
      <w:r>
        <w:rPr>
          <w:b/>
          <w:sz w:val="20"/>
        </w:rPr>
        <w:t xml:space="preserve">Rationale: </w:t>
      </w:r>
      <w:r>
        <w:rPr>
          <w:sz w:val="20"/>
        </w:rPr>
        <w:t>Substantial subsequent IO use in the control arm of a trial used to inform an extrapolated OS comparison may bias the comparator OS upward in a UK setting where subsequent IO is partially available; DSU TSD 16 mandates exploration of switching adjustment.</w:t>
      </w:r>
    </w:p>
    <w:p>
      <w:r>
        <w:rPr>
          <w:b/>
          <w:sz w:val="22"/>
        </w:rPr>
        <w:t>HE-Merck-17 | TTD versus deterministic capping at stopping rule</w:t>
      </w:r>
    </w:p>
    <w:p>
      <w:r>
        <w:rPr>
          <w:b/>
          <w:sz w:val="20"/>
        </w:rPr>
        <w:t xml:space="preserve">Recipient: </w:t>
      </w:r>
      <w:r>
        <w:rPr>
          <w:sz w:val="20"/>
        </w:rPr>
        <w:t>Merck</w:t>
      </w:r>
    </w:p>
    <w:p>
      <w:r>
        <w:rPr>
          <w:b/>
          <w:sz w:val="20"/>
        </w:rPr>
        <w:t xml:space="preserve">Topic: </w:t>
      </w:r>
      <w:r>
        <w:rPr>
          <w:sz w:val="20"/>
        </w:rPr>
        <w:t>Treatment duration</w:t>
      </w:r>
    </w:p>
    <w:p>
      <w:r>
        <w:rPr>
          <w:b/>
          <w:sz w:val="20"/>
        </w:rPr>
        <w:t xml:space="preserve">Question: </w:t>
      </w:r>
      <w:r>
        <w:rPr>
          <w:sz w:val="20"/>
        </w:rPr>
        <w:t>Confirm whether the JAVELIN Renal 101 protocol included a stopping rule for avelumab (e.g., a 2-year maximum, or to disease progression only) and whether TTD in the model is governed by the parametric extrapolation alone or by a deterministic cap. If no stopping rule is applied in the base case, provide scenario analyses with a 2-year and a 3-year deterministic cap on avelumab treatment (consistent with TA858 and TA964 precedent) and report the impact on costs, QALYs and the ICER.</w:t>
      </w:r>
    </w:p>
    <w:p>
      <w:r>
        <w:rPr>
          <w:b/>
          <w:sz w:val="20"/>
        </w:rPr>
        <w:t xml:space="preserve">Rationale: </w:t>
      </w:r>
      <w:r>
        <w:rPr>
          <w:sz w:val="20"/>
        </w:rPr>
        <w:t>Most recent NICE IO appraisals in aRCC have considered stopping-rule scenarios; the submission does not appear to.</w:t>
      </w:r>
    </w:p>
    <w:p>
      <w:r>
        <w:rPr>
          <w:b/>
          <w:sz w:val="22"/>
        </w:rPr>
        <w:t>HE-Merck-18 | TTD versus PFS relationship</w:t>
      </w:r>
    </w:p>
    <w:p>
      <w:r>
        <w:rPr>
          <w:b/>
          <w:sz w:val="20"/>
        </w:rPr>
        <w:t xml:space="preserve">Recipient: </w:t>
      </w:r>
      <w:r>
        <w:rPr>
          <w:sz w:val="20"/>
        </w:rPr>
        <w:t>Merck</w:t>
      </w:r>
    </w:p>
    <w:p>
      <w:r>
        <w:rPr>
          <w:b/>
          <w:sz w:val="20"/>
        </w:rPr>
        <w:t xml:space="preserve">Topic: </w:t>
      </w:r>
      <w:r>
        <w:rPr>
          <w:sz w:val="20"/>
        </w:rPr>
        <w:t>TTD coherence</w:t>
      </w:r>
    </w:p>
    <w:p>
      <w:r>
        <w:rPr>
          <w:b/>
          <w:sz w:val="20"/>
        </w:rPr>
        <w:t xml:space="preserve">Question: </w:t>
      </w:r>
      <w:r>
        <w:rPr>
          <w:sz w:val="20"/>
        </w:rPr>
        <w:t>Confirm whether TTD can exceed PFS in any cycle for any arm in the base case or any scenario (e.g., generalised gamma TTD vs log-normal PFS for avelumab + axitinib). Provide a check and any adjustment logic. Quantify the proportion of treatment-arm patients still receiving drug at 5, 10 and 15 years under each base case curve.</w:t>
      </w:r>
    </w:p>
    <w:p>
      <w:r>
        <w:rPr>
          <w:b/>
          <w:sz w:val="20"/>
        </w:rPr>
        <w:t xml:space="preserve">Rationale: </w:t>
      </w:r>
      <w:r>
        <w:rPr>
          <w:sz w:val="20"/>
        </w:rPr>
        <w:t>Long generalised-gamma TTD tails can imply patients on treatment well beyond progression, which is inconsistent with the model's assumption (B.3.2.2.1) that treatment stops on or before progression.</w:t>
      </w:r>
    </w:p>
    <w:p>
      <w:pPr>
        <w:pStyle w:val="Heading3"/>
      </w:pPr>
      <w:r>
        <w:rPr>
          <w:color w:val="1F3864"/>
          <w:sz w:val="24"/>
        </w:rPr>
        <w:t>E. Clinical equivalence assumptions</w:t>
      </w:r>
    </w:p>
    <w:p>
      <w:r>
        <w:rPr>
          <w:b/>
          <w:sz w:val="22"/>
        </w:rPr>
        <w:t>HE-Merck-19 | TKI equivalence (sunitinib = pazopanib = tivozanib)</w:t>
      </w:r>
    </w:p>
    <w:p>
      <w:r>
        <w:rPr>
          <w:b/>
          <w:sz w:val="20"/>
        </w:rPr>
        <w:t xml:space="preserve">Recipient: </w:t>
      </w:r>
      <w:r>
        <w:rPr>
          <w:sz w:val="20"/>
        </w:rPr>
        <w:t>Merck</w:t>
      </w:r>
    </w:p>
    <w:p>
      <w:r>
        <w:rPr>
          <w:b/>
          <w:sz w:val="20"/>
        </w:rPr>
        <w:t xml:space="preserve">Topic: </w:t>
      </w:r>
      <w:r>
        <w:rPr>
          <w:sz w:val="20"/>
        </w:rPr>
        <w:t>Comparator efficacy assumption</w:t>
      </w:r>
    </w:p>
    <w:p>
      <w:r>
        <w:rPr>
          <w:b/>
          <w:sz w:val="20"/>
        </w:rPr>
        <w:t xml:space="preserve">Question: </w:t>
      </w:r>
      <w:r>
        <w:rPr>
          <w:sz w:val="20"/>
        </w:rPr>
        <w:t>Section B.3.3 assumes OS, PFS and TTD are identical across sunitinib, pazopanib and tivozanib, leaving only drug acquisition cost as a distinguishing feature. Provide: (i) the NMA-derived hazard ratios (with credible intervals) for OS and PFS for pazopanib and tivozanib versus sunitinib in the favourable-risk subgroup (or, if not available in favourable-risk, the all-comers HRs with a justification of generalisability); (ii) a PSA with HRs drawn from the NMA posterior; and (iii) a deterministic sensitivity analysis varying each comparator HR across the 95% CrI bounds. Report whether the ICER changes ranking among comparators under any plausible HR.</w:t>
      </w:r>
    </w:p>
    <w:p>
      <w:r>
        <w:rPr>
          <w:b/>
          <w:sz w:val="20"/>
        </w:rPr>
        <w:t xml:space="preserve">Rationale: </w:t>
      </w:r>
      <w:r>
        <w:rPr>
          <w:sz w:val="20"/>
        </w:rPr>
        <w:t>The current modelling reduces these three comparators to a one-dimensional acquisition-cost comparison and assumes zero uncertainty on TKI relative efficacy. The Manz et al. NMA cited (B.3.3) shows TKIs do not differ "significantly", which is not equivalent to identical effect; the 95% CI must be quantified.</w:t>
      </w:r>
    </w:p>
    <w:p>
      <w:r>
        <w:rPr>
          <w:b/>
          <w:sz w:val="22"/>
        </w:rPr>
        <w:t>HE-Merck-20 | AE rate equivalence between TKIs</w:t>
      </w:r>
    </w:p>
    <w:p>
      <w:r>
        <w:rPr>
          <w:b/>
          <w:sz w:val="20"/>
        </w:rPr>
        <w:t xml:space="preserve">Recipient: </w:t>
      </w:r>
      <w:r>
        <w:rPr>
          <w:sz w:val="20"/>
        </w:rPr>
        <w:t>Merck</w:t>
      </w:r>
    </w:p>
    <w:p>
      <w:r>
        <w:rPr>
          <w:b/>
          <w:sz w:val="20"/>
        </w:rPr>
        <w:t xml:space="preserve">Topic: </w:t>
      </w:r>
      <w:r>
        <w:rPr>
          <w:sz w:val="20"/>
        </w:rPr>
        <w:t>Comparator AE equivalence</w:t>
      </w:r>
    </w:p>
    <w:p>
      <w:r>
        <w:rPr>
          <w:b/>
          <w:sz w:val="20"/>
        </w:rPr>
        <w:t xml:space="preserve">Question: </w:t>
      </w:r>
      <w:r>
        <w:rPr>
          <w:sz w:val="20"/>
        </w:rPr>
        <w:t>Table 68 applies a single AE cost (£523.73) to sunitinib, tivozanib and pazopanib. Provide AE incidence rates from the pivotal trials of tivozanib (TIVO-1) and pazopanib (COMPARZ or pivotal RCT) for the grade ≥3 events in Table 56, and a scenario in which AE costs and frequencies are treatment-specific.</w:t>
      </w:r>
    </w:p>
    <w:p>
      <w:r>
        <w:rPr>
          <w:b/>
          <w:sz w:val="20"/>
        </w:rPr>
        <w:t xml:space="preserve">Rationale: </w:t>
      </w:r>
      <w:r>
        <w:rPr>
          <w:sz w:val="20"/>
        </w:rPr>
        <w:t>Pazopanib has a distinct hepatic AE profile and tivozanib a distinct hypertension profile; pooling AE costs masks comparator-specific resource use.</w:t>
      </w:r>
    </w:p>
    <w:p>
      <w:pPr>
        <w:pStyle w:val="Heading3"/>
      </w:pPr>
      <w:r>
        <w:rPr>
          <w:color w:val="1F3864"/>
          <w:sz w:val="24"/>
        </w:rPr>
        <w:t>F. Utilities and HRQoL</w:t>
      </w:r>
    </w:p>
    <w:p>
      <w:r>
        <w:rPr>
          <w:b/>
          <w:sz w:val="22"/>
        </w:rPr>
        <w:t>HE-Merck-21 | Utility values and confidence intervals</w:t>
      </w:r>
    </w:p>
    <w:p>
      <w:r>
        <w:rPr>
          <w:b/>
          <w:sz w:val="20"/>
        </w:rPr>
        <w:t xml:space="preserve">Recipient: </w:t>
      </w:r>
      <w:r>
        <w:rPr>
          <w:sz w:val="20"/>
        </w:rPr>
        <w:t>Merck</w:t>
      </w:r>
    </w:p>
    <w:p>
      <w:r>
        <w:rPr>
          <w:b/>
          <w:sz w:val="20"/>
        </w:rPr>
        <w:t xml:space="preserve">Topic: </w:t>
      </w:r>
      <w:r>
        <w:rPr>
          <w:sz w:val="20"/>
        </w:rPr>
        <w:t>Utility transparency</w:t>
      </w:r>
    </w:p>
    <w:p>
      <w:r>
        <w:rPr>
          <w:b/>
          <w:sz w:val="20"/>
        </w:rPr>
        <w:t xml:space="preserve">Question: </w:t>
      </w:r>
      <w:r>
        <w:rPr>
          <w:sz w:val="20"/>
        </w:rPr>
        <w:t>Provide unredacted progression-free and post-progression utility values (mean, SE, 95% CI), the full variance-covariance matrix from the Model 1 and Model 2 regressions (Table 57), the number of observations contributing to each health state, and the number of unique patients in the favourable-risk subgroup contributing EQ-5D-5L data. State the proportion of post-progression observations available and whether any health state utility was extrapolated from a small sample.</w:t>
      </w:r>
    </w:p>
    <w:p>
      <w:r>
        <w:rPr>
          <w:b/>
          <w:sz w:val="20"/>
        </w:rPr>
        <w:t xml:space="preserve">Rationale: </w:t>
      </w:r>
      <w:r>
        <w:rPr>
          <w:sz w:val="20"/>
        </w:rPr>
        <w:t>Utility values are redacted in Tables 57, 58 and 60. Without these the EAG cannot assess the precision of the QALY estimates or test the regression specification.</w:t>
      </w:r>
    </w:p>
    <w:p>
      <w:r>
        <w:rPr>
          <w:b/>
          <w:sz w:val="22"/>
        </w:rPr>
        <w:t>HE-Merck-22 | Treatment status in utility model</w:t>
      </w:r>
    </w:p>
    <w:p>
      <w:r>
        <w:rPr>
          <w:b/>
          <w:sz w:val="20"/>
        </w:rPr>
        <w:t xml:space="preserve">Recipient: </w:t>
      </w:r>
      <w:r>
        <w:rPr>
          <w:sz w:val="20"/>
        </w:rPr>
        <w:t>Merck</w:t>
      </w:r>
    </w:p>
    <w:p>
      <w:r>
        <w:rPr>
          <w:b/>
          <w:sz w:val="20"/>
        </w:rPr>
        <w:t xml:space="preserve">Topic: </w:t>
      </w:r>
      <w:r>
        <w:rPr>
          <w:sz w:val="20"/>
        </w:rPr>
        <w:t>Utility regression specification</w:t>
      </w:r>
    </w:p>
    <w:p>
      <w:r>
        <w:rPr>
          <w:b/>
          <w:sz w:val="20"/>
        </w:rPr>
        <w:t xml:space="preserve">Question: </w:t>
      </w:r>
      <w:r>
        <w:rPr>
          <w:sz w:val="20"/>
        </w:rPr>
        <w:t>Model 2 (Table 57) explored an on-treatment indicator and found a non-significant negative effect (p=0.142). Provide: (i) the corresponding utility values used to generate Table 78's "Model 2" scenario; (ii) a structured argument for selecting Model 1 over Model 2 as base case, given that on-treatment quality of life is conceptually distinct and that Model 2 would penalise the active arm with longer treatment durations; and (iii) provide a scenario where Model 2 is the base case.</w:t>
      </w:r>
    </w:p>
    <w:p>
      <w:r>
        <w:rPr>
          <w:b/>
          <w:sz w:val="20"/>
        </w:rPr>
        <w:t xml:space="preserve">Rationale: </w:t>
      </w:r>
      <w:r>
        <w:rPr>
          <w:sz w:val="20"/>
        </w:rPr>
        <w:t>Selecting Model 1 over Model 2 systematically favours the longer-TTD arm (avelumab + axitinib). The choice should be evidenced rather than defaulted.</w:t>
      </w:r>
    </w:p>
    <w:p>
      <w:r>
        <w:rPr>
          <w:b/>
          <w:sz w:val="22"/>
        </w:rPr>
        <w:t>HE-Merck-23 | Age adjustment</w:t>
      </w:r>
    </w:p>
    <w:p>
      <w:r>
        <w:rPr>
          <w:b/>
          <w:sz w:val="20"/>
        </w:rPr>
        <w:t xml:space="preserve">Recipient: </w:t>
      </w:r>
      <w:r>
        <w:rPr>
          <w:sz w:val="20"/>
        </w:rPr>
        <w:t>Merck</w:t>
      </w:r>
    </w:p>
    <w:p>
      <w:r>
        <w:rPr>
          <w:b/>
          <w:sz w:val="20"/>
        </w:rPr>
        <w:t xml:space="preserve">Topic: </w:t>
      </w:r>
      <w:r>
        <w:rPr>
          <w:sz w:val="20"/>
        </w:rPr>
        <w:t>Age-related utility decrement</w:t>
      </w:r>
    </w:p>
    <w:p>
      <w:r>
        <w:rPr>
          <w:b/>
          <w:sz w:val="20"/>
        </w:rPr>
        <w:t xml:space="preserve">Question: </w:t>
      </w:r>
      <w:r>
        <w:rPr>
          <w:sz w:val="20"/>
        </w:rPr>
        <w:t>Confirm that the Ara &amp; Brazier (2010) multiplier is applied to the cohort's age in each cycle (not the baseline age) and that male/female utility coefficients reflect the cohort sex split. Provide a scenario using the more recent Hernández-Alava et al. EQ-5D-3L UK general population norms and report sensitivity.</w:t>
      </w:r>
    </w:p>
    <w:p>
      <w:r>
        <w:rPr>
          <w:b/>
          <w:sz w:val="20"/>
        </w:rPr>
        <w:t xml:space="preserve">Rationale: </w:t>
      </w:r>
      <w:r>
        <w:rPr>
          <w:sz w:val="20"/>
        </w:rPr>
        <w:t>Page 126 of the submission shows the Ara &amp; Brazier formula but does not state whether the multiplier is recalculated cycle-by-cycle.</w:t>
      </w:r>
    </w:p>
    <w:p>
      <w:r>
        <w:rPr>
          <w:b/>
          <w:sz w:val="22"/>
        </w:rPr>
        <w:t>HE-Merck-24 | AE disutility exclusion</w:t>
      </w:r>
    </w:p>
    <w:p>
      <w:r>
        <w:rPr>
          <w:b/>
          <w:sz w:val="20"/>
        </w:rPr>
        <w:t xml:space="preserve">Recipient: </w:t>
      </w:r>
      <w:r>
        <w:rPr>
          <w:sz w:val="20"/>
        </w:rPr>
        <w:t>Merck</w:t>
      </w:r>
    </w:p>
    <w:p>
      <w:r>
        <w:rPr>
          <w:b/>
          <w:sz w:val="20"/>
        </w:rPr>
        <w:t xml:space="preserve">Topic: </w:t>
      </w:r>
      <w:r>
        <w:rPr>
          <w:sz w:val="20"/>
        </w:rPr>
        <w:t>AE disutility</w:t>
      </w:r>
    </w:p>
    <w:p>
      <w:r>
        <w:rPr>
          <w:b/>
          <w:sz w:val="20"/>
        </w:rPr>
        <w:t xml:space="preserve">Question: </w:t>
      </w:r>
      <w:r>
        <w:rPr>
          <w:sz w:val="20"/>
        </w:rPr>
        <w:t>Section B.3.4.4 excludes explicit AE disutilities on the grounds that they are captured in the EQ-5D-derived health state utilities. The EQ-5D-5L was administered every 6 weeks (Section B.3.4.1) — provide evidence that high-grade, short-duration AEs (e.g., infusion reactions, immune-mediated events) were observed within the EQ-5D sampling window. Provide a scenario adding AE disutilities for grade ≥3 events sourced from published literature (e.g., Lloyd 2006, Beusterien 2010) and report the ICER impact.</w:t>
      </w:r>
    </w:p>
    <w:p>
      <w:r>
        <w:rPr>
          <w:b/>
          <w:sz w:val="20"/>
        </w:rPr>
        <w:t xml:space="preserve">Rationale: </w:t>
      </w:r>
      <w:r>
        <w:rPr>
          <w:sz w:val="20"/>
        </w:rPr>
        <w:t>Six-weekly EQ-5D collection is unlikely to capture transient AEs; the assumption that disutility is fully internalised is empirically untested.</w:t>
      </w:r>
    </w:p>
    <w:p>
      <w:r>
        <w:rPr>
          <w:b/>
          <w:sz w:val="22"/>
        </w:rPr>
        <w:t>HE-Merck-25 | Cross-TA utility consistency</w:t>
      </w:r>
    </w:p>
    <w:p>
      <w:r>
        <w:rPr>
          <w:b/>
          <w:sz w:val="20"/>
        </w:rPr>
        <w:t xml:space="preserve">Recipient: </w:t>
      </w:r>
      <w:r>
        <w:rPr>
          <w:sz w:val="20"/>
        </w:rPr>
        <w:t>Merck</w:t>
      </w:r>
    </w:p>
    <w:p>
      <w:r>
        <w:rPr>
          <w:b/>
          <w:sz w:val="20"/>
        </w:rPr>
        <w:t xml:space="preserve">Topic: </w:t>
      </w:r>
      <w:r>
        <w:rPr>
          <w:sz w:val="20"/>
        </w:rPr>
        <w:t>Utility precedent</w:t>
      </w:r>
    </w:p>
    <w:p>
      <w:r>
        <w:rPr>
          <w:b/>
          <w:sz w:val="20"/>
        </w:rPr>
        <w:t xml:space="preserve">Question: </w:t>
      </w:r>
      <w:r>
        <w:rPr>
          <w:sz w:val="20"/>
        </w:rPr>
        <w:t>Table 59 lists prior aRCC TA utilities. Note that the post-progression utility used in the current submission appears higher than the upper bound of prior TAs (Section B.3.4.3 mentions XXXXX vs 0.7600 from TA417). Provide a scenario adopting (a) the TA858 lenvatinib + pembrolizumab utility values (redacted in Table 59 — request company-confidential disclosure to EAG), and (b) the TA964 cabozantinib + nivolumab utility values, and report the ICER impact. Identify the population definition used to derive utilities in each prior TA (1L versus 2L+, all comers vs IMDC-risk subgroup).</w:t>
      </w:r>
    </w:p>
    <w:p>
      <w:r>
        <w:rPr>
          <w:b/>
          <w:sz w:val="20"/>
        </w:rPr>
        <w:t xml:space="preserve">Rationale: </w:t>
      </w:r>
      <w:r>
        <w:rPr>
          <w:sz w:val="20"/>
        </w:rPr>
        <w:t>Cross-TA consistency is required under PMG36; using a utility above prior precedent in a long-tailed model favours the intervention.</w:t>
      </w:r>
    </w:p>
    <w:p>
      <w:pPr>
        <w:pStyle w:val="Heading3"/>
      </w:pPr>
      <w:r>
        <w:rPr>
          <w:color w:val="1F3864"/>
          <w:sz w:val="24"/>
        </w:rPr>
        <w:t>G. Costs</w:t>
      </w:r>
    </w:p>
    <w:p>
      <w:r>
        <w:rPr>
          <w:b/>
          <w:sz w:val="22"/>
        </w:rPr>
        <w:t>HE-Merck-26 | BNF, NHS Reference Cost and PSSRU vintages</w:t>
      </w:r>
    </w:p>
    <w:p>
      <w:r>
        <w:rPr>
          <w:b/>
          <w:sz w:val="20"/>
        </w:rPr>
        <w:t xml:space="preserve">Recipient: </w:t>
      </w:r>
      <w:r>
        <w:rPr>
          <w:sz w:val="20"/>
        </w:rPr>
        <w:t>Merck</w:t>
      </w:r>
    </w:p>
    <w:p>
      <w:r>
        <w:rPr>
          <w:b/>
          <w:sz w:val="20"/>
        </w:rPr>
        <w:t xml:space="preserve">Topic: </w:t>
      </w:r>
      <w:r>
        <w:rPr>
          <w:sz w:val="20"/>
        </w:rPr>
        <w:t>Cost sources</w:t>
      </w:r>
    </w:p>
    <w:p>
      <w:r>
        <w:rPr>
          <w:b/>
          <w:sz w:val="20"/>
        </w:rPr>
        <w:t xml:space="preserve">Question: </w:t>
      </w:r>
      <w:r>
        <w:rPr>
          <w:sz w:val="20"/>
        </w:rPr>
        <w:t>Confirm the BNF access date for all drug prices in Table 61 and subsequent therapy unit costs in Table 70. Confirm the NHS National Cost Collection year (Table 64 uses 2022/23; Table 67 uses 2021/22 — explain the inconsistency). Confirm the PSSRU year (Table 66 uses 2023). Provide a re-costed scenario using consistently 2022/23 reference costs and PSSRU 2023 with inflation indices documented, and state the inflation index used (e.g., NHSCII).</w:t>
      </w:r>
    </w:p>
    <w:p>
      <w:r>
        <w:rPr>
          <w:b/>
          <w:sz w:val="20"/>
        </w:rPr>
        <w:t xml:space="preserve">Rationale: </w:t>
      </w:r>
      <w:r>
        <w:rPr>
          <w:sz w:val="20"/>
        </w:rPr>
        <w:t>The submission uses inconsistent reference cost vintages across cost categories (Tables 64, 65, 66, 67), potentially biasing total costs.</w:t>
      </w:r>
    </w:p>
    <w:p>
      <w:r>
        <w:rPr>
          <w:b/>
          <w:sz w:val="22"/>
        </w:rPr>
        <w:t>HE-Merck-27 | RDI handling</w:t>
      </w:r>
    </w:p>
    <w:p>
      <w:r>
        <w:rPr>
          <w:b/>
          <w:sz w:val="20"/>
        </w:rPr>
        <w:t xml:space="preserve">Recipient: </w:t>
      </w:r>
      <w:r>
        <w:rPr>
          <w:sz w:val="20"/>
        </w:rPr>
        <w:t>Merck</w:t>
      </w:r>
    </w:p>
    <w:p>
      <w:r>
        <w:rPr>
          <w:b/>
          <w:sz w:val="20"/>
        </w:rPr>
        <w:t xml:space="preserve">Topic: </w:t>
      </w:r>
      <w:r>
        <w:rPr>
          <w:sz w:val="20"/>
        </w:rPr>
        <w:t>Relative dose intensity</w:t>
      </w:r>
    </w:p>
    <w:p>
      <w:r>
        <w:rPr>
          <w:b/>
          <w:sz w:val="20"/>
        </w:rPr>
        <w:t xml:space="preserve">Question: </w:t>
      </w:r>
      <w:r>
        <w:rPr>
          <w:sz w:val="20"/>
        </w:rPr>
        <w:t>Table 63 applies RDIs (avelumab 91.7%, axitinib 83.7%, sunitinib 81.9%, tivozanib 94.0%, pazopanib 86.0%) to drug acquisition costs. State explicitly: (i) whether RDI is applied to acquisition cost only or also to administration cost; (ii) whether RDI is applied to per-cycle drug cost or to wastage-adjusted cost; (iii) for IV avelumab dosed as 4×200mg vials with no wastage, justify how RDI&lt;100% reduces cost when the vial count is integer; and (iv) provide a scenario with RDI=100% for all treatments (per the EMA/BNF licensed dose schedule) and report the ICER.</w:t>
      </w:r>
    </w:p>
    <w:p>
      <w:r>
        <w:rPr>
          <w:b/>
          <w:sz w:val="20"/>
        </w:rPr>
        <w:t xml:space="preserve">Rationale: </w:t>
      </w:r>
      <w:r>
        <w:rPr>
          <w:sz w:val="20"/>
        </w:rPr>
        <w:t>The OWSA (Section B.3.9.2) reports that axitinib RDI has the largest single impact on results. The mechanism by which RDI reduces avelumab acquisition (a flat-dose IV with no wastage) needs to be explicit.</w:t>
      </w:r>
    </w:p>
    <w:p>
      <w:r>
        <w:rPr>
          <w:b/>
          <w:sz w:val="22"/>
        </w:rPr>
        <w:t>HE-Merck-28 | Avelumab dosing schedule</w:t>
      </w:r>
    </w:p>
    <w:p>
      <w:r>
        <w:rPr>
          <w:b/>
          <w:sz w:val="20"/>
        </w:rPr>
        <w:t xml:space="preserve">Recipient: </w:t>
      </w:r>
      <w:r>
        <w:rPr>
          <w:sz w:val="20"/>
        </w:rPr>
        <w:t>Merck</w:t>
      </w:r>
    </w:p>
    <w:p>
      <w:r>
        <w:rPr>
          <w:b/>
          <w:sz w:val="20"/>
        </w:rPr>
        <w:t xml:space="preserve">Topic: </w:t>
      </w:r>
      <w:r>
        <w:rPr>
          <w:sz w:val="20"/>
        </w:rPr>
        <w:t>Avelumab dosing</w:t>
      </w:r>
    </w:p>
    <w:p>
      <w:r>
        <w:rPr>
          <w:b/>
          <w:sz w:val="20"/>
        </w:rPr>
        <w:t xml:space="preserve">Question: </w:t>
      </w:r>
      <w:r>
        <w:rPr>
          <w:sz w:val="20"/>
        </w:rPr>
        <w:t>Provide a scenario analysis using a 10 mg/kg every-2-week (Q2W) dose and a Q3W weight-based dose if these are within the marketing authorisation, and reconcile with the 800 mg flat Q2W base case (Section B.3.2.3.1). Report the cost impact for an average UK patient weight.</w:t>
      </w:r>
    </w:p>
    <w:p>
      <w:r>
        <w:rPr>
          <w:b/>
          <w:sz w:val="20"/>
        </w:rPr>
        <w:t xml:space="preserve">Rationale: </w:t>
      </w:r>
      <w:r>
        <w:rPr>
          <w:sz w:val="20"/>
        </w:rPr>
        <w:t>Although the SmPC specifies 800 mg Q2W, sensitivity to dose schedule changes is standard in IO appraisals.</w:t>
      </w:r>
    </w:p>
    <w:p>
      <w:r>
        <w:rPr>
          <w:b/>
          <w:sz w:val="22"/>
        </w:rPr>
        <w:t>HE-Merck-29 | Axitinib generic pricing scenario</w:t>
      </w:r>
    </w:p>
    <w:p>
      <w:r>
        <w:rPr>
          <w:b/>
          <w:sz w:val="20"/>
        </w:rPr>
        <w:t xml:space="preserve">Recipient: </w:t>
      </w:r>
      <w:r>
        <w:rPr>
          <w:sz w:val="20"/>
        </w:rPr>
        <w:t>Merck</w:t>
      </w:r>
    </w:p>
    <w:p>
      <w:r>
        <w:rPr>
          <w:b/>
          <w:sz w:val="20"/>
        </w:rPr>
        <w:t xml:space="preserve">Topic: </w:t>
      </w:r>
      <w:r>
        <w:rPr>
          <w:sz w:val="20"/>
        </w:rPr>
        <w:t>Generic axitinib</w:t>
      </w:r>
    </w:p>
    <w:p>
      <w:r>
        <w:rPr>
          <w:b/>
          <w:sz w:val="20"/>
        </w:rPr>
        <w:t xml:space="preserve">Question: </w:t>
      </w:r>
      <w:r>
        <w:rPr>
          <w:sz w:val="20"/>
        </w:rPr>
        <w:t>Table 78 reports axitinib price reductions of 50–90%. Provide: (i) the redacted XXXXXXX date in Section B.3.5.1.1 stating when branded axitinib loses exclusivity in the UK; (ii) evidence supporting the 88.89% sunitinib branded-to-generic decrement as a proxy for axitinib; and (iii) a probabilistic scenario in which axitinib price is sampled from a distribution reflecting actual generic-entry uncertainty over the model horizon. State whether NICE should base its recommendation on list price, current generic, or anticipated future generic price (per PMG36 Section 4.4).</w:t>
      </w:r>
    </w:p>
    <w:p>
      <w:r>
        <w:rPr>
          <w:b/>
          <w:sz w:val="20"/>
        </w:rPr>
        <w:t xml:space="preserve">Rationale: </w:t>
      </w:r>
      <w:r>
        <w:rPr>
          <w:sz w:val="20"/>
        </w:rPr>
        <w:t>The company's interpretation in Section B.3.13 relies heavily on anticipated future generic pricing. Decisions must be made on prices in force at the time of guidance, so this requires explicit handling.</w:t>
      </w:r>
    </w:p>
    <w:p>
      <w:r>
        <w:rPr>
          <w:b/>
          <w:sz w:val="22"/>
        </w:rPr>
        <w:t>HE-Merck-30 | Subsequent therapy reallocation rationale</w:t>
      </w:r>
    </w:p>
    <w:p>
      <w:r>
        <w:rPr>
          <w:b/>
          <w:sz w:val="20"/>
        </w:rPr>
        <w:t xml:space="preserve">Recipient: </w:t>
      </w:r>
      <w:r>
        <w:rPr>
          <w:sz w:val="20"/>
        </w:rPr>
        <w:t>Merck</w:t>
      </w:r>
    </w:p>
    <w:p>
      <w:r>
        <w:rPr>
          <w:b/>
          <w:sz w:val="20"/>
        </w:rPr>
        <w:t xml:space="preserve">Topic: </w:t>
      </w:r>
      <w:r>
        <w:rPr>
          <w:sz w:val="20"/>
        </w:rPr>
        <w:t>Subsequent therapy distribution</w:t>
      </w:r>
    </w:p>
    <w:p>
      <w:r>
        <w:rPr>
          <w:b/>
          <w:sz w:val="20"/>
        </w:rPr>
        <w:t xml:space="preserve">Question: </w:t>
      </w:r>
      <w:r>
        <w:rPr>
          <w:sz w:val="20"/>
        </w:rPr>
        <w:t>Table 69 removes subsequent nivolumab from the avelumab + axitinib arm (86.23% in sunitinib arm in JAVELIN Renal 101) and re-allocates to other treatments. Provide: (i) the re-allocation algorithm explicitly (proportional rescaling vs other); (ii) the proportion of avelumab + axitinib favourable-risk patients in JAVELIN Renal 101 who actually received subsequent nivolumab in the trial — and confirm that this is removed entirely; (iii) the impact of subsequent treatment cost asymmetry (£38,287 ave+axi vs £74,883 sunitinib, Table 72) on the incremental cost — what proportion of the total incremental cost is attributable to subsequent therapy savings in the intervention arm? (iv) a scenario where subsequent therapy distributions are equal across arms based on observed UK practice (UK ROC); and (v) a scenario aligned with the TA645 assumption.</w:t>
      </w:r>
    </w:p>
    <w:p>
      <w:r>
        <w:rPr>
          <w:b/>
          <w:sz w:val="20"/>
        </w:rPr>
        <w:t xml:space="preserve">Rationale: </w:t>
      </w:r>
      <w:r>
        <w:rPr>
          <w:sz w:val="20"/>
        </w:rPr>
        <w:t>Removing nivolumab from one arm but not the other and re-allocating yields a £36,596 (49%) cost saving in the intervention arm, which is a material — and potentially structural — driver of the ICER. Section B.3.5.4 acknowledges the assumption but does not quantify its impact.</w:t>
      </w:r>
    </w:p>
    <w:p>
      <w:r>
        <w:rPr>
          <w:b/>
          <w:sz w:val="22"/>
        </w:rPr>
        <w:t>HE-Merck-31 | Subsequent therapy dosing assumptions</w:t>
      </w:r>
    </w:p>
    <w:p>
      <w:r>
        <w:rPr>
          <w:b/>
          <w:sz w:val="20"/>
        </w:rPr>
        <w:t xml:space="preserve">Recipient: </w:t>
      </w:r>
      <w:r>
        <w:rPr>
          <w:sz w:val="20"/>
        </w:rPr>
        <w:t>Merck</w:t>
      </w:r>
    </w:p>
    <w:p>
      <w:r>
        <w:rPr>
          <w:b/>
          <w:sz w:val="20"/>
        </w:rPr>
        <w:t xml:space="preserve">Topic: </w:t>
      </w:r>
      <w:r>
        <w:rPr>
          <w:sz w:val="20"/>
        </w:rPr>
        <w:t>Subsequent therapy duration and dosing</w:t>
      </w:r>
    </w:p>
    <w:p>
      <w:r>
        <w:rPr>
          <w:b/>
          <w:sz w:val="20"/>
        </w:rPr>
        <w:t xml:space="preserve">Question: </w:t>
      </w:r>
      <w:r>
        <w:rPr>
          <w:sz w:val="20"/>
        </w:rPr>
        <w:t>Table 71 cites mean TTD values for subsequent therapies sourced from TA542 and TA498. Provide: (i) justification that mean TTD values from prior 2018 appraisals remain valid in 2024–25 UK practice; (ii) confirmation that the £59,850 nivolumab subsequent cost reflects list price (PAS confidential); and (iii) confirmation that the cost per single course assumes no further subsequent line beyond 2L+ and the impact of allowing third-line treatment.</w:t>
      </w:r>
    </w:p>
    <w:p>
      <w:r>
        <w:rPr>
          <w:b/>
          <w:sz w:val="20"/>
        </w:rPr>
        <w:t xml:space="preserve">Rationale: </w:t>
      </w:r>
      <w:r>
        <w:rPr>
          <w:sz w:val="20"/>
        </w:rPr>
        <w:t>Subsequent treatment costs are applied as a one-off lump on PFS exit and their magnitude (Table 72) shows they are decisive in the cost difference between arms.</w:t>
      </w:r>
    </w:p>
    <w:p>
      <w:r>
        <w:rPr>
          <w:b/>
          <w:sz w:val="22"/>
        </w:rPr>
        <w:t>HE-Merck-32 | Resource use frequencies</w:t>
      </w:r>
    </w:p>
    <w:p>
      <w:r>
        <w:rPr>
          <w:b/>
          <w:sz w:val="20"/>
        </w:rPr>
        <w:t xml:space="preserve">Recipient: </w:t>
      </w:r>
      <w:r>
        <w:rPr>
          <w:sz w:val="20"/>
        </w:rPr>
        <w:t>Merck</w:t>
      </w:r>
    </w:p>
    <w:p>
      <w:r>
        <w:rPr>
          <w:b/>
          <w:sz w:val="20"/>
        </w:rPr>
        <w:t xml:space="preserve">Topic: </w:t>
      </w:r>
      <w:r>
        <w:rPr>
          <w:sz w:val="20"/>
        </w:rPr>
        <w:t>HCRU</w:t>
      </w:r>
    </w:p>
    <w:p>
      <w:r>
        <w:rPr>
          <w:b/>
          <w:sz w:val="20"/>
        </w:rPr>
        <w:t xml:space="preserve">Question: </w:t>
      </w:r>
      <w:r>
        <w:rPr>
          <w:sz w:val="20"/>
        </w:rPr>
        <w:t>Table 65 sources HCRU frequencies from TA581 (2019). Provide validation from UK clinical experts (in 2024) confirming current frequencies for CT scans (0.08/week in PFS, 0 in PD), GP visits, blood tests, and community nurse visits in current NHS practice for IMDC favourable-risk aRCC. Provide a scenario using current published UK resource use studies or the UK ROC dataset (Frazer 2024).</w:t>
      </w:r>
    </w:p>
    <w:p>
      <w:r>
        <w:rPr>
          <w:b/>
          <w:sz w:val="20"/>
        </w:rPr>
        <w:t xml:space="preserve">Rationale: </w:t>
      </w:r>
      <w:r>
        <w:rPr>
          <w:sz w:val="20"/>
        </w:rPr>
        <w:t>Resource use in active disease has likely changed since 2019 with the shift to IO-containing regimens; reliance on TA581 frequencies is unverified.</w:t>
      </w:r>
    </w:p>
    <w:p>
      <w:r>
        <w:rPr>
          <w:b/>
          <w:sz w:val="22"/>
        </w:rPr>
        <w:t>HE-Merck-33 | AE costs uniformity</w:t>
      </w:r>
    </w:p>
    <w:p>
      <w:r>
        <w:rPr>
          <w:b/>
          <w:sz w:val="20"/>
        </w:rPr>
        <w:t xml:space="preserve">Recipient: </w:t>
      </w:r>
      <w:r>
        <w:rPr>
          <w:sz w:val="20"/>
        </w:rPr>
        <w:t>Merck</w:t>
      </w:r>
    </w:p>
    <w:p>
      <w:r>
        <w:rPr>
          <w:b/>
          <w:sz w:val="20"/>
        </w:rPr>
        <w:t xml:space="preserve">Topic: </w:t>
      </w:r>
      <w:r>
        <w:rPr>
          <w:sz w:val="20"/>
        </w:rPr>
        <w:t>AE unit costs</w:t>
      </w:r>
    </w:p>
    <w:p>
      <w:r>
        <w:rPr>
          <w:b/>
          <w:sz w:val="20"/>
        </w:rPr>
        <w:t xml:space="preserve">Question: </w:t>
      </w:r>
      <w:r>
        <w:rPr>
          <w:sz w:val="20"/>
        </w:rPr>
        <w:t>Table 67 assigns a single £801.11 non-elective short stay cost to all grade ≥3 AEs. Provide a scenario using AE-specific HRG cost weightings (e.g., RA01 for diarrhoea, LB28 for ALT elevation, EB04Z for hypertension management) and report the ICER impact, particularly for the hypertension differential between arms (27.7% vs 17.5%, Table 56).</w:t>
      </w:r>
    </w:p>
    <w:p>
      <w:r>
        <w:rPr>
          <w:b/>
          <w:sz w:val="20"/>
        </w:rPr>
        <w:t xml:space="preserve">Rationale: </w:t>
      </w:r>
      <w:r>
        <w:rPr>
          <w:sz w:val="20"/>
        </w:rPr>
        <w:t>The single-cost assumption is structurally biased against the arm with more high-cost-real-AE incidence and ignores material differences in AE management costs.</w:t>
      </w:r>
    </w:p>
    <w:p>
      <w:r>
        <w:rPr>
          <w:b/>
          <w:sz w:val="22"/>
        </w:rPr>
        <w:t>HE-Merck-34 | End-of-life cost source</w:t>
      </w:r>
    </w:p>
    <w:p>
      <w:r>
        <w:rPr>
          <w:b/>
          <w:sz w:val="20"/>
        </w:rPr>
        <w:t xml:space="preserve">Recipient: </w:t>
      </w:r>
      <w:r>
        <w:rPr>
          <w:sz w:val="20"/>
        </w:rPr>
        <w:t>Merck</w:t>
      </w:r>
    </w:p>
    <w:p>
      <w:r>
        <w:rPr>
          <w:b/>
          <w:sz w:val="20"/>
        </w:rPr>
        <w:t xml:space="preserve">Topic: </w:t>
      </w:r>
      <w:r>
        <w:rPr>
          <w:sz w:val="20"/>
        </w:rPr>
        <w:t>EoL cost</w:t>
      </w:r>
    </w:p>
    <w:p>
      <w:r>
        <w:rPr>
          <w:b/>
          <w:sz w:val="20"/>
        </w:rPr>
        <w:t xml:space="preserve">Question: </w:t>
      </w:r>
      <w:r>
        <w:rPr>
          <w:sz w:val="20"/>
        </w:rPr>
        <w:t>Table 73 uses Round et al. (2015) inflated by PSSRU index to £7,482.71. Provide a scenario using more recent end-of-life cost estimates (e.g., Marie Curie / Nuffield Trust 2022, or Georghiou &amp; Bardsley) and a scenario consistent with the end-of-life cost in TA858 / TA964 (cross-TA consistency).</w:t>
      </w:r>
    </w:p>
    <w:p>
      <w:r>
        <w:rPr>
          <w:b/>
          <w:sz w:val="20"/>
        </w:rPr>
        <w:t xml:space="preserve">Rationale: </w:t>
      </w:r>
      <w:r>
        <w:rPr>
          <w:sz w:val="20"/>
        </w:rPr>
        <w:t>2015 EoL costs may not reflect current pathways and the assumption is shared across both arms but at different timing, so the magnitude matters.</w:t>
      </w:r>
    </w:p>
    <w:p>
      <w:pPr>
        <w:pStyle w:val="Heading3"/>
      </w:pPr>
      <w:r>
        <w:rPr>
          <w:color w:val="1F3864"/>
          <w:sz w:val="24"/>
        </w:rPr>
        <w:t>H. Treatment stopping rules and waning</w:t>
      </w:r>
    </w:p>
    <w:p>
      <w:r>
        <w:rPr>
          <w:b/>
          <w:sz w:val="22"/>
        </w:rPr>
        <w:t>HE-Merck-35 | Treatment effect waning</w:t>
      </w:r>
    </w:p>
    <w:p>
      <w:r>
        <w:rPr>
          <w:b/>
          <w:sz w:val="20"/>
        </w:rPr>
        <w:t xml:space="preserve">Recipient: </w:t>
      </w:r>
      <w:r>
        <w:rPr>
          <w:sz w:val="20"/>
        </w:rPr>
        <w:t>Merck</w:t>
      </w:r>
    </w:p>
    <w:p>
      <w:r>
        <w:rPr>
          <w:b/>
          <w:sz w:val="20"/>
        </w:rPr>
        <w:t xml:space="preserve">Topic: </w:t>
      </w:r>
      <w:r>
        <w:rPr>
          <w:sz w:val="20"/>
        </w:rPr>
        <w:t>Waning</w:t>
      </w:r>
    </w:p>
    <w:p>
      <w:r>
        <w:rPr>
          <w:b/>
          <w:sz w:val="20"/>
        </w:rPr>
        <w:t xml:space="preserve">Question: </w:t>
      </w:r>
      <w:r>
        <w:rPr>
          <w:sz w:val="20"/>
        </w:rPr>
        <w:t>Provide treatment-effect waning scenarios in which the OS hazard ratio between avelumab + axitinib and sunitinib converges to 1 by year 5, year 7 and year 10 after treatment discontinuation (linear taper), and an alternative scenario in which only post-progression OS is subject to waning. Report the ICER impact for each.</w:t>
      </w:r>
    </w:p>
    <w:p>
      <w:r>
        <w:rPr>
          <w:b/>
          <w:sz w:val="20"/>
        </w:rPr>
        <w:t xml:space="preserve">Rationale: </w:t>
      </w:r>
      <w:r>
        <w:rPr>
          <w:sz w:val="20"/>
        </w:rPr>
        <w:t>PMG36 and recent NICE precedent (TA858, TA964) require explicit waning analyses for IO+TKI combinations because durability of immunotherapy benefit beyond treatment discontinuation is uncertain. The submission does not appear to include a waning scenario.</w:t>
      </w:r>
    </w:p>
    <w:p>
      <w:pPr>
        <w:pStyle w:val="Heading3"/>
      </w:pPr>
      <w:r>
        <w:rPr>
          <w:color w:val="1F3864"/>
          <w:sz w:val="24"/>
        </w:rPr>
        <w:t>I. Results presentation</w:t>
      </w:r>
    </w:p>
    <w:p>
      <w:r>
        <w:rPr>
          <w:b/>
          <w:sz w:val="22"/>
        </w:rPr>
        <w:t>HE-Merck-36 | Unredacted base case ICERs</w:t>
      </w:r>
    </w:p>
    <w:p>
      <w:r>
        <w:rPr>
          <w:b/>
          <w:sz w:val="20"/>
        </w:rPr>
        <w:t xml:space="preserve">Recipient: </w:t>
      </w:r>
      <w:r>
        <w:rPr>
          <w:sz w:val="20"/>
        </w:rPr>
        <w:t>Merck</w:t>
      </w:r>
    </w:p>
    <w:p>
      <w:r>
        <w:rPr>
          <w:b/>
          <w:sz w:val="20"/>
        </w:rPr>
        <w:t xml:space="preserve">Topic: </w:t>
      </w:r>
      <w:r>
        <w:rPr>
          <w:sz w:val="20"/>
        </w:rPr>
        <w:t>ICER transparency</w:t>
      </w:r>
    </w:p>
    <w:p>
      <w:r>
        <w:rPr>
          <w:b/>
          <w:sz w:val="20"/>
        </w:rPr>
        <w:t xml:space="preserve">Question: </w:t>
      </w:r>
      <w:r>
        <w:rPr>
          <w:sz w:val="20"/>
        </w:rPr>
        <w:t>Provide unredacted deterministic and probabilistic ICERs versus each comparator (favourable-risk and intermediate-/poor-risk) at the avelumab PAS price, in line with the standard NICE practice of disclosing PAS-discounted ICERs to the EAG (Tables 75–77, 79). Provide also list-price ICERs and the disaggregated incremental costs and QALYs by category (drug acquisition, administration, AE, monitoring, subsequent therapy, EoL) and by health state (PFS, PD), as required by NICE template Appendix J.</w:t>
      </w:r>
    </w:p>
    <w:p>
      <w:r>
        <w:rPr>
          <w:b/>
          <w:sz w:val="20"/>
        </w:rPr>
        <w:t xml:space="preserve">Rationale: </w:t>
      </w:r>
      <w:r>
        <w:rPr>
          <w:sz w:val="20"/>
        </w:rPr>
        <w:t>Tables 75–79 redact most ICERs and incremental NMBs. The EAG must see the actual numerical outputs to verify consistency and reproduce results.</w:t>
      </w:r>
    </w:p>
    <w:p>
      <w:r>
        <w:rPr>
          <w:b/>
          <w:sz w:val="22"/>
        </w:rPr>
        <w:t>HE-Merck-37 | Internal consistency check</w:t>
      </w:r>
    </w:p>
    <w:p>
      <w:r>
        <w:rPr>
          <w:b/>
          <w:sz w:val="20"/>
        </w:rPr>
        <w:t xml:space="preserve">Recipient: </w:t>
      </w:r>
      <w:r>
        <w:rPr>
          <w:sz w:val="20"/>
        </w:rPr>
        <w:t>Merck</w:t>
      </w:r>
    </w:p>
    <w:p>
      <w:r>
        <w:rPr>
          <w:b/>
          <w:sz w:val="20"/>
        </w:rPr>
        <w:t xml:space="preserve">Topic: </w:t>
      </w:r>
      <w:r>
        <w:rPr>
          <w:sz w:val="20"/>
        </w:rPr>
        <w:t>ICER consistency</w:t>
      </w:r>
    </w:p>
    <w:p>
      <w:r>
        <w:rPr>
          <w:b/>
          <w:sz w:val="20"/>
        </w:rPr>
        <w:t xml:space="preserve">Question: </w:t>
      </w:r>
      <w:r>
        <w:rPr>
          <w:sz w:val="20"/>
        </w:rPr>
        <w:t>Confirm that the ICERs reported in the executive summary, Section B.3.8 body text, Table 75 (deterministic), Table 77 (probabilistic), and any scenario tables in Appendix O are mutually consistent. State which is the primary base case for decision-making (deterministic vs probabilistic at PAS price) and reconcile any discrepancies. Note that Section B.3.9.1 acknowledges total costs/QALYs for ave + axi "vary slightly across the results presented" — quantify this variation.</w:t>
      </w:r>
    </w:p>
    <w:p>
      <w:r>
        <w:rPr>
          <w:b/>
          <w:sz w:val="20"/>
        </w:rPr>
        <w:t xml:space="preserve">Rationale: </w:t>
      </w:r>
      <w:r>
        <w:rPr>
          <w:sz w:val="20"/>
        </w:rPr>
        <w:t>Pairwise PSA arrangement can produce inconsistent total costs and QALYs in the same arm across comparisons, which complicates committee interpretation.</w:t>
      </w:r>
    </w:p>
    <w:p>
      <w:r>
        <w:rPr>
          <w:b/>
          <w:sz w:val="22"/>
        </w:rPr>
        <w:t>HE-Merck-38 | Deterministic versus probabilistic divergence</w:t>
      </w:r>
    </w:p>
    <w:p>
      <w:r>
        <w:rPr>
          <w:b/>
          <w:sz w:val="20"/>
        </w:rPr>
        <w:t xml:space="preserve">Recipient: </w:t>
      </w:r>
      <w:r>
        <w:rPr>
          <w:sz w:val="20"/>
        </w:rPr>
        <w:t>Merck</w:t>
      </w:r>
    </w:p>
    <w:p>
      <w:r>
        <w:rPr>
          <w:b/>
          <w:sz w:val="20"/>
        </w:rPr>
        <w:t xml:space="preserve">Topic: </w:t>
      </w:r>
      <w:r>
        <w:rPr>
          <w:sz w:val="20"/>
        </w:rPr>
        <w:t>PSA validity</w:t>
      </w:r>
    </w:p>
    <w:p>
      <w:r>
        <w:rPr>
          <w:b/>
          <w:sz w:val="20"/>
        </w:rPr>
        <w:t xml:space="preserve">Question: </w:t>
      </w:r>
      <w:r>
        <w:rPr>
          <w:sz w:val="20"/>
        </w:rPr>
        <w:t>Quantify the divergence between deterministic and probabilistic LYG/QALY for the sunitinib arm (deterministic 6.45 vs PSA 6.90 LYG, a 7% increase). Provide the source of divergence (curve choice, parameter correlation, distribution sampling) and rerun PSA with curves that do not generate implausible tails (see HE-Merck-13). State which result the EAG should treat as the company base case.</w:t>
      </w:r>
    </w:p>
    <w:p>
      <w:r>
        <w:rPr>
          <w:b/>
          <w:sz w:val="20"/>
        </w:rPr>
        <w:t xml:space="preserve">Rationale: </w:t>
      </w:r>
      <w:r>
        <w:rPr>
          <w:sz w:val="20"/>
        </w:rPr>
        <w:t>A 7% disagreement between deterministic and probabilistic means is itself diagnostic of structural issues in the survival sampling.</w:t>
      </w:r>
    </w:p>
    <w:p>
      <w:pPr>
        <w:pStyle w:val="Heading3"/>
      </w:pPr>
      <w:r>
        <w:rPr>
          <w:color w:val="1F3864"/>
          <w:sz w:val="24"/>
        </w:rPr>
        <w:t>J. Sensitivity and scenario analyses</w:t>
      </w:r>
    </w:p>
    <w:p>
      <w:r>
        <w:rPr>
          <w:b/>
          <w:sz w:val="22"/>
        </w:rPr>
        <w:t>HE-Merck-39 | Comprehensive OWSA tornado</w:t>
      </w:r>
    </w:p>
    <w:p>
      <w:r>
        <w:rPr>
          <w:b/>
          <w:sz w:val="20"/>
        </w:rPr>
        <w:t xml:space="preserve">Recipient: </w:t>
      </w:r>
      <w:r>
        <w:rPr>
          <w:sz w:val="20"/>
        </w:rPr>
        <w:t>Merck</w:t>
      </w:r>
    </w:p>
    <w:p>
      <w:r>
        <w:rPr>
          <w:b/>
          <w:sz w:val="20"/>
        </w:rPr>
        <w:t xml:space="preserve">Topic: </w:t>
      </w:r>
      <w:r>
        <w:rPr>
          <w:sz w:val="20"/>
        </w:rPr>
        <w:t>OWSA scope</w:t>
      </w:r>
    </w:p>
    <w:p>
      <w:r>
        <w:rPr>
          <w:b/>
          <w:sz w:val="20"/>
        </w:rPr>
        <w:t xml:space="preserve">Question: </w:t>
      </w:r>
      <w:r>
        <w:rPr>
          <w:sz w:val="20"/>
        </w:rPr>
        <w:t>Figures 37–39 show only the top 10 parameters. Provide expanded tornado plots showing the top 30 parameters by INMB impact, with the full list of OWSA parameters varied, their base values, ranges, distributional assumptions, and source. Confirm that correlated parameters (survival coefficients) were excluded as stated, and provide a sensitivity table with the ranges used (10% of mean default — provide justification for parameters lacking variance data).</w:t>
      </w:r>
    </w:p>
    <w:p>
      <w:r>
        <w:rPr>
          <w:b/>
          <w:sz w:val="20"/>
        </w:rPr>
        <w:t xml:space="preserve">Rationale: </w:t>
      </w:r>
      <w:r>
        <w:rPr>
          <w:sz w:val="20"/>
        </w:rPr>
        <w:t>PMG36 expects an exhaustive OWSA; the simplifying assumption "SE = 10% of mean" needs to be transparent for every parameter affected.</w:t>
      </w:r>
    </w:p>
    <w:p>
      <w:r>
        <w:rPr>
          <w:b/>
          <w:sz w:val="22"/>
        </w:rPr>
        <w:t>HE-Merck-40 | CEAC at multiple thresholds</w:t>
      </w:r>
    </w:p>
    <w:p>
      <w:r>
        <w:rPr>
          <w:b/>
          <w:sz w:val="20"/>
        </w:rPr>
        <w:t xml:space="preserve">Recipient: </w:t>
      </w:r>
      <w:r>
        <w:rPr>
          <w:sz w:val="20"/>
        </w:rPr>
        <w:t>Merck</w:t>
      </w:r>
    </w:p>
    <w:p>
      <w:r>
        <w:rPr>
          <w:b/>
          <w:sz w:val="20"/>
        </w:rPr>
        <w:t xml:space="preserve">Topic: </w:t>
      </w:r>
      <w:r>
        <w:rPr>
          <w:sz w:val="20"/>
        </w:rPr>
        <w:t>Probabilistic cost-effectiveness</w:t>
      </w:r>
    </w:p>
    <w:p>
      <w:r>
        <w:rPr>
          <w:b/>
          <w:sz w:val="20"/>
        </w:rPr>
        <w:t xml:space="preserve">Question: </w:t>
      </w:r>
      <w:r>
        <w:rPr>
          <w:sz w:val="20"/>
        </w:rPr>
        <w:t>Provide the unredacted probability that avelumab + axitinib is cost-effective at £20,000, £30,000, £50,000 (severity 1.2× multiplier proxy) per QALY for each comparator (sunitinib, tivozanib, pazopanib) at PAS price. Provide the underlying scatter plots and the proportion of PSA iterations in each quadrant of the CE plane.</w:t>
      </w:r>
    </w:p>
    <w:p>
      <w:r>
        <w:rPr>
          <w:b/>
          <w:sz w:val="20"/>
        </w:rPr>
        <w:t xml:space="preserve">Rationale: </w:t>
      </w:r>
      <w:r>
        <w:rPr>
          <w:sz w:val="20"/>
        </w:rPr>
        <w:t>Figures 31–36 present the CEACs and CE planes but the underlying probabilities are not reported numerically.</w:t>
      </w:r>
    </w:p>
    <w:p>
      <w:r>
        <w:rPr>
          <w:b/>
          <w:sz w:val="22"/>
        </w:rPr>
        <w:t>HE-Merck-41 | Non-reference-case discount rates</w:t>
      </w:r>
    </w:p>
    <w:p>
      <w:r>
        <w:rPr>
          <w:b/>
          <w:sz w:val="20"/>
        </w:rPr>
        <w:t xml:space="preserve">Recipient: </w:t>
      </w:r>
      <w:r>
        <w:rPr>
          <w:sz w:val="20"/>
        </w:rPr>
        <w:t>Merck</w:t>
      </w:r>
    </w:p>
    <w:p>
      <w:r>
        <w:rPr>
          <w:b/>
          <w:sz w:val="20"/>
        </w:rPr>
        <w:t xml:space="preserve">Topic: </w:t>
      </w:r>
      <w:r>
        <w:rPr>
          <w:sz w:val="20"/>
        </w:rPr>
        <w:t>Discount rate</w:t>
      </w:r>
    </w:p>
    <w:p>
      <w:r>
        <w:rPr>
          <w:b/>
          <w:sz w:val="20"/>
        </w:rPr>
        <w:t xml:space="preserve">Question: </w:t>
      </w:r>
      <w:r>
        <w:rPr>
          <w:sz w:val="20"/>
        </w:rPr>
        <w:t>Table 78 reports 1.5% and 6.0% discount rate scenarios. State explicitly that the 3.5% reference-case rate is the base case and that the 1.5% scenario is not justified as a primary analysis (per PMG36 Section 4.5, which permits 1.5% only under specific severity/restoration-of-health criteria, not applicable to first-line aRCC with a 65.41% proportional QALY shortfall and no severity modifier per Section B.3.6).</w:t>
      </w:r>
    </w:p>
    <w:p>
      <w:r>
        <w:rPr>
          <w:b/>
          <w:sz w:val="20"/>
        </w:rPr>
        <w:t xml:space="preserve">Rationale: </w:t>
      </w:r>
      <w:r>
        <w:rPr>
          <w:sz w:val="20"/>
        </w:rPr>
        <w:t>PMG36 restricts the use of 1.5% to defined circumstances; presenting it as a scenario should not imply primacy.</w:t>
      </w:r>
    </w:p>
    <w:p>
      <w:pPr>
        <w:pStyle w:val="Heading3"/>
      </w:pPr>
      <w:r>
        <w:rPr>
          <w:color w:val="1F3864"/>
          <w:sz w:val="24"/>
        </w:rPr>
        <w:t>K. Subgroups</w:t>
      </w:r>
    </w:p>
    <w:p>
      <w:r>
        <w:rPr>
          <w:b/>
          <w:sz w:val="22"/>
        </w:rPr>
        <w:t>HE-Merck-42 | Favourable-risk subgroup full uncertainty</w:t>
      </w:r>
    </w:p>
    <w:p>
      <w:r>
        <w:rPr>
          <w:b/>
          <w:sz w:val="20"/>
        </w:rPr>
        <w:t xml:space="preserve">Recipient: </w:t>
      </w:r>
      <w:r>
        <w:rPr>
          <w:sz w:val="20"/>
        </w:rPr>
        <w:t>Merck</w:t>
      </w:r>
    </w:p>
    <w:p>
      <w:r>
        <w:rPr>
          <w:b/>
          <w:sz w:val="20"/>
        </w:rPr>
        <w:t xml:space="preserve">Topic: </w:t>
      </w:r>
      <w:r>
        <w:rPr>
          <w:sz w:val="20"/>
        </w:rPr>
        <w:t>Subgroup uncertainty</w:t>
      </w:r>
    </w:p>
    <w:p>
      <w:r>
        <w:rPr>
          <w:b/>
          <w:sz w:val="20"/>
        </w:rPr>
        <w:t xml:space="preserve">Question: </w:t>
      </w:r>
      <w:r>
        <w:rPr>
          <w:sz w:val="20"/>
        </w:rPr>
        <w:t>Confirm whether all PSA, OWSA and scenario analyses in Section B.3.9 reflect the favourable-risk subgroup specifically (n=190 in JAVELIN Renal 101), or are drawn from the ITT population in any way (e.g., AE rates in Table 56 are stated to be ITT). Re-run the PSA with all parameters sampled from the favourable-risk subgroup where applicable.</w:t>
      </w:r>
    </w:p>
    <w:p>
      <w:r>
        <w:rPr>
          <w:b/>
          <w:sz w:val="20"/>
        </w:rPr>
        <w:t xml:space="preserve">Rationale: </w:t>
      </w:r>
      <w:r>
        <w:rPr>
          <w:sz w:val="20"/>
        </w:rPr>
        <w:t>AE rates are ITT-derived (Table 56) and applied to a favourable-risk base case — this is an inconsistency that may bias the comparator AE cost.</w:t>
      </w:r>
    </w:p>
    <w:p>
      <w:r>
        <w:rPr>
          <w:b/>
          <w:sz w:val="22"/>
        </w:rPr>
        <w:t>HE-Merck-43 | Intermediate-/poor-risk subgroup analyses</w:t>
      </w:r>
    </w:p>
    <w:p>
      <w:r>
        <w:rPr>
          <w:b/>
          <w:sz w:val="20"/>
        </w:rPr>
        <w:t xml:space="preserve">Recipient: </w:t>
      </w:r>
      <w:r>
        <w:rPr>
          <w:sz w:val="20"/>
        </w:rPr>
        <w:t>Merck</w:t>
      </w:r>
    </w:p>
    <w:p>
      <w:r>
        <w:rPr>
          <w:b/>
          <w:sz w:val="20"/>
        </w:rPr>
        <w:t xml:space="preserve">Topic: </w:t>
      </w:r>
      <w:r>
        <w:rPr>
          <w:sz w:val="20"/>
        </w:rPr>
        <w:t>Subgroup analyses</w:t>
      </w:r>
    </w:p>
    <w:p>
      <w:r>
        <w:rPr>
          <w:b/>
          <w:sz w:val="20"/>
        </w:rPr>
        <w:t xml:space="preserve">Question: </w:t>
      </w:r>
      <w:r>
        <w:rPr>
          <w:sz w:val="20"/>
        </w:rPr>
        <w:t>Provide for each of the seven intermediate-/poor-risk comparators a full deterministic ICER (Table 79 unredacted), PSA, OWSA tornado, scenario set (matching the favourable-risk scenario set in Table 78), CEAC and CE plane. Confirm whether the warning in Section B.3.10 about heterogeneity also applies to TKI comparisons within this subgroup or only to IO comparisons.</w:t>
      </w:r>
    </w:p>
    <w:p>
      <w:r>
        <w:rPr>
          <w:b/>
          <w:sz w:val="20"/>
        </w:rPr>
        <w:t xml:space="preserve">Rationale: </w:t>
      </w:r>
      <w:r>
        <w:rPr>
          <w:sz w:val="20"/>
        </w:rPr>
        <w:t>Section B.3.10 caveats the subgroup but still provides headline ICERs; the EAG and committee need full uncertainty characterisation to take any decision on this subgroup.</w:t>
      </w:r>
    </w:p>
    <w:p>
      <w:r>
        <w:rPr>
          <w:b/>
          <w:sz w:val="22"/>
        </w:rPr>
        <w:t>HE-Merck-44 | ITT analysis</w:t>
      </w:r>
    </w:p>
    <w:p>
      <w:r>
        <w:rPr>
          <w:b/>
          <w:sz w:val="20"/>
        </w:rPr>
        <w:t xml:space="preserve">Recipient: </w:t>
      </w:r>
      <w:r>
        <w:rPr>
          <w:sz w:val="20"/>
        </w:rPr>
        <w:t>Merck</w:t>
      </w:r>
    </w:p>
    <w:p>
      <w:r>
        <w:rPr>
          <w:b/>
          <w:sz w:val="20"/>
        </w:rPr>
        <w:t xml:space="preserve">Topic: </w:t>
      </w:r>
      <w:r>
        <w:rPr>
          <w:sz w:val="20"/>
        </w:rPr>
        <w:t>ITT analysis</w:t>
      </w:r>
    </w:p>
    <w:p>
      <w:r>
        <w:rPr>
          <w:b/>
          <w:sz w:val="20"/>
        </w:rPr>
        <w:t xml:space="preserve">Question: </w:t>
      </w:r>
      <w:r>
        <w:rPr>
          <w:sz w:val="20"/>
        </w:rPr>
        <w:t>Section B.3.2.1 states ITT results are provided in Appendix O. Confirm whether the ITT analysis is a sensitivity or a decision-relevant analysis, and report the headline ICER and incremental QALY for each scope-listed comparator at PAS price.</w:t>
      </w:r>
    </w:p>
    <w:p>
      <w:r>
        <w:rPr>
          <w:b/>
          <w:sz w:val="20"/>
        </w:rPr>
        <w:t xml:space="preserve">Rationale: </w:t>
      </w:r>
      <w:r>
        <w:rPr>
          <w:sz w:val="20"/>
        </w:rPr>
        <w:t>Although the company de-prioritises ITT, the NICE final scope population is "Adults with untreated advanced renal cell carcinoma" without subgroup restriction; the ITT case remains decision-relevant.</w:t>
      </w:r>
    </w:p>
    <w:p>
      <w:pPr>
        <w:pStyle w:val="Heading3"/>
      </w:pPr>
      <w:r>
        <w:rPr>
          <w:color w:val="1F3864"/>
          <w:sz w:val="24"/>
        </w:rPr>
        <w:t>L. Validation</w:t>
      </w:r>
    </w:p>
    <w:p>
      <w:r>
        <w:rPr>
          <w:b/>
          <w:sz w:val="22"/>
        </w:rPr>
        <w:t>HE-Merck-45 | Model validation</w:t>
      </w:r>
    </w:p>
    <w:p>
      <w:r>
        <w:rPr>
          <w:b/>
          <w:sz w:val="20"/>
        </w:rPr>
        <w:t xml:space="preserve">Recipient: </w:t>
      </w:r>
      <w:r>
        <w:rPr>
          <w:sz w:val="20"/>
        </w:rPr>
        <w:t>Merck</w:t>
      </w:r>
    </w:p>
    <w:p>
      <w:r>
        <w:rPr>
          <w:b/>
          <w:sz w:val="20"/>
        </w:rPr>
        <w:t xml:space="preserve">Topic: </w:t>
      </w:r>
      <w:r>
        <w:rPr>
          <w:sz w:val="20"/>
        </w:rPr>
        <w:t>Validation</w:t>
      </w:r>
    </w:p>
    <w:p>
      <w:r>
        <w:rPr>
          <w:b/>
          <w:sz w:val="20"/>
        </w:rPr>
        <w:t xml:space="preserve">Question: </w:t>
      </w:r>
      <w:r>
        <w:rPr>
          <w:sz w:val="20"/>
        </w:rPr>
        <w:t>Section B.3.12 describes internal QC and three clinical expert consultations. Provide: (i) the completed ISPOR-SMDM validation checklist (face validity, internal validity, cross-validity vs prior TA645 model, external validity vs SACT, UK ROC, NDRS and other UK registry data); (ii) calibration plots of modelled sunitinib OS (favourable-risk) versus the SACT first-line TKI monotherapy cohort (Frazer et al. 2024) and the IMDC original favourable-risk cohort; and (iii) named clinical experts, declared conflicts of interest, the elicitation method used, and full transcripts/summaries of their input.</w:t>
      </w:r>
    </w:p>
    <w:p>
      <w:r>
        <w:rPr>
          <w:b/>
          <w:sz w:val="20"/>
        </w:rPr>
        <w:t xml:space="preserve">Rationale: </w:t>
      </w:r>
      <w:r>
        <w:rPr>
          <w:sz w:val="20"/>
        </w:rPr>
        <w:t>PMG36 and the NICE TA template Appendix J require structured validation; the current description is informal and unverifiable.</w:t>
      </w:r>
    </w:p>
    <w:p>
      <w:r>
        <w:rPr>
          <w:b/>
          <w:sz w:val="22"/>
        </w:rPr>
        <w:t>HE-Merck-46 | External calibration to SACT</w:t>
      </w:r>
    </w:p>
    <w:p>
      <w:r>
        <w:rPr>
          <w:b/>
          <w:sz w:val="20"/>
        </w:rPr>
        <w:t xml:space="preserve">Recipient: </w:t>
      </w:r>
      <w:r>
        <w:rPr>
          <w:sz w:val="20"/>
        </w:rPr>
        <w:t>Merck</w:t>
      </w:r>
    </w:p>
    <w:p>
      <w:r>
        <w:rPr>
          <w:b/>
          <w:sz w:val="20"/>
        </w:rPr>
        <w:t xml:space="preserve">Topic: </w:t>
      </w:r>
      <w:r>
        <w:rPr>
          <w:sz w:val="20"/>
        </w:rPr>
        <w:t>External validity</w:t>
      </w:r>
    </w:p>
    <w:p>
      <w:r>
        <w:rPr>
          <w:b/>
          <w:sz w:val="20"/>
        </w:rPr>
        <w:t xml:space="preserve">Question: </w:t>
      </w:r>
      <w:r>
        <w:rPr>
          <w:sz w:val="20"/>
        </w:rPr>
        <w:t>The SACT dataset on avelumab + axitinib was collected under the CDF managed access agreement (Section B.2.8). Provide the SACT-derived OS and TTD for the avelumab + axitinib favourable-risk subgroup (or all-comers, as available) and compare against the modelled curves at 6, 12, 18, 24, 36 and 48 months (consistent with Tables 23, 24). Discuss any discrepancy and its implications for the favourable-risk extrapolation.</w:t>
      </w:r>
    </w:p>
    <w:p>
      <w:r>
        <w:rPr>
          <w:b/>
          <w:sz w:val="20"/>
        </w:rPr>
        <w:t xml:space="preserve">Rationale: </w:t>
      </w:r>
      <w:r>
        <w:rPr>
          <w:sz w:val="20"/>
        </w:rPr>
        <w:t>The MA review exists precisely to test trial extrapolations against real-world UK data; this calibration must be made explicit in the economic model.</w:t>
      </w:r>
    </w:p>
    <w:p>
      <w:pPr>
        <w:pStyle w:val="Heading3"/>
      </w:pPr>
      <w:r>
        <w:rPr>
          <w:color w:val="1F3864"/>
          <w:sz w:val="24"/>
        </w:rPr>
        <w:t>M. NICE reference case and cross-TA consistency</w:t>
      </w:r>
    </w:p>
    <w:p>
      <w:r>
        <w:rPr>
          <w:b/>
          <w:sz w:val="22"/>
        </w:rPr>
        <w:t>HE-Merck-47 | Cross-TA comparison</w:t>
      </w:r>
    </w:p>
    <w:p>
      <w:r>
        <w:rPr>
          <w:b/>
          <w:sz w:val="20"/>
        </w:rPr>
        <w:t xml:space="preserve">Recipient: </w:t>
      </w:r>
      <w:r>
        <w:rPr>
          <w:sz w:val="20"/>
        </w:rPr>
        <w:t>Merck</w:t>
      </w:r>
    </w:p>
    <w:p>
      <w:r>
        <w:rPr>
          <w:b/>
          <w:sz w:val="20"/>
        </w:rPr>
        <w:t xml:space="preserve">Topic: </w:t>
      </w:r>
      <w:r>
        <w:rPr>
          <w:sz w:val="20"/>
        </w:rPr>
        <w:t>Cross-TA consistency</w:t>
      </w:r>
    </w:p>
    <w:p>
      <w:r>
        <w:rPr>
          <w:b/>
          <w:sz w:val="20"/>
        </w:rPr>
        <w:t xml:space="preserve">Question: </w:t>
      </w:r>
      <w:r>
        <w:rPr>
          <w:sz w:val="20"/>
        </w:rPr>
        <w:t>Provide a structured cross-TA comparison table benchmarking the key model inputs of this submission against TA645 (prior avelumab + axitinib), TA858 (lenvatinib + pembrolizumab), TA964 (cabozantinib + nivolumab) and TA780 (nivolumab + ipilimumab) on the following dimensions: model structure, cycle length, time horizon, OS/PFS curves, utility values (PF, PD), AE handling, RDI, subsequent therapy approach, EoL cost, discounting, and treatment waning. Identify and justify each departure from prior precedent.</w:t>
      </w:r>
    </w:p>
    <w:p>
      <w:r>
        <w:rPr>
          <w:b/>
          <w:sz w:val="20"/>
        </w:rPr>
        <w:t xml:space="preserve">Rationale: </w:t>
      </w:r>
      <w:r>
        <w:rPr>
          <w:sz w:val="20"/>
        </w:rPr>
        <w:t>Cross-TA consistency is a routine EAG requirement to identify outlier modelling choices.</w:t>
      </w:r>
    </w:p>
    <w:p>
      <w:pPr>
        <w:pStyle w:val="Heading3"/>
      </w:pPr>
      <w:r>
        <w:rPr>
          <w:color w:val="1F3864"/>
          <w:sz w:val="24"/>
        </w:rPr>
        <w:t>N. Managed access and equality</w:t>
      </w:r>
    </w:p>
    <w:p>
      <w:r>
        <w:rPr>
          <w:b/>
          <w:sz w:val="22"/>
        </w:rPr>
        <w:t>HE-Merck-48 | Routine vs managed access entry and exit criteria</w:t>
      </w:r>
    </w:p>
    <w:p>
      <w:r>
        <w:rPr>
          <w:b/>
          <w:sz w:val="20"/>
        </w:rPr>
        <w:t xml:space="preserve">Recipient: </w:t>
      </w:r>
      <w:r>
        <w:rPr>
          <w:sz w:val="20"/>
        </w:rPr>
        <w:t>Merck</w:t>
      </w:r>
    </w:p>
    <w:p>
      <w:r>
        <w:rPr>
          <w:b/>
          <w:sz w:val="20"/>
        </w:rPr>
        <w:t xml:space="preserve">Topic: </w:t>
      </w:r>
      <w:r>
        <w:rPr>
          <w:sz w:val="20"/>
        </w:rPr>
        <w:t>Recommendation modality</w:t>
      </w:r>
    </w:p>
    <w:p>
      <w:r>
        <w:rPr>
          <w:b/>
          <w:sz w:val="20"/>
        </w:rPr>
        <w:t xml:space="preserve">Question: </w:t>
      </w:r>
      <w:r>
        <w:rPr>
          <w:sz w:val="20"/>
        </w:rPr>
        <w:t>State explicitly whether Merck is seeking: (a) routine commissioning recommendation (favourable-risk and/or intermediate-/poor-risk), (b) Cancer Drugs Fund / managed access reinstatement, or (c) something else. If managed access is sought, define the proposed data collection set, the exit criteria for the new MA review, and the decision-uncertainty rationale.</w:t>
      </w:r>
    </w:p>
    <w:p>
      <w:r>
        <w:rPr>
          <w:b/>
          <w:sz w:val="20"/>
        </w:rPr>
        <w:t xml:space="preserve">Rationale: </w:t>
      </w:r>
      <w:r>
        <w:rPr>
          <w:sz w:val="20"/>
        </w:rPr>
        <w:t>TA645 placed avelumab + axitinib in the CDF; the current MA review must resolve that uncertainty. The submission does not explicitly state the requested commissioning modality in the cost-effectiveness section.</w:t>
      </w:r>
    </w:p>
    <w:p>
      <w:pPr>
        <w:pStyle w:val="Heading3"/>
      </w:pPr>
      <w:r>
        <w:rPr>
          <w:color w:val="1F3864"/>
          <w:sz w:val="24"/>
        </w:rPr>
        <w:t>O. Reproducibility and final checks</w:t>
      </w:r>
    </w:p>
    <w:p>
      <w:r>
        <w:rPr>
          <w:b/>
          <w:sz w:val="22"/>
        </w:rPr>
        <w:t>HE-Merck-49 | Full results reproducibility</w:t>
      </w:r>
    </w:p>
    <w:p>
      <w:r>
        <w:rPr>
          <w:b/>
          <w:sz w:val="20"/>
        </w:rPr>
        <w:t xml:space="preserve">Recipient: </w:t>
      </w:r>
      <w:r>
        <w:rPr>
          <w:sz w:val="20"/>
        </w:rPr>
        <w:t>Merck</w:t>
      </w:r>
    </w:p>
    <w:p>
      <w:r>
        <w:rPr>
          <w:b/>
          <w:sz w:val="20"/>
        </w:rPr>
        <w:t xml:space="preserve">Topic: </w:t>
      </w:r>
      <w:r>
        <w:rPr>
          <w:sz w:val="20"/>
        </w:rPr>
        <w:t>Reproducibility</w:t>
      </w:r>
    </w:p>
    <w:p>
      <w:r>
        <w:rPr>
          <w:b/>
          <w:sz w:val="20"/>
        </w:rPr>
        <w:t xml:space="preserve">Question: </w:t>
      </w:r>
      <w:r>
        <w:rPr>
          <w:sz w:val="20"/>
        </w:rPr>
        <w:t>Confirm that, using the submitted executable model with the supplied seeds and inputs, the EAG can reproduce, cell-exact: Table 75 (deterministic), Table 76 (NHB), Table 77 (probabilistic), Table 78 (scenarios) and Table 79 (intermediate-/poor-risk subgroup). State any results that are not fully reproducible from the model alone and provide the supporting workbook/script files for those.</w:t>
      </w:r>
    </w:p>
    <w:p>
      <w:r>
        <w:rPr>
          <w:b/>
          <w:sz w:val="20"/>
        </w:rPr>
        <w:t xml:space="preserve">Rationale: </w:t>
      </w:r>
      <w:r>
        <w:rPr>
          <w:sz w:val="20"/>
        </w:rPr>
        <w:t>Standard PMG36 requirement.</w:t>
      </w:r>
    </w:p>
    <w:p>
      <w:r>
        <w:rPr>
          <w:b/>
          <w:sz w:val="22"/>
        </w:rPr>
        <w:t>HE-Merck-50 | Severity modifier and proportional QALY shortfall</w:t>
      </w:r>
    </w:p>
    <w:p>
      <w:r>
        <w:rPr>
          <w:b/>
          <w:sz w:val="20"/>
        </w:rPr>
        <w:t xml:space="preserve">Recipient: </w:t>
      </w:r>
      <w:r>
        <w:rPr>
          <w:sz w:val="20"/>
        </w:rPr>
        <w:t>Merck</w:t>
      </w:r>
    </w:p>
    <w:p>
      <w:r>
        <w:rPr>
          <w:b/>
          <w:sz w:val="20"/>
        </w:rPr>
        <w:t xml:space="preserve">Topic: </w:t>
      </w:r>
      <w:r>
        <w:rPr>
          <w:sz w:val="20"/>
        </w:rPr>
        <w:t>Severity</w:t>
      </w:r>
    </w:p>
    <w:p>
      <w:r>
        <w:rPr>
          <w:b/>
          <w:sz w:val="20"/>
        </w:rPr>
        <w:t xml:space="preserve">Question: </w:t>
      </w:r>
      <w:r>
        <w:rPr>
          <w:sz w:val="20"/>
        </w:rPr>
        <w:t>Section B.3.6 calculates absolute and proportional QALY shortfalls of 8.04 and 65.41% for favourable-risk and confirms no severity modifier applies. Provide the equivalent calculation for the intermediate-/poor-risk subgroup and the ITT population (referenced as in Appendix O). Confirm the source of expected lifetime QALYs for the equivalent general population (Schneider R-Shiny tool inputs) and identify the disease-cohort QALY input — recompute using the modelled QALYs from the current submission rather than literature.</w:t>
      </w:r>
    </w:p>
    <w:p>
      <w:r>
        <w:rPr>
          <w:b/>
          <w:sz w:val="20"/>
        </w:rPr>
        <w:t xml:space="preserve">Rationale: </w:t>
      </w:r>
      <w:r>
        <w:rPr>
          <w:sz w:val="20"/>
        </w:rPr>
        <w:t>Severity weighting may differ across subgroups and affect the decision threshold; the calculation logic must be transparent.</w:t>
      </w:r>
    </w:p>
    <w:p>
      <w:r>
        <w:rPr>
          <w:b/>
          <w:sz w:val="22"/>
        </w:rPr>
        <w:t>Question count</w:t>
      </w:r>
    </w:p>
    <w:p>
      <w:pPr>
        <w:pStyle w:val="ListBullet"/>
      </w:pPr>
      <w:r>
        <w:rPr>
          <w:sz w:val="20"/>
        </w:rPr>
        <w:t>HE-Merck: 50</w:t>
      </w:r>
    </w:p>
    <w:p>
      <w:r>
        <w:rPr>
          <w:sz w:val="20"/>
        </w:rPr>
        <w:t>Total clarification questions: 50</w:t>
      </w:r>
    </w:p>
    <w:p>
      <w:r>
        <w:br w:type="page"/>
      </w:r>
    </w:p>
    <w:p>
      <w:pPr>
        <w:pStyle w:val="Heading2"/>
      </w:pPr>
      <w:r>
        <w:rPr>
          <w:color w:val="1F3864"/>
          <w:sz w:val="28"/>
        </w:rPr>
        <w:t>A.4 Information specialist questions</w:t>
      </w:r>
    </w:p>
    <w:p>
      <w:r>
        <w:rPr>
          <w:b/>
          <w:sz w:val="20"/>
        </w:rPr>
        <w:t xml:space="preserve">Appraisal: </w:t>
      </w:r>
      <w:r>
        <w:rPr>
          <w:sz w:val="20"/>
        </w:rPr>
        <w:t>TA1120 — Avelumab + axitinib for untreated advanced RCC (MA review of TA645)</w:t>
      </w:r>
    </w:p>
    <w:p>
      <w:r>
        <w:rPr>
          <w:b/>
          <w:sz w:val="20"/>
        </w:rPr>
        <w:t xml:space="preserve">Author role: </w:t>
      </w:r>
      <w:r>
        <w:rPr>
          <w:sz w:val="20"/>
        </w:rPr>
        <w:t>EAG Information Specialist / Systematic Review Methodologist</w:t>
      </w:r>
    </w:p>
    <w:p>
      <w:r>
        <w:rPr>
          <w:b/>
          <w:sz w:val="20"/>
        </w:rPr>
        <w:t xml:space="preserve">Recipient: </w:t>
      </w:r>
      <w:r>
        <w:rPr>
          <w:sz w:val="20"/>
        </w:rPr>
        <w:t>Merck</w:t>
      </w:r>
    </w:p>
    <w:p>
      <w:pPr>
        <w:pStyle w:val="Heading3"/>
      </w:pPr>
      <w:r>
        <w:rPr>
          <w:color w:val="1F3864"/>
          <w:sz w:val="24"/>
        </w:rPr>
        <w:t>A. CLINICAL SLR — PROCESS, REPORTING AND PRISMA COMPLIANCE</w:t>
      </w:r>
    </w:p>
    <w:p>
      <w:r>
        <w:rPr>
          <w:b/>
          <w:sz w:val="22"/>
        </w:rPr>
        <w:t>INFO-Merck-1</w:t>
      </w:r>
    </w:p>
    <w:p>
      <w:pPr>
        <w:pStyle w:val="ListBullet"/>
      </w:pPr>
      <w:r>
        <w:rPr>
          <w:b/>
          <w:sz w:val="20"/>
        </w:rPr>
        <w:t xml:space="preserve">Recipient: </w:t>
      </w:r>
      <w:r>
        <w:rPr>
          <w:sz w:val="20"/>
        </w:rPr>
        <w:t>Merck</w:t>
      </w:r>
    </w:p>
    <w:p>
      <w:pPr>
        <w:pStyle w:val="ListBullet"/>
      </w:pPr>
      <w:r>
        <w:rPr>
          <w:b/>
          <w:sz w:val="20"/>
        </w:rPr>
        <w:t xml:space="preserve">Topic: </w:t>
      </w:r>
      <w:r>
        <w:rPr>
          <w:sz w:val="20"/>
        </w:rPr>
        <w:t>Provision of Appendix D (clinical SLR / RWE SLR methods and results)</w:t>
      </w:r>
    </w:p>
    <w:p>
      <w:pPr>
        <w:pStyle w:val="ListBullet"/>
      </w:pPr>
      <w:r>
        <w:rPr>
          <w:b/>
          <w:sz w:val="20"/>
        </w:rPr>
        <w:t xml:space="preserve">Question: </w:t>
      </w:r>
      <w:r>
        <w:rPr>
          <w:sz w:val="20"/>
        </w:rPr>
        <w:t>Confirm that Appendix D — referenced in Sections B.2.1, B.2.5, B.2.8 and B.2.10 as containing the full clinical SLR methodology, real-world evidence SLR methodology, PRISMA flow diagrams and risk-of-bias outputs — has been submitted to NICE in unredacted form. If the document is not currently in the EAG's possession, provide it together with all sub-appendices and date-stamped search audit trails.</w:t>
      </w:r>
    </w:p>
    <w:p>
      <w:pPr>
        <w:pStyle w:val="ListBullet"/>
      </w:pPr>
      <w:r>
        <w:rPr>
          <w:b/>
          <w:sz w:val="20"/>
        </w:rPr>
        <w:t xml:space="preserve">Rationale: </w:t>
      </w:r>
      <w:r>
        <w:rPr>
          <w:sz w:val="20"/>
        </w:rPr>
        <w:t>PRISMA 2020 (item 7) and PRISMA-S (items 1–16) require that the full review protocol, search strategies and database outputs be publicly available; NICE Methods Guide PMG36 (Section 3.1) requires the EAG to be able to verify the SLR methods used to populate the network.</w:t>
      </w:r>
    </w:p>
    <w:p>
      <w:r>
        <w:rPr>
          <w:b/>
          <w:sz w:val="22"/>
        </w:rPr>
        <w:t>INFO-Merck-2</w:t>
      </w:r>
    </w:p>
    <w:p>
      <w:pPr>
        <w:pStyle w:val="ListBullet"/>
      </w:pPr>
      <w:r>
        <w:rPr>
          <w:b/>
          <w:sz w:val="20"/>
        </w:rPr>
        <w:t xml:space="preserve">Recipient: </w:t>
      </w:r>
      <w:r>
        <w:rPr>
          <w:sz w:val="20"/>
        </w:rPr>
        <w:t>Merck</w:t>
      </w:r>
    </w:p>
    <w:p>
      <w:pPr>
        <w:pStyle w:val="ListBullet"/>
      </w:pPr>
      <w:r>
        <w:rPr>
          <w:b/>
          <w:sz w:val="20"/>
        </w:rPr>
        <w:t xml:space="preserve">Topic: </w:t>
      </w:r>
      <w:r>
        <w:rPr>
          <w:sz w:val="20"/>
        </w:rPr>
        <w:t>Protocol registration of the clinical SLR</w:t>
      </w:r>
    </w:p>
    <w:p>
      <w:pPr>
        <w:pStyle w:val="ListBullet"/>
      </w:pPr>
      <w:r>
        <w:rPr>
          <w:b/>
          <w:sz w:val="20"/>
        </w:rPr>
        <w:t xml:space="preserve">Question: </w:t>
      </w:r>
      <w:r>
        <w:rPr>
          <w:sz w:val="20"/>
        </w:rPr>
        <w:t>Provide the PROSPERO (or equivalent) registration number and full date-stamped protocol (and any amendments) for the original 2018 clinical SLR and for each of the five subsequent updates referenced in Section B.2.10.1. If no prospective registration exists, explicitly state this and provide a contemporaneous review protocol for each iteration.</w:t>
      </w:r>
    </w:p>
    <w:p>
      <w:pPr>
        <w:pStyle w:val="ListBullet"/>
      </w:pPr>
      <w:r>
        <w:rPr>
          <w:b/>
          <w:sz w:val="20"/>
        </w:rPr>
        <w:t xml:space="preserve">Rationale: </w:t>
      </w:r>
      <w:r>
        <w:rPr>
          <w:sz w:val="20"/>
        </w:rPr>
        <w:t>PRISMA 2020 item 24a explicitly requires registration details; Cochrane Handbook Chapter 1 §1.5 and CRD guidance (2009, Stage 1 Box 1.1) both require an *a priori* protocol to mitigate post hoc decisions on inclusion.</w:t>
      </w:r>
    </w:p>
    <w:p>
      <w:r>
        <w:rPr>
          <w:b/>
          <w:sz w:val="22"/>
        </w:rPr>
        <w:t>INFO-Merck-3</w:t>
      </w:r>
    </w:p>
    <w:p>
      <w:pPr>
        <w:pStyle w:val="ListBullet"/>
      </w:pPr>
      <w:r>
        <w:rPr>
          <w:b/>
          <w:sz w:val="20"/>
        </w:rPr>
        <w:t xml:space="preserve">Recipient: </w:t>
      </w:r>
      <w:r>
        <w:rPr>
          <w:sz w:val="20"/>
        </w:rPr>
        <w:t>Merck</w:t>
      </w:r>
    </w:p>
    <w:p>
      <w:pPr>
        <w:pStyle w:val="ListBullet"/>
      </w:pPr>
      <w:r>
        <w:rPr>
          <w:b/>
          <w:sz w:val="20"/>
        </w:rPr>
        <w:t xml:space="preserve">Topic: </w:t>
      </w:r>
      <w:r>
        <w:rPr>
          <w:sz w:val="20"/>
        </w:rPr>
        <w:t>Line-by-line search strategies — clinical SLR</w:t>
      </w:r>
    </w:p>
    <w:p>
      <w:pPr>
        <w:pStyle w:val="ListBullet"/>
      </w:pPr>
      <w:r>
        <w:rPr>
          <w:b/>
          <w:sz w:val="20"/>
        </w:rPr>
        <w:t xml:space="preserve">Question: </w:t>
      </w:r>
      <w:r>
        <w:rPr>
          <w:sz w:val="20"/>
        </w:rPr>
        <w:t>Provide the complete Boolean search strategy used for every database searched (at minimum MEDLINE, Embase, the Cochrane Central Register of Controlled Trials [CENTRAL] and the Cochrane Database of Systematic Reviews [CDSR]) for: (a) the original 2018 search; (b) each of the five updates; (c) the most recent 13 May 2024 search; and (d) the 4 June 2024 search referenced in Section B.2.1. Strategies should be reported line-by-line, with field tags (.ti., .ab., .tw., /), MeSH/Emtree terms (with explosions noted), free-text terms, truncation, proximity operators, Boolean combination, and the number of hits per line. Confirm the host interface used (Ovid SP, EBSCO, Wiley etc.).</w:t>
      </w:r>
    </w:p>
    <w:p>
      <w:pPr>
        <w:pStyle w:val="ListBullet"/>
      </w:pPr>
      <w:r>
        <w:rPr>
          <w:b/>
          <w:sz w:val="20"/>
        </w:rPr>
        <w:t xml:space="preserve">Rationale: </w:t>
      </w:r>
      <w:r>
        <w:rPr>
          <w:sz w:val="20"/>
        </w:rPr>
        <w:t>PRISMA-S items 6–8 require full presentation of search strategies for each database/interface; Cochrane Handbook Chapter 4 §4.4.4 mandates verbatim, line-by-line strategy reporting so the search is reproducible.</w:t>
      </w:r>
    </w:p>
    <w:p>
      <w:r>
        <w:rPr>
          <w:b/>
          <w:sz w:val="22"/>
        </w:rPr>
        <w:t>INFO-Merck-4</w:t>
      </w:r>
    </w:p>
    <w:p>
      <w:pPr>
        <w:pStyle w:val="ListBullet"/>
      </w:pPr>
      <w:r>
        <w:rPr>
          <w:b/>
          <w:sz w:val="20"/>
        </w:rPr>
        <w:t xml:space="preserve">Recipient: </w:t>
      </w:r>
      <w:r>
        <w:rPr>
          <w:sz w:val="20"/>
        </w:rPr>
        <w:t>Merck</w:t>
      </w:r>
    </w:p>
    <w:p>
      <w:pPr>
        <w:pStyle w:val="ListBullet"/>
      </w:pPr>
      <w:r>
        <w:rPr>
          <w:b/>
          <w:sz w:val="20"/>
        </w:rPr>
        <w:t xml:space="preserve">Topic: </w:t>
      </w:r>
      <w:r>
        <w:rPr>
          <w:sz w:val="20"/>
        </w:rPr>
        <w:t>Trial registry and grey-literature searching</w:t>
      </w:r>
    </w:p>
    <w:p>
      <w:pPr>
        <w:pStyle w:val="ListBullet"/>
      </w:pPr>
      <w:r>
        <w:rPr>
          <w:b/>
          <w:sz w:val="20"/>
        </w:rPr>
        <w:t xml:space="preserve">Question: </w:t>
      </w:r>
      <w:r>
        <w:rPr>
          <w:sz w:val="20"/>
        </w:rPr>
        <w:t>Confirm and document searches of ClinicalTrials.gov, EU Clinical Trials Register (EU CTR/CTIS), WHO ICTRP and ISRCTN. For each registry, provide: (a) the precise search terms; (b) date of search; (c) date range; (d) number of records identified; (e) screening outcomes. Repeat the request for conference proceedings — at minimum ASCO, ASCO GU, ESMO, ESMO Asia, IKCS — including the year ranges and follow-up procedure for abstracts whose full publications were subsequently identified.</w:t>
      </w:r>
    </w:p>
    <w:p>
      <w:pPr>
        <w:pStyle w:val="ListBullet"/>
      </w:pPr>
      <w:r>
        <w:rPr>
          <w:b/>
          <w:sz w:val="20"/>
        </w:rPr>
        <w:t xml:space="preserve">Rationale: </w:t>
      </w:r>
      <w:r>
        <w:rPr>
          <w:sz w:val="20"/>
        </w:rPr>
        <w:t>PRISMA-S items 5 and 11; Cochrane Handbook Chapter 4 §4.3.3 — handsearching and registry searching are required to mitigate publication bias in NMAs of immuno-oncology evidence where pivotal data are often first reported at congress.</w:t>
      </w:r>
    </w:p>
    <w:p>
      <w:r>
        <w:rPr>
          <w:b/>
          <w:sz w:val="22"/>
        </w:rPr>
        <w:t>INFO-Merck-5</w:t>
      </w:r>
    </w:p>
    <w:p>
      <w:pPr>
        <w:pStyle w:val="ListBullet"/>
      </w:pPr>
      <w:r>
        <w:rPr>
          <w:b/>
          <w:sz w:val="20"/>
        </w:rPr>
        <w:t xml:space="preserve">Recipient: </w:t>
      </w:r>
      <w:r>
        <w:rPr>
          <w:sz w:val="20"/>
        </w:rPr>
        <w:t>Merck</w:t>
      </w:r>
    </w:p>
    <w:p>
      <w:pPr>
        <w:pStyle w:val="ListBullet"/>
      </w:pPr>
      <w:r>
        <w:rPr>
          <w:b/>
          <w:sz w:val="20"/>
        </w:rPr>
        <w:t xml:space="preserve">Topic: </w:t>
      </w:r>
      <w:r>
        <w:rPr>
          <w:sz w:val="20"/>
        </w:rPr>
        <w:t>Date limits and gap to submission</w:t>
      </w:r>
    </w:p>
    <w:p>
      <w:pPr>
        <w:pStyle w:val="ListBullet"/>
      </w:pPr>
      <w:r>
        <w:rPr>
          <w:b/>
          <w:sz w:val="20"/>
        </w:rPr>
        <w:t xml:space="preserve">Question: </w:t>
      </w:r>
      <w:r>
        <w:rPr>
          <w:sz w:val="20"/>
        </w:rPr>
        <w:t>State the start date of the database coverage for each source, the end date of the most recent search, and the elapsed time between this final search and the cut-off for evidence used in the submission (7 November 2024 dossier; 21 February 2025 v3.0). Where the gap exceeds 6 months, confirm whether an "awareness check" was performed for any new pivotal trials, updates or post-licensing analyses of comparator therapies (e.g., TA964 cabozantinib + nivolumab CheckMate 9ER updates; CLEAR updates; CheckMate 214 long-term follow-up).</w:t>
      </w:r>
    </w:p>
    <w:p>
      <w:pPr>
        <w:pStyle w:val="ListBullet"/>
      </w:pPr>
      <w:r>
        <w:rPr>
          <w:b/>
          <w:sz w:val="20"/>
        </w:rPr>
        <w:t xml:space="preserve">Rationale: </w:t>
      </w:r>
      <w:r>
        <w:rPr>
          <w:sz w:val="20"/>
        </w:rPr>
        <w:t>PRISMA 2020 item 7; Cochrane Handbook Chapter 4 §4.4.9 advises updating searches within 12 months of submission; NICE PMG36 requires the EAG to assess currency of evidence base.</w:t>
      </w:r>
    </w:p>
    <w:p>
      <w:r>
        <w:rPr>
          <w:b/>
          <w:sz w:val="22"/>
        </w:rPr>
        <w:t>INFO-Merck-6</w:t>
      </w:r>
    </w:p>
    <w:p>
      <w:pPr>
        <w:pStyle w:val="ListBullet"/>
      </w:pPr>
      <w:r>
        <w:rPr>
          <w:b/>
          <w:sz w:val="20"/>
        </w:rPr>
        <w:t xml:space="preserve">Recipient: </w:t>
      </w:r>
      <w:r>
        <w:rPr>
          <w:sz w:val="20"/>
        </w:rPr>
        <w:t>Merck</w:t>
      </w:r>
    </w:p>
    <w:p>
      <w:pPr>
        <w:pStyle w:val="ListBullet"/>
      </w:pPr>
      <w:r>
        <w:rPr>
          <w:b/>
          <w:sz w:val="20"/>
        </w:rPr>
        <w:t xml:space="preserve">Topic: </w:t>
      </w:r>
      <w:r>
        <w:rPr>
          <w:sz w:val="20"/>
        </w:rPr>
        <w:t>Language and publication-type restrictions</w:t>
      </w:r>
    </w:p>
    <w:p>
      <w:pPr>
        <w:pStyle w:val="ListBullet"/>
      </w:pPr>
      <w:r>
        <w:rPr>
          <w:b/>
          <w:sz w:val="20"/>
        </w:rPr>
        <w:t xml:space="preserve">Question: </w:t>
      </w:r>
      <w:r>
        <w:rPr>
          <w:sz w:val="20"/>
        </w:rPr>
        <w:t>State explicitly whether any language, publication-type, geographic or study-design restrictions were applied at search or at screening for the clinical SLR, RWE SLR, cost-effectiveness SLR, HRQoL/utility SLR and resource-use/cost SLR. If restrictions were applied, justify each one and quantify the potential exclusion bias (e.g., the number of non-English citations excluded at title/abstract stage).</w:t>
      </w:r>
    </w:p>
    <w:p>
      <w:pPr>
        <w:pStyle w:val="ListBullet"/>
      </w:pPr>
      <w:r>
        <w:rPr>
          <w:b/>
          <w:sz w:val="20"/>
        </w:rPr>
        <w:t xml:space="preserve">Rationale: </w:t>
      </w:r>
      <w:r>
        <w:rPr>
          <w:sz w:val="20"/>
        </w:rPr>
        <w:t>PRISMA-S item 9; Cochrane Handbook Chapter 4 §4.4.5 — language restrictions in oncology SLRs can introduce systematic bias particularly for Asian / Eastern European trials relevant to the aRCC NMA (e.g., RAVE-Renal, J-DART).</w:t>
      </w:r>
    </w:p>
    <w:p>
      <w:r>
        <w:rPr>
          <w:b/>
          <w:sz w:val="22"/>
        </w:rPr>
        <w:t>INFO-Merck-7</w:t>
      </w:r>
    </w:p>
    <w:p>
      <w:pPr>
        <w:pStyle w:val="ListBullet"/>
      </w:pPr>
      <w:r>
        <w:rPr>
          <w:b/>
          <w:sz w:val="20"/>
        </w:rPr>
        <w:t xml:space="preserve">Recipient: </w:t>
      </w:r>
      <w:r>
        <w:rPr>
          <w:sz w:val="20"/>
        </w:rPr>
        <w:t>Merck</w:t>
      </w:r>
    </w:p>
    <w:p>
      <w:pPr>
        <w:pStyle w:val="ListBullet"/>
      </w:pPr>
      <w:r>
        <w:rPr>
          <w:b/>
          <w:sz w:val="20"/>
        </w:rPr>
        <w:t xml:space="preserve">Topic: </w:t>
      </w:r>
      <w:r>
        <w:rPr>
          <w:sz w:val="20"/>
        </w:rPr>
        <w:t>Two-reviewer methodology</w:t>
      </w:r>
    </w:p>
    <w:p>
      <w:pPr>
        <w:pStyle w:val="ListBullet"/>
      </w:pPr>
      <w:r>
        <w:rPr>
          <w:b/>
          <w:sz w:val="20"/>
        </w:rPr>
        <w:t xml:space="preserve">Question: </w:t>
      </w:r>
      <w:r>
        <w:rPr>
          <w:sz w:val="20"/>
        </w:rPr>
        <w:t>For each stage (title/abstract screening, full-text screening, data extraction and risk-of-bias assessment) of the clinical SLR, RWE SLR and each economic SLR, confirm: (a) that two reviewers worked independently; (b) the procedure used to resolve disagreements (third reviewer, consensus, etc.); (c) inter-rater reliability statistics (kappa) where available; and (d) the reviewers' affiliations (Merck, vendor/CRO, or independent).</w:t>
      </w:r>
    </w:p>
    <w:p>
      <w:pPr>
        <w:pStyle w:val="ListBullet"/>
      </w:pPr>
      <w:r>
        <w:rPr>
          <w:b/>
          <w:sz w:val="20"/>
        </w:rPr>
        <w:t xml:space="preserve">Rationale: </w:t>
      </w:r>
      <w:r>
        <w:rPr>
          <w:sz w:val="20"/>
        </w:rPr>
        <w:t>PRISMA 2020 items 8 and 10a; Cochrane Handbook Chapter 5 §5.4 — single-reviewer screening is associated with a documented loss of 8–13% of eligible records.</w:t>
      </w:r>
    </w:p>
    <w:p>
      <w:r>
        <w:rPr>
          <w:b/>
          <w:sz w:val="22"/>
        </w:rPr>
        <w:t>INFO-Merck-8</w:t>
      </w:r>
    </w:p>
    <w:p>
      <w:pPr>
        <w:pStyle w:val="ListBullet"/>
      </w:pPr>
      <w:r>
        <w:rPr>
          <w:b/>
          <w:sz w:val="20"/>
        </w:rPr>
        <w:t xml:space="preserve">Recipient: </w:t>
      </w:r>
      <w:r>
        <w:rPr>
          <w:sz w:val="20"/>
        </w:rPr>
        <w:t>Merck</w:t>
      </w:r>
    </w:p>
    <w:p>
      <w:pPr>
        <w:pStyle w:val="ListBullet"/>
      </w:pPr>
      <w:r>
        <w:rPr>
          <w:b/>
          <w:sz w:val="20"/>
        </w:rPr>
        <w:t xml:space="preserve">Topic: </w:t>
      </w:r>
      <w:r>
        <w:rPr>
          <w:sz w:val="20"/>
        </w:rPr>
        <w:t>PRISMA 2020 flow diagram — clinical SLR</w:t>
      </w:r>
    </w:p>
    <w:p>
      <w:pPr>
        <w:pStyle w:val="ListBullet"/>
      </w:pPr>
      <w:r>
        <w:rPr>
          <w:b/>
          <w:sz w:val="20"/>
        </w:rPr>
        <w:t xml:space="preserve">Question: </w:t>
      </w:r>
      <w:r>
        <w:rPr>
          <w:sz w:val="20"/>
        </w:rPr>
        <w:t>Provide a PRISMA 2020 flow diagram for the clinical SLR (per database and combined) for: (a) the original 2018 review; (b) each of the five updates; and (c) the final 13 May 2024 / 4 June 2024 search. At each stage, give numerical counts and exclusion reasons, including the breakdown by reason at full-text screening. State explicitly how the 56 + 19 = 75 unique studies map to the 273 + 196 = 469 publications referenced in Section B.2.10.1.</w:t>
      </w:r>
    </w:p>
    <w:p>
      <w:pPr>
        <w:pStyle w:val="ListBullet"/>
      </w:pPr>
      <w:r>
        <w:rPr>
          <w:b/>
          <w:sz w:val="20"/>
        </w:rPr>
        <w:t xml:space="preserve">Rationale: </w:t>
      </w:r>
      <w:r>
        <w:rPr>
          <w:sz w:val="20"/>
        </w:rPr>
        <w:t>PRISMA 2020 item 16a — flow diagrams should be presented per search and per database to support transparency in updated reviews.</w:t>
      </w:r>
    </w:p>
    <w:p>
      <w:r>
        <w:rPr>
          <w:b/>
          <w:sz w:val="22"/>
        </w:rPr>
        <w:t>INFO-Merck-9</w:t>
      </w:r>
    </w:p>
    <w:p>
      <w:pPr>
        <w:pStyle w:val="ListBullet"/>
      </w:pPr>
      <w:r>
        <w:rPr>
          <w:b/>
          <w:sz w:val="20"/>
        </w:rPr>
        <w:t xml:space="preserve">Recipient: </w:t>
      </w:r>
      <w:r>
        <w:rPr>
          <w:sz w:val="20"/>
        </w:rPr>
        <w:t>Merck</w:t>
      </w:r>
    </w:p>
    <w:p>
      <w:pPr>
        <w:pStyle w:val="ListBullet"/>
      </w:pPr>
      <w:r>
        <w:rPr>
          <w:b/>
          <w:sz w:val="20"/>
        </w:rPr>
        <w:t xml:space="preserve">Topic: </w:t>
      </w:r>
      <w:r>
        <w:rPr>
          <w:sz w:val="20"/>
        </w:rPr>
        <w:t>Characteristics of included studies</w:t>
      </w:r>
    </w:p>
    <w:p>
      <w:pPr>
        <w:pStyle w:val="ListBullet"/>
      </w:pPr>
      <w:r>
        <w:rPr>
          <w:b/>
          <w:sz w:val="20"/>
        </w:rPr>
        <w:t xml:space="preserve">Question: </w:t>
      </w:r>
      <w:r>
        <w:rPr>
          <w:sz w:val="20"/>
        </w:rPr>
        <w:t>Provide a single consolidated characteristics-of-included-studies table covering all 75 unique studies identified by the clinical SLR. The table should report — at minimum — citation, design, country, sample size, IMDC risk distribution, interventions, comparators, outcomes reported, follow-up, censoring rule, blinding, and reason for inclusion or exclusion in the NMA network.</w:t>
      </w:r>
    </w:p>
    <w:p>
      <w:pPr>
        <w:pStyle w:val="ListBullet"/>
      </w:pPr>
      <w:r>
        <w:rPr>
          <w:b/>
          <w:sz w:val="20"/>
        </w:rPr>
        <w:t xml:space="preserve">Rationale: </w:t>
      </w:r>
      <w:r>
        <w:rPr>
          <w:sz w:val="20"/>
        </w:rPr>
        <w:t>PRISMA 2020 item 17; Cochrane Handbook Chapter 5 §5.5 — required for the EAG to audit the selection of the five studies (CABOSUN, CheckMate 9ER, CheckMate 214, CLEAR, JAVELIN Renal 101) that informed the NMA.</w:t>
      </w:r>
    </w:p>
    <w:p>
      <w:r>
        <w:rPr>
          <w:b/>
          <w:sz w:val="22"/>
        </w:rPr>
        <w:t>INFO-Merck-10</w:t>
      </w:r>
    </w:p>
    <w:p>
      <w:pPr>
        <w:pStyle w:val="ListBullet"/>
      </w:pPr>
      <w:r>
        <w:rPr>
          <w:b/>
          <w:sz w:val="20"/>
        </w:rPr>
        <w:t xml:space="preserve">Recipient: </w:t>
      </w:r>
      <w:r>
        <w:rPr>
          <w:sz w:val="20"/>
        </w:rPr>
        <w:t>Merck</w:t>
      </w:r>
    </w:p>
    <w:p>
      <w:pPr>
        <w:pStyle w:val="ListBullet"/>
      </w:pPr>
      <w:r>
        <w:rPr>
          <w:b/>
          <w:sz w:val="20"/>
        </w:rPr>
        <w:t xml:space="preserve">Topic: </w:t>
      </w:r>
      <w:r>
        <w:rPr>
          <w:sz w:val="20"/>
        </w:rPr>
        <w:t>Characteristics of excluded studies</w:t>
      </w:r>
    </w:p>
    <w:p>
      <w:pPr>
        <w:pStyle w:val="ListBullet"/>
      </w:pPr>
      <w:r>
        <w:rPr>
          <w:b/>
          <w:sz w:val="20"/>
        </w:rPr>
        <w:t xml:space="preserve">Question: </w:t>
      </w:r>
      <w:r>
        <w:rPr>
          <w:sz w:val="20"/>
        </w:rPr>
        <w:t>Provide a characteristics-of-excluded-studies table at full-text stage with the reason for exclusion mapped to the pre-specified PICOS criteria. In particular, account for the following potentially relevant trials — KEYNOTE-426 (pembrolizumab + axitinib), COSMIC-313, CheckMate 8Y8, NIVOSWITCH, and any post-2024 updates of the cabozantinib + nivolumab and lenvatinib + pembrolizumab evidence base — explaining whether they were considered, screened and (if excluded) the reason.</w:t>
      </w:r>
    </w:p>
    <w:p>
      <w:pPr>
        <w:pStyle w:val="ListBullet"/>
      </w:pPr>
      <w:r>
        <w:rPr>
          <w:b/>
          <w:sz w:val="20"/>
        </w:rPr>
        <w:t xml:space="preserve">Rationale: </w:t>
      </w:r>
      <w:r>
        <w:rPr>
          <w:sz w:val="20"/>
        </w:rPr>
        <w:t>PRISMA 2020 item 17; PRISMA-NMA item S5 — required to test the completeness of the network.</w:t>
      </w:r>
    </w:p>
    <w:p>
      <w:r>
        <w:rPr>
          <w:b/>
          <w:sz w:val="22"/>
        </w:rPr>
        <w:t>INFO-Merck-11</w:t>
      </w:r>
    </w:p>
    <w:p>
      <w:pPr>
        <w:pStyle w:val="ListBullet"/>
      </w:pPr>
      <w:r>
        <w:rPr>
          <w:b/>
          <w:sz w:val="20"/>
        </w:rPr>
        <w:t xml:space="preserve">Recipient: </w:t>
      </w:r>
      <w:r>
        <w:rPr>
          <w:sz w:val="20"/>
        </w:rPr>
        <w:t>Merck</w:t>
      </w:r>
    </w:p>
    <w:p>
      <w:pPr>
        <w:pStyle w:val="ListBullet"/>
      </w:pPr>
      <w:r>
        <w:rPr>
          <w:b/>
          <w:sz w:val="20"/>
        </w:rPr>
        <w:t xml:space="preserve">Topic: </w:t>
      </w:r>
      <w:r>
        <w:rPr>
          <w:sz w:val="20"/>
        </w:rPr>
        <w:t>Risk-of-bias / quality assessment tool — clinical SLR</w:t>
      </w:r>
    </w:p>
    <w:p>
      <w:pPr>
        <w:pStyle w:val="ListBullet"/>
      </w:pPr>
      <w:r>
        <w:rPr>
          <w:b/>
          <w:sz w:val="20"/>
        </w:rPr>
        <w:t xml:space="preserve">Question: </w:t>
      </w:r>
      <w:r>
        <w:rPr>
          <w:sz w:val="20"/>
        </w:rPr>
        <w:t>Section B.2.5 reports use of the NICE checklist (based on CRD guidance) for JAVELIN Renal 101 only. Confirm and provide: (a) the tool used to assess risk of bias for *all* studies in the clinical SLR (including CABOSUN, CheckMate 9ER, CheckMate 214 and CLEAR informing the NMA); (b) the per-study completed RoB forms; (c) a study-by-study traffic-light summary; and (d) the rationale for choosing this tool rather than Cochrane RoB 2.0, which is the contemporary standard.</w:t>
      </w:r>
    </w:p>
    <w:p>
      <w:pPr>
        <w:pStyle w:val="ListBullet"/>
      </w:pPr>
      <w:r>
        <w:rPr>
          <w:b/>
          <w:sz w:val="20"/>
        </w:rPr>
        <w:t xml:space="preserve">Rationale: </w:t>
      </w:r>
      <w:r>
        <w:rPr>
          <w:sz w:val="20"/>
        </w:rPr>
        <w:t>PRISMA 2020 item 11; Cochrane Handbook Chapter 8 §8.2 (RoB 2.0 is preferred for RCTs); NICE PMG36 §3.1.20 requires quality assessment of all evidence informing the comparison.</w:t>
      </w:r>
    </w:p>
    <w:p>
      <w:r>
        <w:rPr>
          <w:b/>
          <w:sz w:val="22"/>
        </w:rPr>
        <w:t>INFO-Merck-12</w:t>
      </w:r>
    </w:p>
    <w:p>
      <w:pPr>
        <w:pStyle w:val="ListBullet"/>
      </w:pPr>
      <w:r>
        <w:rPr>
          <w:b/>
          <w:sz w:val="20"/>
        </w:rPr>
        <w:t xml:space="preserve">Recipient: </w:t>
      </w:r>
      <w:r>
        <w:rPr>
          <w:sz w:val="20"/>
        </w:rPr>
        <w:t>Merck</w:t>
      </w:r>
    </w:p>
    <w:p>
      <w:pPr>
        <w:pStyle w:val="ListBullet"/>
      </w:pPr>
      <w:r>
        <w:rPr>
          <w:b/>
          <w:sz w:val="20"/>
        </w:rPr>
        <w:t xml:space="preserve">Topic: </w:t>
      </w:r>
      <w:r>
        <w:rPr>
          <w:sz w:val="20"/>
        </w:rPr>
        <w:t>Risk-of-bias for RWE</w:t>
      </w:r>
    </w:p>
    <w:p>
      <w:pPr>
        <w:pStyle w:val="ListBullet"/>
      </w:pPr>
      <w:r>
        <w:rPr>
          <w:b/>
          <w:sz w:val="20"/>
        </w:rPr>
        <w:t xml:space="preserve">Question: </w:t>
      </w:r>
      <w:r>
        <w:rPr>
          <w:sz w:val="20"/>
        </w:rPr>
        <w:t>Provide the risk-of-bias / quality-assessment instrument used for the nine RWE studies identified by the RWE SLR (Section B.2.8) — including Nathan 2024 (EAMS), McGrane 2024 (UK ROC), Allison 2021, Fenton 2023, RAVE-Renal, the three Japanese studies and the US Adelphi DSP study. ROBINS-I or the NICE-RWE Framework (2022) checklist are the relevant standards. Provide the per-study completed forms.</w:t>
      </w:r>
    </w:p>
    <w:p>
      <w:pPr>
        <w:pStyle w:val="ListBullet"/>
      </w:pPr>
      <w:r>
        <w:rPr>
          <w:b/>
          <w:sz w:val="20"/>
        </w:rPr>
        <w:t xml:space="preserve">Rationale: </w:t>
      </w:r>
      <w:r>
        <w:rPr>
          <w:sz w:val="20"/>
        </w:rPr>
        <w:t>Cochrane Handbook Chapter 25 (non-randomised studies); NICE RWE Framework (June 2022) §4 — quality assessment of observational evidence is required where it is being used to validate trial findings and inform decision-making.</w:t>
      </w:r>
    </w:p>
    <w:p>
      <w:r>
        <w:rPr>
          <w:b/>
          <w:sz w:val="22"/>
        </w:rPr>
        <w:t>INFO-Merck-13</w:t>
      </w:r>
    </w:p>
    <w:p>
      <w:pPr>
        <w:pStyle w:val="ListBullet"/>
      </w:pPr>
      <w:r>
        <w:rPr>
          <w:b/>
          <w:sz w:val="20"/>
        </w:rPr>
        <w:t xml:space="preserve">Recipient: </w:t>
      </w:r>
      <w:r>
        <w:rPr>
          <w:sz w:val="20"/>
        </w:rPr>
        <w:t>Merck</w:t>
      </w:r>
    </w:p>
    <w:p>
      <w:pPr>
        <w:pStyle w:val="ListBullet"/>
      </w:pPr>
      <w:r>
        <w:rPr>
          <w:b/>
          <w:sz w:val="20"/>
        </w:rPr>
        <w:t xml:space="preserve">Topic: </w:t>
      </w:r>
      <w:r>
        <w:rPr>
          <w:sz w:val="20"/>
        </w:rPr>
        <w:t>Publication bias / small-study effects</w:t>
      </w:r>
    </w:p>
    <w:p>
      <w:pPr>
        <w:pStyle w:val="ListBullet"/>
      </w:pPr>
      <w:r>
        <w:rPr>
          <w:b/>
          <w:sz w:val="20"/>
        </w:rPr>
        <w:t xml:space="preserve">Question: </w:t>
      </w:r>
      <w:r>
        <w:rPr>
          <w:sz w:val="20"/>
        </w:rPr>
        <w:t>Provide a comparison-adjusted funnel plot (Chaimani et al. 2013) per outcome (OS, PFS) and a formal small-study-effect / publication-bias test, or provide an explicit, justified reason why such analysis is not feasible given the network structure.</w:t>
      </w:r>
    </w:p>
    <w:p>
      <w:pPr>
        <w:pStyle w:val="ListBullet"/>
      </w:pPr>
      <w:r>
        <w:rPr>
          <w:b/>
          <w:sz w:val="20"/>
        </w:rPr>
        <w:t xml:space="preserve">Rationale: </w:t>
      </w:r>
      <w:r>
        <w:rPr>
          <w:sz w:val="20"/>
        </w:rPr>
        <w:t>PRISMA-NMA item S6; NICE DSU TSD 2 §3.5 — publication bias should be examined in NMA where possible, with a transparent statement when not feasible.</w:t>
      </w:r>
    </w:p>
    <w:p>
      <w:pPr>
        <w:pStyle w:val="Heading3"/>
      </w:pPr>
      <w:r>
        <w:rPr>
          <w:color w:val="1F3864"/>
          <w:sz w:val="24"/>
        </w:rPr>
        <w:t>B. NMA INCLUSION CRITERIA, FEASIBILITY AND TRANSITIVITY</w:t>
      </w:r>
    </w:p>
    <w:p>
      <w:r>
        <w:rPr>
          <w:b/>
          <w:sz w:val="22"/>
        </w:rPr>
        <w:t>INFO-Merck-14</w:t>
      </w:r>
    </w:p>
    <w:p>
      <w:pPr>
        <w:pStyle w:val="ListBullet"/>
      </w:pPr>
      <w:r>
        <w:rPr>
          <w:b/>
          <w:sz w:val="20"/>
        </w:rPr>
        <w:t xml:space="preserve">Recipient: </w:t>
      </w:r>
      <w:r>
        <w:rPr>
          <w:sz w:val="20"/>
        </w:rPr>
        <w:t>Merck</w:t>
      </w:r>
    </w:p>
    <w:p>
      <w:pPr>
        <w:pStyle w:val="ListBullet"/>
      </w:pPr>
      <w:r>
        <w:rPr>
          <w:b/>
          <w:sz w:val="20"/>
        </w:rPr>
        <w:t xml:space="preserve">Topic: </w:t>
      </w:r>
      <w:r>
        <w:rPr>
          <w:sz w:val="20"/>
        </w:rPr>
        <w:t>PICOS for the NMA — distinct from the SLR</w:t>
      </w:r>
    </w:p>
    <w:p>
      <w:pPr>
        <w:pStyle w:val="ListBullet"/>
      </w:pPr>
      <w:r>
        <w:rPr>
          <w:b/>
          <w:sz w:val="20"/>
        </w:rPr>
        <w:t xml:space="preserve">Question: </w:t>
      </w:r>
      <w:r>
        <w:rPr>
          <w:sz w:val="20"/>
        </w:rPr>
        <w:t>Explicitly tabulate the PICOS inclusion criteria applied to the NMA stage (which may legitimately be narrower than the SLR PICOS). For each criterion (population — IMDC risk classification; intervention; comparator; outcome — including censoring rule, BICR vs investigator assessment; study design — RCT only or quasi-experimental; minimum follow-up), state the criterion, the rationale, and reference the supporting NICE DSU TSD or ISPOR guidance.</w:t>
      </w:r>
    </w:p>
    <w:p>
      <w:pPr>
        <w:pStyle w:val="ListBullet"/>
      </w:pPr>
      <w:r>
        <w:rPr>
          <w:b/>
          <w:sz w:val="20"/>
        </w:rPr>
        <w:t xml:space="preserve">Rationale: </w:t>
      </w:r>
      <w:r>
        <w:rPr>
          <w:sz w:val="20"/>
        </w:rPr>
        <w:t>PRISMA-NMA item 6; ISPOR Jansen et al. 2014 — the criteria for inclusion in the synthesis should be transparent and pre-specified; the EAG cannot otherwise audit which of the 75 SLR studies were eligible for the network and which were excluded *post hoc*.</w:t>
      </w:r>
    </w:p>
    <w:p>
      <w:r>
        <w:rPr>
          <w:b/>
          <w:sz w:val="22"/>
        </w:rPr>
        <w:t>INFO-Merck-15</w:t>
      </w:r>
    </w:p>
    <w:p>
      <w:pPr>
        <w:pStyle w:val="ListBullet"/>
      </w:pPr>
      <w:r>
        <w:rPr>
          <w:b/>
          <w:sz w:val="20"/>
        </w:rPr>
        <w:t xml:space="preserve">Recipient: </w:t>
      </w:r>
      <w:r>
        <w:rPr>
          <w:sz w:val="20"/>
        </w:rPr>
        <w:t>Merck</w:t>
      </w:r>
    </w:p>
    <w:p>
      <w:pPr>
        <w:pStyle w:val="ListBullet"/>
      </w:pPr>
      <w:r>
        <w:rPr>
          <w:b/>
          <w:sz w:val="20"/>
        </w:rPr>
        <w:t xml:space="preserve">Topic: </w:t>
      </w:r>
      <w:r>
        <w:rPr>
          <w:sz w:val="20"/>
        </w:rPr>
        <w:t>Trial-by-trial NMA inclusion/exclusion table</w:t>
      </w:r>
    </w:p>
    <w:p>
      <w:pPr>
        <w:pStyle w:val="ListBullet"/>
      </w:pPr>
      <w:r>
        <w:rPr>
          <w:b/>
          <w:sz w:val="20"/>
        </w:rPr>
        <w:t xml:space="preserve">Question: </w:t>
      </w:r>
      <w:r>
        <w:rPr>
          <w:sz w:val="20"/>
        </w:rPr>
        <w:t>Provide a trial-by-trial table for every study identified by the clinical SLR (n = 75) showing — for each — whether the study was included in the NMA and, if not, the specific reason mapped to the NMA PICOS in INFO-Merck-14. In particular, justify the exclusion from the network of: KEYNOTE-426 (pembrolizumab + axitinib — TA650); studies of tivozanib (TA512) and pazopanib (TA215) which are listed in the final scope as comparators; and any pembrolizumab + axitinib studies in the intermediate-/poor-risk subgroup.</w:t>
      </w:r>
    </w:p>
    <w:p>
      <w:pPr>
        <w:pStyle w:val="ListBullet"/>
      </w:pPr>
      <w:r>
        <w:rPr>
          <w:b/>
          <w:sz w:val="20"/>
        </w:rPr>
        <w:t xml:space="preserve">Rationale: </w:t>
      </w:r>
      <w:r>
        <w:rPr>
          <w:sz w:val="20"/>
        </w:rPr>
        <w:t>Final scope (September 2024) lists pazopanib, sunitinib and tivozanib as comparators across all risk groups, and additionally cabozantinib, nivolumab + ipilimumab, lenvatinib + pembrolizumab and cabozantinib + nivolumab for the intermediate-/poor-risk subgroup. The NICE scope must be addressed in full unless a fully justified exclusion is provided (PMG36 §3.1.6).</w:t>
      </w:r>
    </w:p>
    <w:p>
      <w:r>
        <w:rPr>
          <w:b/>
          <w:sz w:val="22"/>
        </w:rPr>
        <w:t>INFO-Merck-16</w:t>
      </w:r>
    </w:p>
    <w:p>
      <w:pPr>
        <w:pStyle w:val="ListBullet"/>
      </w:pPr>
      <w:r>
        <w:rPr>
          <w:b/>
          <w:sz w:val="20"/>
        </w:rPr>
        <w:t xml:space="preserve">Recipient: </w:t>
      </w:r>
      <w:r>
        <w:rPr>
          <w:sz w:val="20"/>
        </w:rPr>
        <w:t>Merck</w:t>
      </w:r>
    </w:p>
    <w:p>
      <w:pPr>
        <w:pStyle w:val="ListBullet"/>
      </w:pPr>
      <w:r>
        <w:rPr>
          <w:b/>
          <w:sz w:val="20"/>
        </w:rPr>
        <w:t xml:space="preserve">Topic: </w:t>
      </w:r>
      <w:r>
        <w:rPr>
          <w:sz w:val="20"/>
        </w:rPr>
        <w:t>Feasibility / transitivity assessment</w:t>
      </w:r>
    </w:p>
    <w:p>
      <w:pPr>
        <w:pStyle w:val="ListBullet"/>
      </w:pPr>
      <w:r>
        <w:rPr>
          <w:b/>
          <w:sz w:val="20"/>
        </w:rPr>
        <w:t xml:space="preserve">Question: </w:t>
      </w:r>
      <w:r>
        <w:rPr>
          <w:sz w:val="20"/>
        </w:rPr>
        <w:t>Section B.2.10.2 reports a feasibility assessment but the document presents only a one-paragraph PH discussion and a network diagram. Provide a full transitivity / feasibility assessment table comparing — across the five trials in the network — distributions of: (a) IMDC risk subgroup composition (% intermediate vs % poor in each pooled "intermediate-/poor-risk" arm); (b) prior nephrectomy rate; (c) histology (clear cell vs non-clear cell); (d) sarcomatoid features; (e) PD-L1 status; (f) ECOG PS distribution; (g) sites of metastatic disease; (h) censoring rules for PFS (BICR vs investigator); (i) outcome definitions; (j) minimum follow-up at the data-cut used; and (k) subsequent therapy patterns. Discuss the implication of differences for the exchangeability assumption.</w:t>
      </w:r>
    </w:p>
    <w:p>
      <w:pPr>
        <w:pStyle w:val="ListBullet"/>
      </w:pPr>
      <w:r>
        <w:rPr>
          <w:b/>
          <w:sz w:val="20"/>
        </w:rPr>
        <w:t xml:space="preserve">Rationale: </w:t>
      </w:r>
      <w:r>
        <w:rPr>
          <w:sz w:val="20"/>
        </w:rPr>
        <w:t>PRISMA-NMA item S2; NICE DSU TSD 2 §2.4 and TSD 3 §2 — transitivity is the foundational assumption of indirect comparison; differential pooling of intermediate and poor risk across trials is a known source of heterogeneity in aRCC.</w:t>
      </w:r>
    </w:p>
    <w:p>
      <w:r>
        <w:rPr>
          <w:b/>
          <w:sz w:val="22"/>
        </w:rPr>
        <w:t>INFO-Merck-17</w:t>
      </w:r>
    </w:p>
    <w:p>
      <w:pPr>
        <w:pStyle w:val="ListBullet"/>
      </w:pPr>
      <w:r>
        <w:rPr>
          <w:b/>
          <w:sz w:val="20"/>
        </w:rPr>
        <w:t xml:space="preserve">Recipient: </w:t>
      </w:r>
      <w:r>
        <w:rPr>
          <w:sz w:val="20"/>
        </w:rPr>
        <w:t>Merck</w:t>
      </w:r>
    </w:p>
    <w:p>
      <w:pPr>
        <w:pStyle w:val="ListBullet"/>
      </w:pPr>
      <w:r>
        <w:rPr>
          <w:b/>
          <w:sz w:val="20"/>
        </w:rPr>
        <w:t xml:space="preserve">Topic: </w:t>
      </w:r>
      <w:r>
        <w:rPr>
          <w:sz w:val="20"/>
        </w:rPr>
        <w:t>Proportional hazards assessment</w:t>
      </w:r>
    </w:p>
    <w:p>
      <w:pPr>
        <w:pStyle w:val="ListBullet"/>
      </w:pPr>
      <w:r>
        <w:rPr>
          <w:b/>
          <w:sz w:val="20"/>
        </w:rPr>
        <w:t xml:space="preserve">Question: </w:t>
      </w:r>
      <w:r>
        <w:rPr>
          <w:sz w:val="20"/>
        </w:rPr>
        <w:t>Provide the full PH assessment results referenced as Appendix N. For each outcome (OS, PFS) and each trial × arm, provide: (a) log–log plots; (b) Schoenfeld residuals or equivalent test; (c) p-values for tests of the PH assumption; (d) a justification for whether PH holds. Where PH is uncertain, justify why a fractional-polynomial NMA (Jansen 2011), accelerated-failure-time NMA, or piecewise-constant-hazard NMA was not used as in TA858, TA780 and TA964.</w:t>
      </w:r>
    </w:p>
    <w:p>
      <w:pPr>
        <w:pStyle w:val="ListBullet"/>
      </w:pPr>
      <w:r>
        <w:rPr>
          <w:b/>
          <w:sz w:val="20"/>
        </w:rPr>
        <w:t xml:space="preserve">Rationale: </w:t>
      </w:r>
      <w:r>
        <w:rPr>
          <w:sz w:val="20"/>
        </w:rPr>
        <w:t>NICE DSU TSD 14; NICE DSU TSD 19 (FP NMA); TA858 Committee preferred PH but accepted that the assumption was uncertain — the EAG must be able to verify the company's choice.</w:t>
      </w:r>
    </w:p>
    <w:p>
      <w:r>
        <w:rPr>
          <w:b/>
          <w:sz w:val="22"/>
        </w:rPr>
        <w:t>INFO-Merck-18</w:t>
      </w:r>
    </w:p>
    <w:p>
      <w:pPr>
        <w:pStyle w:val="ListBullet"/>
      </w:pPr>
      <w:r>
        <w:rPr>
          <w:b/>
          <w:sz w:val="20"/>
        </w:rPr>
        <w:t xml:space="preserve">Recipient: </w:t>
      </w:r>
      <w:r>
        <w:rPr>
          <w:sz w:val="20"/>
        </w:rPr>
        <w:t>Merck</w:t>
      </w:r>
    </w:p>
    <w:p>
      <w:pPr>
        <w:pStyle w:val="ListBullet"/>
      </w:pPr>
      <w:r>
        <w:rPr>
          <w:b/>
          <w:sz w:val="20"/>
        </w:rPr>
        <w:t xml:space="preserve">Topic: </w:t>
      </w:r>
      <w:r>
        <w:rPr>
          <w:sz w:val="20"/>
        </w:rPr>
        <w:t>Fixed-effects vs random-effects model</w:t>
      </w:r>
    </w:p>
    <w:p>
      <w:pPr>
        <w:pStyle w:val="ListBullet"/>
      </w:pPr>
      <w:r>
        <w:rPr>
          <w:b/>
          <w:sz w:val="20"/>
        </w:rPr>
        <w:t xml:space="preserve">Question: </w:t>
      </w:r>
      <w:r>
        <w:rPr>
          <w:sz w:val="20"/>
        </w:rPr>
        <w:t>Section B.2.10.5 reports identical DICs of 9.99 for FE and 9.97 for RE (PFS) — clarify these values and confirm that this is correctly reported (the OS DICs are also reported as 9.99 for both models, which appears improbable). Provide: (a) the full DIC table for OS and PFS, FE and RE; (b) the posterior distribution of the between-study standard deviation τ for the RE models; (c) the prior distribution for τ; (d) the residual deviance vs number of unconstrained data points; and (e) trace plots and Brooks–Gelman–Rubin diagnostics.</w:t>
      </w:r>
    </w:p>
    <w:p>
      <w:pPr>
        <w:pStyle w:val="ListBullet"/>
      </w:pPr>
      <w:r>
        <w:rPr>
          <w:b/>
          <w:sz w:val="20"/>
        </w:rPr>
        <w:t xml:space="preserve">Rationale: </w:t>
      </w:r>
      <w:r>
        <w:rPr>
          <w:sz w:val="20"/>
        </w:rPr>
        <w:t>NICE DSU TSD 2 §4; the EAG must be able to verify model fit and convergence claims.</w:t>
      </w:r>
    </w:p>
    <w:p>
      <w:r>
        <w:rPr>
          <w:b/>
          <w:sz w:val="22"/>
        </w:rPr>
        <w:t>INFO-Merck-19</w:t>
      </w:r>
    </w:p>
    <w:p>
      <w:pPr>
        <w:pStyle w:val="ListBullet"/>
      </w:pPr>
      <w:r>
        <w:rPr>
          <w:b/>
          <w:sz w:val="20"/>
        </w:rPr>
        <w:t xml:space="preserve">Recipient: </w:t>
      </w:r>
      <w:r>
        <w:rPr>
          <w:sz w:val="20"/>
        </w:rPr>
        <w:t>Merck</w:t>
      </w:r>
    </w:p>
    <w:p>
      <w:pPr>
        <w:pStyle w:val="ListBullet"/>
      </w:pPr>
      <w:r>
        <w:rPr>
          <w:b/>
          <w:sz w:val="20"/>
        </w:rPr>
        <w:t xml:space="preserve">Topic: </w:t>
      </w:r>
      <w:r>
        <w:rPr>
          <w:sz w:val="20"/>
        </w:rPr>
        <w:t>Inconsistency / loop assessment</w:t>
      </w:r>
    </w:p>
    <w:p>
      <w:pPr>
        <w:pStyle w:val="ListBullet"/>
      </w:pPr>
      <w:r>
        <w:rPr>
          <w:b/>
          <w:sz w:val="20"/>
        </w:rPr>
        <w:t xml:space="preserve">Question: </w:t>
      </w:r>
      <w:r>
        <w:rPr>
          <w:sz w:val="20"/>
        </w:rPr>
        <w:t>Section B.2.10.3 reports that inconsistency cannot be assessed because "there were no loops in the network". Confirm the star-shape of the network (sunitinib at the centre) and acknowledge explicitly that the indirect estimates rest entirely on the transitivity assumption with no statistical test of inconsistency available. State how the EAG should weight this limitation in the cost-effectiveness analysis.</w:t>
      </w:r>
    </w:p>
    <w:p>
      <w:pPr>
        <w:pStyle w:val="ListBullet"/>
      </w:pPr>
      <w:r>
        <w:rPr>
          <w:b/>
          <w:sz w:val="20"/>
        </w:rPr>
        <w:t xml:space="preserve">Rationale: </w:t>
      </w:r>
      <w:r>
        <w:rPr>
          <w:sz w:val="20"/>
        </w:rPr>
        <w:t>NICE DSU TSD 4 §4.3 — inability to test inconsistency is a major limitation that should be explicitly flagged for decision-makers; PRISMA-NMA item S6.</w:t>
      </w:r>
    </w:p>
    <w:p>
      <w:r>
        <w:rPr>
          <w:b/>
          <w:sz w:val="22"/>
        </w:rPr>
        <w:t>INFO-Merck-20</w:t>
      </w:r>
    </w:p>
    <w:p>
      <w:pPr>
        <w:pStyle w:val="ListBullet"/>
      </w:pPr>
      <w:r>
        <w:rPr>
          <w:b/>
          <w:sz w:val="20"/>
        </w:rPr>
        <w:t xml:space="preserve">Recipient: </w:t>
      </w:r>
      <w:r>
        <w:rPr>
          <w:sz w:val="20"/>
        </w:rPr>
        <w:t>Merck</w:t>
      </w:r>
    </w:p>
    <w:p>
      <w:pPr>
        <w:pStyle w:val="ListBullet"/>
      </w:pPr>
      <w:r>
        <w:rPr>
          <w:b/>
          <w:sz w:val="20"/>
        </w:rPr>
        <w:t xml:space="preserve">Topic: </w:t>
      </w:r>
      <w:r>
        <w:rPr>
          <w:sz w:val="20"/>
        </w:rPr>
        <w:t>WinBUGS / R code and convergence outputs</w:t>
      </w:r>
    </w:p>
    <w:p>
      <w:pPr>
        <w:pStyle w:val="ListBullet"/>
      </w:pPr>
      <w:r>
        <w:rPr>
          <w:b/>
          <w:sz w:val="20"/>
        </w:rPr>
        <w:t xml:space="preserve">Question: </w:t>
      </w:r>
      <w:r>
        <w:rPr>
          <w:sz w:val="20"/>
        </w:rPr>
        <w:t>Provide the gemtc R script (or equivalent WinBUGS/JAGS code) used for the NMA, full chain-output summaries, posterior densities and full forest-plot numerical results (the document reports only abbreviated point estimates and credible intervals).</w:t>
      </w:r>
    </w:p>
    <w:p>
      <w:pPr>
        <w:pStyle w:val="ListBullet"/>
      </w:pPr>
      <w:r>
        <w:rPr>
          <w:b/>
          <w:sz w:val="20"/>
        </w:rPr>
        <w:t xml:space="preserve">Rationale: </w:t>
      </w:r>
      <w:r>
        <w:rPr>
          <w:sz w:val="20"/>
        </w:rPr>
        <w:t>NICE DSU TSD 2 §6 — full code and outputs are required for reproducibility.</w:t>
      </w:r>
    </w:p>
    <w:p>
      <w:pPr>
        <w:pStyle w:val="Heading3"/>
      </w:pPr>
      <w:r>
        <w:rPr>
          <w:color w:val="1F3864"/>
          <w:sz w:val="24"/>
        </w:rPr>
        <w:t>C. COST-EFFECTIVENESS, HRQoL AND RESOURCE-USE SLRs</w:t>
      </w:r>
    </w:p>
    <w:p>
      <w:r>
        <w:rPr>
          <w:b/>
          <w:sz w:val="22"/>
        </w:rPr>
        <w:t>INFO-Merck-21</w:t>
      </w:r>
    </w:p>
    <w:p>
      <w:pPr>
        <w:pStyle w:val="ListBullet"/>
      </w:pPr>
      <w:r>
        <w:rPr>
          <w:b/>
          <w:sz w:val="20"/>
        </w:rPr>
        <w:t xml:space="preserve">Recipient: </w:t>
      </w:r>
      <w:r>
        <w:rPr>
          <w:sz w:val="20"/>
        </w:rPr>
        <w:t>Merck</w:t>
      </w:r>
    </w:p>
    <w:p>
      <w:pPr>
        <w:pStyle w:val="ListBullet"/>
      </w:pPr>
      <w:r>
        <w:rPr>
          <w:b/>
          <w:sz w:val="20"/>
        </w:rPr>
        <w:t xml:space="preserve">Topic: </w:t>
      </w:r>
      <w:r>
        <w:rPr>
          <w:sz w:val="20"/>
        </w:rPr>
        <w:t>Cost-effectiveness SLR — Appendix G</w:t>
      </w:r>
    </w:p>
    <w:p>
      <w:pPr>
        <w:pStyle w:val="ListBullet"/>
      </w:pPr>
      <w:r>
        <w:rPr>
          <w:b/>
          <w:sz w:val="20"/>
        </w:rPr>
        <w:t xml:space="preserve">Question: </w:t>
      </w:r>
      <w:r>
        <w:rPr>
          <w:sz w:val="20"/>
        </w:rPr>
        <w:t>Confirm submission of Appendix G with full methodology and results for the cost-effectiveness SLR referenced in Section B.3.1. The document reports an SLR with original (20 September 2017), update 1 (8 March 2019) and update 2 (4 June 2024) iterations, identifying 81 unique studies from 87 publications — but the published submission text does not contain the PRISMA flow diagram, full search strategies, characteristics-of-included-studies, or quality-assessment outputs. Provide all of these.</w:t>
      </w:r>
    </w:p>
    <w:p>
      <w:pPr>
        <w:pStyle w:val="ListBullet"/>
      </w:pPr>
      <w:r>
        <w:rPr>
          <w:b/>
          <w:sz w:val="20"/>
        </w:rPr>
        <w:t xml:space="preserve">Rationale: </w:t>
      </w:r>
      <w:r>
        <w:rPr>
          <w:sz w:val="20"/>
        </w:rPr>
        <w:t>PRISMA 2020 (all relevant items); NICE PMG36 §3.4 — an economic SLR must follow the same reporting standards as the clinical SLR.</w:t>
      </w:r>
    </w:p>
    <w:p>
      <w:r>
        <w:rPr>
          <w:b/>
          <w:sz w:val="22"/>
        </w:rPr>
        <w:t>INFO-Merck-22</w:t>
      </w:r>
    </w:p>
    <w:p>
      <w:pPr>
        <w:pStyle w:val="ListBullet"/>
      </w:pPr>
      <w:r>
        <w:rPr>
          <w:b/>
          <w:sz w:val="20"/>
        </w:rPr>
        <w:t xml:space="preserve">Recipient: </w:t>
      </w:r>
      <w:r>
        <w:rPr>
          <w:sz w:val="20"/>
        </w:rPr>
        <w:t>Merck</w:t>
      </w:r>
    </w:p>
    <w:p>
      <w:pPr>
        <w:pStyle w:val="ListBullet"/>
      </w:pPr>
      <w:r>
        <w:rPr>
          <w:b/>
          <w:sz w:val="20"/>
        </w:rPr>
        <w:t xml:space="preserve">Topic: </w:t>
      </w:r>
      <w:r>
        <w:rPr>
          <w:sz w:val="20"/>
        </w:rPr>
        <w:t>Quality assessment of identified cost-effectiveness studies</w:t>
      </w:r>
    </w:p>
    <w:p>
      <w:pPr>
        <w:pStyle w:val="ListBullet"/>
      </w:pPr>
      <w:r>
        <w:rPr>
          <w:b/>
          <w:sz w:val="20"/>
        </w:rPr>
        <w:t xml:space="preserve">Question: </w:t>
      </w:r>
      <w:r>
        <w:rPr>
          <w:sz w:val="20"/>
        </w:rPr>
        <w:t>Provide the quality-assessment instrument and per-study completed forms for the 81 cost-effectiveness studies identified by the SLR. The Drummond / Philips checklists are the standards used by NICE. Provide a summary table mapping the five avelumab + axitinib cost-effectiveness studies to their respective Drummond / Philips scores.</w:t>
      </w:r>
    </w:p>
    <w:p>
      <w:pPr>
        <w:pStyle w:val="ListBullet"/>
      </w:pPr>
      <w:r>
        <w:rPr>
          <w:b/>
          <w:sz w:val="20"/>
        </w:rPr>
        <w:t xml:space="preserve">Rationale: </w:t>
      </w:r>
      <w:r>
        <w:rPr>
          <w:sz w:val="20"/>
        </w:rPr>
        <w:t>Drummond et al. 1996 / 2015; Philips et al. 2004; NICE PMG36 §3.4.5.</w:t>
      </w:r>
    </w:p>
    <w:p>
      <w:r>
        <w:rPr>
          <w:b/>
          <w:sz w:val="22"/>
        </w:rPr>
        <w:t>INFO-Merck-23</w:t>
      </w:r>
    </w:p>
    <w:p>
      <w:pPr>
        <w:pStyle w:val="ListBullet"/>
      </w:pPr>
      <w:r>
        <w:rPr>
          <w:b/>
          <w:sz w:val="20"/>
        </w:rPr>
        <w:t xml:space="preserve">Recipient: </w:t>
      </w:r>
      <w:r>
        <w:rPr>
          <w:sz w:val="20"/>
        </w:rPr>
        <w:t>Merck</w:t>
      </w:r>
    </w:p>
    <w:p>
      <w:pPr>
        <w:pStyle w:val="ListBullet"/>
      </w:pPr>
      <w:r>
        <w:rPr>
          <w:b/>
          <w:sz w:val="20"/>
        </w:rPr>
        <w:t xml:space="preserve">Topic: </w:t>
      </w:r>
      <w:r>
        <w:rPr>
          <w:sz w:val="20"/>
        </w:rPr>
        <w:t>HRQoL / health-state-utility SLR</w:t>
      </w:r>
    </w:p>
    <w:p>
      <w:pPr>
        <w:pStyle w:val="ListBullet"/>
      </w:pPr>
      <w:r>
        <w:rPr>
          <w:b/>
          <w:sz w:val="20"/>
        </w:rPr>
        <w:t xml:space="preserve">Question: </w:t>
      </w:r>
      <w:r>
        <w:rPr>
          <w:sz w:val="20"/>
        </w:rPr>
        <w:t>No HRQoL / utility-value SLR is documented in the submission, yet the cost-effectiveness analysis (Section B.3.4) uses utilities derived from JAVELIN Renal 101 EQ-5D-5L data mapped to EQ-5D-3L and triangulated against utilities from previous NICE appraisals (Table 59). Provide: (a) the full SLR protocol, search strategies and PRISMA flow for an HRQoL/utility SLR (or explicitly state that none was performed and justify); (b) databases searched (at minimum MEDLINE, Embase, EconLit, NHS EED — Tufts CEA Registry / ScHARRHUD for utilities); and (c) the screening / extraction methods.</w:t>
      </w:r>
    </w:p>
    <w:p>
      <w:pPr>
        <w:pStyle w:val="ListBullet"/>
      </w:pPr>
      <w:r>
        <w:rPr>
          <w:b/>
          <w:sz w:val="20"/>
        </w:rPr>
        <w:t xml:space="preserve">Rationale: </w:t>
      </w:r>
      <w:r>
        <w:rPr>
          <w:sz w:val="20"/>
        </w:rPr>
        <w:t>NICE PMG36 §3.4.6 and §4.3.1 — an SLR of utility values is required to support the use of trial-derived utilities and to identify alternative HSUVs for sensitivity analysis.</w:t>
      </w:r>
    </w:p>
    <w:p>
      <w:r>
        <w:rPr>
          <w:b/>
          <w:sz w:val="22"/>
        </w:rPr>
        <w:t>INFO-Merck-24</w:t>
      </w:r>
    </w:p>
    <w:p>
      <w:pPr>
        <w:pStyle w:val="ListBullet"/>
      </w:pPr>
      <w:r>
        <w:rPr>
          <w:b/>
          <w:sz w:val="20"/>
        </w:rPr>
        <w:t xml:space="preserve">Recipient: </w:t>
      </w:r>
      <w:r>
        <w:rPr>
          <w:sz w:val="20"/>
        </w:rPr>
        <w:t>Merck</w:t>
      </w:r>
    </w:p>
    <w:p>
      <w:pPr>
        <w:pStyle w:val="ListBullet"/>
      </w:pPr>
      <w:r>
        <w:rPr>
          <w:b/>
          <w:sz w:val="20"/>
        </w:rPr>
        <w:t xml:space="preserve">Topic: </w:t>
      </w:r>
      <w:r>
        <w:rPr>
          <w:sz w:val="20"/>
        </w:rPr>
        <w:t>Resource use and cost SLR</w:t>
      </w:r>
    </w:p>
    <w:p>
      <w:pPr>
        <w:pStyle w:val="ListBullet"/>
      </w:pPr>
      <w:r>
        <w:rPr>
          <w:b/>
          <w:sz w:val="20"/>
        </w:rPr>
        <w:t xml:space="preserve">Question: </w:t>
      </w:r>
      <w:r>
        <w:rPr>
          <w:sz w:val="20"/>
        </w:rPr>
        <w:t>Confirm whether a resource-use / cost SLR was performed. If yes, provide the protocol, search strategies (NHS EED, EconLit, RePEc, HMIC, etc.), PRISMA flow, characteristics of included studies and quality assessment. If no, provide a transparent justification mapped to NICE PMG36 §3.4.5.</w:t>
      </w:r>
    </w:p>
    <w:p>
      <w:pPr>
        <w:pStyle w:val="ListBullet"/>
      </w:pPr>
      <w:r>
        <w:rPr>
          <w:b/>
          <w:sz w:val="20"/>
        </w:rPr>
        <w:t xml:space="preserve">Rationale: </w:t>
      </w:r>
      <w:r>
        <w:rPr>
          <w:sz w:val="20"/>
        </w:rPr>
        <w:t>NICE PMG36 §3.4.5; CRD guidance (2009) Stage 3 §3.2.</w:t>
      </w:r>
    </w:p>
    <w:p>
      <w:pPr>
        <w:pStyle w:val="Heading3"/>
      </w:pPr>
      <w:r>
        <w:rPr>
          <w:color w:val="1F3864"/>
          <w:sz w:val="24"/>
        </w:rPr>
        <w:t>D. DATA-ON-FILE AND UNPUBLISHED EVIDENCE</w:t>
      </w:r>
    </w:p>
    <w:p>
      <w:r>
        <w:rPr>
          <w:b/>
          <w:sz w:val="22"/>
        </w:rPr>
        <w:t>INFO-Merck-25</w:t>
      </w:r>
    </w:p>
    <w:p>
      <w:pPr>
        <w:pStyle w:val="ListBullet"/>
      </w:pPr>
      <w:r>
        <w:rPr>
          <w:b/>
          <w:sz w:val="20"/>
        </w:rPr>
        <w:t xml:space="preserve">Recipient: </w:t>
      </w:r>
      <w:r>
        <w:rPr>
          <w:sz w:val="20"/>
        </w:rPr>
        <w:t>Merck</w:t>
      </w:r>
    </w:p>
    <w:p>
      <w:pPr>
        <w:pStyle w:val="ListBullet"/>
      </w:pPr>
      <w:r>
        <w:rPr>
          <w:b/>
          <w:sz w:val="20"/>
        </w:rPr>
        <w:t xml:space="preserve">Topic: </w:t>
      </w:r>
      <w:r>
        <w:rPr>
          <w:sz w:val="20"/>
        </w:rPr>
        <w:t>Consolidated data-on-file list</w:t>
      </w:r>
    </w:p>
    <w:p>
      <w:pPr>
        <w:pStyle w:val="ListBullet"/>
      </w:pPr>
      <w:r>
        <w:rPr>
          <w:b/>
          <w:sz w:val="20"/>
        </w:rPr>
        <w:t xml:space="preserve">Question: </w:t>
      </w:r>
      <w:r>
        <w:rPr>
          <w:sz w:val="20"/>
        </w:rPr>
        <w:t>Provide a single consolidated, numbered table of every "Data on file" (DoF) reference cited in the submission, including at minimum: JAVELIN Renal 101 protocol; SAP; IA1, IA2, IA3 and FA CSRs; FA additional analyses; the Clinical Expert Opinion (reference 17); the NHS England NDRS data review (reference 21); and any further DoF references. For each, provide: (a) date authored; (b) author / function; (c) one-paragraph description; (d) the specific submission section(s) that rely on the document; (e) whether the document is available to the EAG; and (f) a hyperlink or appendix reference.</w:t>
      </w:r>
    </w:p>
    <w:p>
      <w:pPr>
        <w:pStyle w:val="ListBullet"/>
      </w:pPr>
      <w:r>
        <w:rPr>
          <w:b/>
          <w:sz w:val="20"/>
        </w:rPr>
        <w:t xml:space="preserve">Rationale: </w:t>
      </w:r>
      <w:r>
        <w:rPr>
          <w:sz w:val="20"/>
        </w:rPr>
        <w:t>NICE PMG36 §3.2.6 — DoF references must be auditable; the EAG cannot critically appraise evidence it has not seen.</w:t>
      </w:r>
    </w:p>
    <w:p>
      <w:r>
        <w:rPr>
          <w:b/>
          <w:sz w:val="22"/>
        </w:rPr>
        <w:t>INFO-Merck-26</w:t>
      </w:r>
    </w:p>
    <w:p>
      <w:pPr>
        <w:pStyle w:val="ListBullet"/>
      </w:pPr>
      <w:r>
        <w:rPr>
          <w:b/>
          <w:sz w:val="20"/>
        </w:rPr>
        <w:t xml:space="preserve">Recipient: </w:t>
      </w:r>
      <w:r>
        <w:rPr>
          <w:sz w:val="20"/>
        </w:rPr>
        <w:t>Merck</w:t>
      </w:r>
    </w:p>
    <w:p>
      <w:pPr>
        <w:pStyle w:val="ListBullet"/>
      </w:pPr>
      <w:r>
        <w:rPr>
          <w:b/>
          <w:sz w:val="20"/>
        </w:rPr>
        <w:t xml:space="preserve">Topic: </w:t>
      </w:r>
      <w:r>
        <w:rPr>
          <w:sz w:val="20"/>
        </w:rPr>
        <w:t>Clinical Expert Opinion (reference 17)</w:t>
      </w:r>
    </w:p>
    <w:p>
      <w:pPr>
        <w:pStyle w:val="ListBullet"/>
      </w:pPr>
      <w:r>
        <w:rPr>
          <w:b/>
          <w:sz w:val="20"/>
        </w:rPr>
        <w:t xml:space="preserve">Question: </w:t>
      </w:r>
      <w:r>
        <w:rPr>
          <w:sz w:val="20"/>
        </w:rPr>
        <w:t>Reference 17 cites "Merck Healthcare KGaA. Data on File: Clinical Expert Opinion. 2024" and is used to substantiate claims about (a) the assumption of equivalent efficacy of TKI monotherapies (Section B.2.10), (b) the irrelevance of PD-L1 status to treatment decisions (Section B.3.2.1), and (c) the UK treatment pathway. Provide: (i) the date and format of any expert engagement (advisory board, structured elicitation, one-to-one interviews, Delphi); (ii) the agenda(s); (iii) the slide decks and pre-read materials; (iv) anonymised attendee list with specialty, region and Royal College / institutional affiliation; (v) the question script / topic guide; (vi) the minutes or transcript; (vii) any conflict-of-interest declarations; (viii) the analytic method used to summarise opinion.</w:t>
      </w:r>
    </w:p>
    <w:p>
      <w:pPr>
        <w:pStyle w:val="ListBullet"/>
      </w:pPr>
      <w:r>
        <w:rPr>
          <w:b/>
          <w:sz w:val="20"/>
        </w:rPr>
        <w:t xml:space="preserve">Rationale: </w:t>
      </w:r>
      <w:r>
        <w:rPr>
          <w:sz w:val="20"/>
        </w:rPr>
        <w:t>NICE PMG36 §3.2.6; ISPOR good-practice guidance on expert elicitation (Bojke et al. 2021) — opinion-based evidence must be transparently reported.</w:t>
      </w:r>
    </w:p>
    <w:p>
      <w:r>
        <w:rPr>
          <w:b/>
          <w:sz w:val="22"/>
        </w:rPr>
        <w:t>INFO-Merck-27</w:t>
      </w:r>
    </w:p>
    <w:p>
      <w:pPr>
        <w:pStyle w:val="ListBullet"/>
      </w:pPr>
      <w:r>
        <w:rPr>
          <w:b/>
          <w:sz w:val="20"/>
        </w:rPr>
        <w:t xml:space="preserve">Recipient: </w:t>
      </w:r>
      <w:r>
        <w:rPr>
          <w:sz w:val="20"/>
        </w:rPr>
        <w:t>Merck</w:t>
      </w:r>
    </w:p>
    <w:p>
      <w:pPr>
        <w:pStyle w:val="ListBullet"/>
      </w:pPr>
      <w:r>
        <w:rPr>
          <w:b/>
          <w:sz w:val="20"/>
        </w:rPr>
        <w:t xml:space="preserve">Topic: </w:t>
      </w:r>
      <w:r>
        <w:rPr>
          <w:sz w:val="20"/>
        </w:rPr>
        <w:t>SACT dataset (reference 21)</w:t>
      </w:r>
    </w:p>
    <w:p>
      <w:pPr>
        <w:pStyle w:val="ListBullet"/>
      </w:pPr>
      <w:r>
        <w:rPr>
          <w:b/>
          <w:sz w:val="20"/>
        </w:rPr>
        <w:t xml:space="preserve">Question: </w:t>
      </w:r>
      <w:r>
        <w:rPr>
          <w:sz w:val="20"/>
        </w:rPr>
        <w:t>Provide the full NHS England NDRS SACT report cited as reference 21 — including (a) the data-extraction date(s); (b) the cohort definition and inclusion/exclusion criteria; (c) the analytic plan; (d) the statistical methods used (Kaplan–Meier, definition of "death" event, handling of censoring, follow-up time); (e) the protocol if pre-specified; and (f) any sub-analysis by IMDC risk score, including the methodology used to derive IMDC scores in routine SACT data.</w:t>
      </w:r>
    </w:p>
    <w:p>
      <w:pPr>
        <w:pStyle w:val="ListBullet"/>
      </w:pPr>
      <w:r>
        <w:rPr>
          <w:b/>
          <w:sz w:val="20"/>
        </w:rPr>
        <w:t xml:space="preserve">Rationale: </w:t>
      </w:r>
      <w:r>
        <w:rPr>
          <w:sz w:val="20"/>
        </w:rPr>
        <w:t>NICE Real-World Evidence Framework (2022) §3 — methods for the analysis of routine data should be pre-specified and transparently reported.</w:t>
      </w:r>
    </w:p>
    <w:p>
      <w:r>
        <w:rPr>
          <w:b/>
          <w:sz w:val="22"/>
        </w:rPr>
        <w:t>INFO-Merck-28</w:t>
      </w:r>
    </w:p>
    <w:p>
      <w:pPr>
        <w:pStyle w:val="ListBullet"/>
      </w:pPr>
      <w:r>
        <w:rPr>
          <w:b/>
          <w:sz w:val="20"/>
        </w:rPr>
        <w:t xml:space="preserve">Recipient: </w:t>
      </w:r>
      <w:r>
        <w:rPr>
          <w:sz w:val="20"/>
        </w:rPr>
        <w:t>Merck</w:t>
      </w:r>
    </w:p>
    <w:p>
      <w:pPr>
        <w:pStyle w:val="ListBullet"/>
      </w:pPr>
      <w:r>
        <w:rPr>
          <w:b/>
          <w:sz w:val="20"/>
        </w:rPr>
        <w:t xml:space="preserve">Topic: </w:t>
      </w:r>
      <w:r>
        <w:rPr>
          <w:sz w:val="20"/>
        </w:rPr>
        <w:t>Awareness of post-search publications</w:t>
      </w:r>
    </w:p>
    <w:p>
      <w:pPr>
        <w:pStyle w:val="ListBullet"/>
      </w:pPr>
      <w:r>
        <w:rPr>
          <w:b/>
          <w:sz w:val="20"/>
        </w:rPr>
        <w:t xml:space="preserve">Question: </w:t>
      </w:r>
      <w:r>
        <w:rPr>
          <w:sz w:val="20"/>
        </w:rPr>
        <w:t>Confirm whether the company is aware of any pivotal publication, EMA / CHMP variation, FDA update, conference abstract or peer-reviewed publication relevant to the decision problem that has appeared between the final search date (13 May / 4 June / 29 July 2024) and the submission cut-off (7 November 2024 / 21 February 2025). In particular, confirm awareness of: (a) any further follow-up of CLEAR, CheckMate 9ER, CheckMate 214 or CABOSUN; (b) any new pembrolizumab + axitinib data (KEYNOTE-426); (c) any further analysis of JAVELIN Renal 101 (post-FA).</w:t>
      </w:r>
    </w:p>
    <w:p>
      <w:pPr>
        <w:pStyle w:val="ListBullet"/>
      </w:pPr>
      <w:r>
        <w:rPr>
          <w:b/>
          <w:sz w:val="20"/>
        </w:rPr>
        <w:t xml:space="preserve">Rationale: </w:t>
      </w:r>
      <w:r>
        <w:rPr>
          <w:sz w:val="20"/>
        </w:rPr>
        <w:t>Cochrane Handbook Chapter 4 §4.4.9; NICE PMG36 — currency of the evidence base is critical for the Committee.</w:t>
      </w:r>
    </w:p>
    <w:p>
      <w:pPr>
        <w:pStyle w:val="Heading3"/>
      </w:pPr>
      <w:r>
        <w:rPr>
          <w:color w:val="1F3864"/>
          <w:sz w:val="24"/>
        </w:rPr>
        <w:t>E. SPECIFIC TRIAL-INCLUSION RATIONALES</w:t>
      </w:r>
    </w:p>
    <w:p>
      <w:r>
        <w:rPr>
          <w:b/>
          <w:sz w:val="22"/>
        </w:rPr>
        <w:t>INFO-Merck-29</w:t>
      </w:r>
    </w:p>
    <w:p>
      <w:pPr>
        <w:pStyle w:val="ListBullet"/>
      </w:pPr>
      <w:r>
        <w:rPr>
          <w:b/>
          <w:sz w:val="20"/>
        </w:rPr>
        <w:t xml:space="preserve">Recipient: </w:t>
      </w:r>
      <w:r>
        <w:rPr>
          <w:sz w:val="20"/>
        </w:rPr>
        <w:t>Merck</w:t>
      </w:r>
    </w:p>
    <w:p>
      <w:pPr>
        <w:pStyle w:val="ListBullet"/>
      </w:pPr>
      <w:r>
        <w:rPr>
          <w:b/>
          <w:sz w:val="20"/>
        </w:rPr>
        <w:t xml:space="preserve">Topic: </w:t>
      </w:r>
      <w:r>
        <w:rPr>
          <w:sz w:val="20"/>
        </w:rPr>
        <w:t>Justification for omitting scope-listed comparators from the NMA</w:t>
      </w:r>
    </w:p>
    <w:p>
      <w:pPr>
        <w:pStyle w:val="ListBullet"/>
      </w:pPr>
      <w:r>
        <w:rPr>
          <w:b/>
          <w:sz w:val="20"/>
        </w:rPr>
        <w:t xml:space="preserve">Question: </w:t>
      </w:r>
      <w:r>
        <w:rPr>
          <w:sz w:val="20"/>
        </w:rPr>
        <w:t>The final scope (Comparators, intermediate-/poor-risk) lists pazopanib and tivozanib alongside cabozantinib, nivolumab + ipilimumab, lenvatinib + pembrolizumab and cabozantinib + nivolumab. The submitted NMA includes none of pazopanib or tivozanib as nodes. Provide an explicit justification — referencing the equivalent-efficacy assumption stated in Section B.2.10 — and indicate which trials were considered for those comparators and why they were not networked.</w:t>
      </w:r>
    </w:p>
    <w:p>
      <w:pPr>
        <w:pStyle w:val="ListBullet"/>
      </w:pPr>
      <w:r>
        <w:rPr>
          <w:b/>
          <w:sz w:val="20"/>
        </w:rPr>
        <w:t xml:space="preserve">Rationale: </w:t>
      </w:r>
      <w:r>
        <w:rPr>
          <w:sz w:val="20"/>
        </w:rPr>
        <w:t>PMG36 §3.1.6; the scope must be addressed in full; the equivalent-efficacy assumption is asserted but its evidentiary basis is not documented in the submission.</w:t>
      </w:r>
    </w:p>
    <w:p>
      <w:r>
        <w:rPr>
          <w:b/>
          <w:sz w:val="22"/>
        </w:rPr>
        <w:t>INFO-Merck-30</w:t>
      </w:r>
    </w:p>
    <w:p>
      <w:pPr>
        <w:pStyle w:val="ListBullet"/>
      </w:pPr>
      <w:r>
        <w:rPr>
          <w:b/>
          <w:sz w:val="20"/>
        </w:rPr>
        <w:t xml:space="preserve">Recipient: </w:t>
      </w:r>
      <w:r>
        <w:rPr>
          <w:sz w:val="20"/>
        </w:rPr>
        <w:t>Merck</w:t>
      </w:r>
    </w:p>
    <w:p>
      <w:pPr>
        <w:pStyle w:val="ListBullet"/>
      </w:pPr>
      <w:r>
        <w:rPr>
          <w:b/>
          <w:sz w:val="20"/>
        </w:rPr>
        <w:t xml:space="preserve">Topic: </w:t>
      </w:r>
      <w:r>
        <w:rPr>
          <w:sz w:val="20"/>
        </w:rPr>
        <w:t>Treatment of CheckMate 214 PD-L1 selected vs unselected populations</w:t>
      </w:r>
    </w:p>
    <w:p>
      <w:pPr>
        <w:pStyle w:val="ListBullet"/>
      </w:pPr>
      <w:r>
        <w:rPr>
          <w:b/>
          <w:sz w:val="20"/>
        </w:rPr>
        <w:t xml:space="preserve">Question: </w:t>
      </w:r>
      <w:r>
        <w:rPr>
          <w:sz w:val="20"/>
        </w:rPr>
        <w:t>CheckMate 214 reported intermediate-/poor-risk data from an IMDC-defined population; JAVELIN Renal 101 was randomised on PD-L1 status and originally powered for the PD-L1-positive sub-population. Document explicitly how the IMDC intermediate-/poor-risk subgroup in JAVELIN Renal 101 was constructed (unselected for PD-L1) for the NMA, the corresponding subgroup definitions in each comparator trial, and the impact of these differences on transitivity.</w:t>
      </w:r>
    </w:p>
    <w:p>
      <w:pPr>
        <w:pStyle w:val="ListBullet"/>
      </w:pPr>
      <w:r>
        <w:rPr>
          <w:b/>
          <w:sz w:val="20"/>
        </w:rPr>
        <w:t xml:space="preserve">Rationale: </w:t>
      </w:r>
      <w:r>
        <w:rPr>
          <w:sz w:val="20"/>
        </w:rPr>
        <w:t>NICE DSU TSD 3 §2.2 — population mismatch is a primary threat to transitivity.</w:t>
      </w:r>
    </w:p>
    <w:p>
      <w:r>
        <w:rPr>
          <w:b/>
          <w:sz w:val="22"/>
        </w:rPr>
        <w:t>INFO-Merck-31</w:t>
      </w:r>
    </w:p>
    <w:p>
      <w:pPr>
        <w:pStyle w:val="ListBullet"/>
      </w:pPr>
      <w:r>
        <w:rPr>
          <w:b/>
          <w:sz w:val="20"/>
        </w:rPr>
        <w:t xml:space="preserve">Recipient: </w:t>
      </w:r>
      <w:r>
        <w:rPr>
          <w:sz w:val="20"/>
        </w:rPr>
        <w:t>Merck</w:t>
      </w:r>
    </w:p>
    <w:p>
      <w:pPr>
        <w:pStyle w:val="ListBullet"/>
      </w:pPr>
      <w:r>
        <w:rPr>
          <w:b/>
          <w:sz w:val="20"/>
        </w:rPr>
        <w:t xml:space="preserve">Topic: </w:t>
      </w:r>
      <w:r>
        <w:rPr>
          <w:sz w:val="20"/>
        </w:rPr>
        <w:t>Latest data cuts for comparator trials</w:t>
      </w:r>
    </w:p>
    <w:p>
      <w:pPr>
        <w:pStyle w:val="ListBullet"/>
      </w:pPr>
      <w:r>
        <w:rPr>
          <w:b/>
          <w:sz w:val="20"/>
        </w:rPr>
        <w:t xml:space="preserve">Question: </w:t>
      </w:r>
      <w:r>
        <w:rPr>
          <w:sz w:val="20"/>
        </w:rPr>
        <w:t>Section B.2.10.1 Table 30 footnotes refer to: CheckMate 9ER — Powles 2024; CheckMate 214 — Tannir 2024 ASCO GU poster; CLEAR — Motzer 2023. Confirm that the latest available data cut for each comparator trial has been used in the NMA, and provide the corresponding minimum and median follow-up by arm for each trial × outcome (OS, PFS) at the chosen data cut, with the source CSR or publication clearly cited.</w:t>
      </w:r>
    </w:p>
    <w:p>
      <w:pPr>
        <w:pStyle w:val="ListBullet"/>
      </w:pPr>
      <w:r>
        <w:rPr>
          <w:b/>
          <w:sz w:val="20"/>
        </w:rPr>
        <w:t xml:space="preserve">Rationale: </w:t>
      </w:r>
      <w:r>
        <w:rPr>
          <w:sz w:val="20"/>
        </w:rPr>
        <w:t>PRISMA-NMA item S3 — currency and equivalence of follow-up periods materially affects the validity of indirect comparisons.</w:t>
      </w:r>
    </w:p>
    <w:p>
      <w:pPr>
        <w:pStyle w:val="Heading3"/>
      </w:pPr>
      <w:r>
        <w:rPr>
          <w:color w:val="1F3864"/>
          <w:sz w:val="24"/>
        </w:rPr>
        <w:t>F. REPORTING OF SLR RESULTS</w:t>
      </w:r>
    </w:p>
    <w:p>
      <w:r>
        <w:rPr>
          <w:b/>
          <w:sz w:val="22"/>
        </w:rPr>
        <w:t>INFO-Merck-32</w:t>
      </w:r>
    </w:p>
    <w:p>
      <w:pPr>
        <w:pStyle w:val="ListBullet"/>
      </w:pPr>
      <w:r>
        <w:rPr>
          <w:b/>
          <w:sz w:val="20"/>
        </w:rPr>
        <w:t xml:space="preserve">Recipient: </w:t>
      </w:r>
      <w:r>
        <w:rPr>
          <w:sz w:val="20"/>
        </w:rPr>
        <w:t>Merck</w:t>
      </w:r>
    </w:p>
    <w:p>
      <w:pPr>
        <w:pStyle w:val="ListBullet"/>
      </w:pPr>
      <w:r>
        <w:rPr>
          <w:b/>
          <w:sz w:val="20"/>
        </w:rPr>
        <w:t xml:space="preserve">Topic: </w:t>
      </w:r>
      <w:r>
        <w:rPr>
          <w:sz w:val="20"/>
        </w:rPr>
        <w:t>Risk-of-bias traffic-light summary</w:t>
      </w:r>
    </w:p>
    <w:p>
      <w:pPr>
        <w:pStyle w:val="ListBullet"/>
      </w:pPr>
      <w:r>
        <w:rPr>
          <w:b/>
          <w:sz w:val="20"/>
        </w:rPr>
        <w:t xml:space="preserve">Question: </w:t>
      </w:r>
      <w:r>
        <w:rPr>
          <w:sz w:val="20"/>
        </w:rPr>
        <w:t>Provide a study-level risk-of-bias traffic-light summary (per Cochrane Handbook §8.2, e.g., robvis output) for all studies included in the NMA, with domain-level (D1–D5 if RoB 2.0) and overall judgements clearly displayed. The Table 12 critical-appraisal of JAVELIN Renal 101 in Section B.2.5 is narrative and only covers a single study.</w:t>
      </w:r>
    </w:p>
    <w:p>
      <w:pPr>
        <w:pStyle w:val="ListBullet"/>
      </w:pPr>
      <w:r>
        <w:rPr>
          <w:b/>
          <w:sz w:val="20"/>
        </w:rPr>
        <w:t xml:space="preserve">Rationale: </w:t>
      </w:r>
      <w:r>
        <w:rPr>
          <w:sz w:val="20"/>
        </w:rPr>
        <w:t>PRISMA 2020 item 18; Cochrane Handbook §8.4.</w:t>
      </w:r>
    </w:p>
    <w:p>
      <w:r>
        <w:rPr>
          <w:b/>
          <w:sz w:val="22"/>
        </w:rPr>
        <w:t>INFO-Merck-33</w:t>
      </w:r>
    </w:p>
    <w:p>
      <w:pPr>
        <w:pStyle w:val="ListBullet"/>
      </w:pPr>
      <w:r>
        <w:rPr>
          <w:b/>
          <w:sz w:val="20"/>
        </w:rPr>
        <w:t xml:space="preserve">Recipient: </w:t>
      </w:r>
      <w:r>
        <w:rPr>
          <w:sz w:val="20"/>
        </w:rPr>
        <w:t>Merck</w:t>
      </w:r>
    </w:p>
    <w:p>
      <w:pPr>
        <w:pStyle w:val="ListBullet"/>
      </w:pPr>
      <w:r>
        <w:rPr>
          <w:b/>
          <w:sz w:val="20"/>
        </w:rPr>
        <w:t xml:space="preserve">Topic: </w:t>
      </w:r>
      <w:r>
        <w:rPr>
          <w:sz w:val="20"/>
        </w:rPr>
        <w:t>Critical appraisal of JAVELIN Renal 101 IMDC subgroup</w:t>
      </w:r>
    </w:p>
    <w:p>
      <w:pPr>
        <w:pStyle w:val="ListBullet"/>
      </w:pPr>
      <w:r>
        <w:rPr>
          <w:b/>
          <w:sz w:val="20"/>
        </w:rPr>
        <w:t xml:space="preserve">Question: </w:t>
      </w:r>
      <w:r>
        <w:rPr>
          <w:sz w:val="20"/>
        </w:rPr>
        <w:t>Section B.2.5 acknowledges that IMDC subgroup analyses were pre-specified but exploratory, with no multiplicity adjustment, and that intermediate and poor risk were pooled *post hoc*. Provide: (a) the SAP version that pre-specified the subgroups (with version date) and any amendments; (b) the number of patients per subgroup at randomisation; (c) the rationale and dating of the pooling decision; (d) whether the pooling decision was made before or after data unblinding.</w:t>
      </w:r>
    </w:p>
    <w:p>
      <w:pPr>
        <w:pStyle w:val="ListBullet"/>
      </w:pPr>
      <w:r>
        <w:rPr>
          <w:b/>
          <w:sz w:val="20"/>
        </w:rPr>
        <w:t xml:space="preserve">Rationale: </w:t>
      </w:r>
      <w:r>
        <w:rPr>
          <w:sz w:val="20"/>
        </w:rPr>
        <w:t>Cochrane Handbook Chapter 10 §10.11 — subgroup credibility depends on a priori specification and pre-data analysis decisions.</w:t>
      </w:r>
    </w:p>
    <w:p>
      <w:pPr>
        <w:pStyle w:val="Heading3"/>
      </w:pPr>
      <w:r>
        <w:rPr>
          <w:color w:val="1F3864"/>
          <w:sz w:val="24"/>
        </w:rPr>
        <w:t>G. APPENDIX AVAILABILITY</w:t>
      </w:r>
    </w:p>
    <w:p>
      <w:r>
        <w:rPr>
          <w:b/>
          <w:sz w:val="22"/>
        </w:rPr>
        <w:t>INFO-Merck-34</w:t>
      </w:r>
    </w:p>
    <w:p>
      <w:pPr>
        <w:pStyle w:val="ListBullet"/>
      </w:pPr>
      <w:r>
        <w:rPr>
          <w:b/>
          <w:sz w:val="20"/>
        </w:rPr>
        <w:t xml:space="preserve">Recipient: </w:t>
      </w:r>
      <w:r>
        <w:rPr>
          <w:sz w:val="20"/>
        </w:rPr>
        <w:t>Merck</w:t>
      </w:r>
    </w:p>
    <w:p>
      <w:pPr>
        <w:pStyle w:val="ListBullet"/>
      </w:pPr>
      <w:r>
        <w:rPr>
          <w:b/>
          <w:sz w:val="20"/>
        </w:rPr>
        <w:t xml:space="preserve">Topic: </w:t>
      </w:r>
      <w:r>
        <w:rPr>
          <w:sz w:val="20"/>
        </w:rPr>
        <w:t>Complete list of submitted appendices</w:t>
      </w:r>
    </w:p>
    <w:p>
      <w:pPr>
        <w:pStyle w:val="ListBullet"/>
      </w:pPr>
      <w:r>
        <w:rPr>
          <w:b/>
          <w:sz w:val="20"/>
        </w:rPr>
        <w:t xml:space="preserve">Question: </w:t>
      </w:r>
      <w:r>
        <w:rPr>
          <w:sz w:val="20"/>
        </w:rPr>
        <w:t>Provide a complete, numbered list of all appendices submitted with this dossier. The main submission references Appendices C, D, G, M.1, M.2, N, O and P. Confirm whether each is presently available to the EAG in unredacted form, the version number, the date and the file name; and confirm whether any appendix referenced in the main submission is *not* being submitted (and why).</w:t>
      </w:r>
    </w:p>
    <w:p>
      <w:pPr>
        <w:pStyle w:val="ListBullet"/>
      </w:pPr>
      <w:r>
        <w:rPr>
          <w:b/>
          <w:sz w:val="20"/>
        </w:rPr>
        <w:t xml:space="preserve">Rationale: </w:t>
      </w:r>
      <w:r>
        <w:rPr>
          <w:sz w:val="20"/>
        </w:rPr>
        <w:t>NICE PMG36 §3.2; PRISMA 2020 item 26 (availability of materials).</w:t>
      </w:r>
    </w:p>
    <w:p>
      <w:r>
        <w:rPr>
          <w:b/>
          <w:sz w:val="22"/>
        </w:rPr>
        <w:t>INFO-Merck-35</w:t>
      </w:r>
    </w:p>
    <w:p>
      <w:pPr>
        <w:pStyle w:val="ListBullet"/>
      </w:pPr>
      <w:r>
        <w:rPr>
          <w:b/>
          <w:sz w:val="20"/>
        </w:rPr>
        <w:t xml:space="preserve">Recipient: </w:t>
      </w:r>
      <w:r>
        <w:rPr>
          <w:sz w:val="20"/>
        </w:rPr>
        <w:t>Merck</w:t>
      </w:r>
    </w:p>
    <w:p>
      <w:pPr>
        <w:pStyle w:val="ListBullet"/>
      </w:pPr>
      <w:r>
        <w:rPr>
          <w:b/>
          <w:sz w:val="20"/>
        </w:rPr>
        <w:t xml:space="preserve">Topic: </w:t>
      </w:r>
      <w:r>
        <w:rPr>
          <w:sz w:val="20"/>
        </w:rPr>
        <w:t>Verification of search audit trail</w:t>
      </w:r>
    </w:p>
    <w:p>
      <w:pPr>
        <w:pStyle w:val="ListBullet"/>
      </w:pPr>
      <w:r>
        <w:rPr>
          <w:b/>
          <w:sz w:val="20"/>
        </w:rPr>
        <w:t xml:space="preserve">Question: </w:t>
      </w:r>
      <w:r>
        <w:rPr>
          <w:sz w:val="20"/>
        </w:rPr>
        <w:t>Provide the raw search audit trail — i.e., the full database export files, deduplicated EndNote / RIS library and the screening log (with reviewer initials and inclusion/exclusion votes per record) — for the clinical SLR most recent update (13 May / 4 June 2024). The EAG requires this material to verify that the 56 + 19 unique studies were correctly mapped to the 273 + 196 publications described in Section B.2.10.1.</w:t>
      </w:r>
    </w:p>
    <w:p>
      <w:pPr>
        <w:pStyle w:val="ListBullet"/>
      </w:pPr>
      <w:r>
        <w:rPr>
          <w:b/>
          <w:sz w:val="20"/>
        </w:rPr>
        <w:t xml:space="preserve">Rationale: </w:t>
      </w:r>
      <w:r>
        <w:rPr>
          <w:sz w:val="20"/>
        </w:rPr>
        <w:t>PRISMA-S item 16; Cochrane Handbook Chapter 4 §4.4.4 — auditable search trails are a minimum reproducibility standard.</w:t>
      </w:r>
    </w:p>
    <w:p>
      <w:pPr>
        <w:pStyle w:val="Heading3"/>
      </w:pPr>
      <w:r>
        <w:rPr>
          <w:color w:val="1F3864"/>
          <w:sz w:val="24"/>
        </w:rPr>
        <w:t>SUMMARY OF TACTICAL CHECKLIST COVERAGE</w:t>
      </w:r>
    </w:p>
    <w:p>
      <w:r>
        <w:rPr>
          <w:sz w:val="20"/>
        </w:rPr>
        <w:t>Total questions: 35 (Merck = 35).</w:t>
      </w:r>
    </w:p>
    <w:p>
      <w:r>
        <w:br w:type="page"/>
      </w:r>
    </w:p>
    <w:p>
      <w:pPr>
        <w:pStyle w:val="Heading1"/>
      </w:pPr>
      <w:r>
        <w:rPr>
          <w:color w:val="1F3864"/>
          <w:sz w:val="32"/>
        </w:rPr>
        <w:t>Appendix B: Full actual NICE question list</w:t>
      </w:r>
    </w:p>
    <w:p>
      <w:r>
        <w:rPr>
          <w:b w:val="0"/>
          <w:i/>
          <w:sz w:val="20"/>
        </w:rPr>
        <w:t>The 23 unique NICE clarification questions issued to Merck on 16 December 2024, reproduced from Section 2 (company response to clarification) and de-duplicated. Priority "Yes" items: A1, A9, B1, B2, B7, B8, B10, B11, B12.</w:t>
      </w:r>
    </w:p>
    <w:tbl>
      <w:tblPr>
        <w:jc w:val="left"/>
        <w:tblLook w:firstColumn="1" w:firstRow="1" w:lastColumn="0" w:lastRow="0" w:noHBand="0" w:noVBand="1" w:val="04A0"/>
        <w:tblW w:w="9360" w:type="dxa"/>
        <w:tblLayout w:type="fixed"/>
        <w:tblBorders>
          <w:top w:val="single" w:sz="4" w:color="888888"/>
          <w:left w:val="single" w:sz="4" w:color="888888"/>
          <w:bottom w:val="single" w:sz="4" w:color="888888"/>
          <w:right w:val="single" w:sz="4" w:color="888888"/>
          <w:insideH w:val="single" w:sz="4" w:color="888888"/>
          <w:insideV w:val="single" w:sz="4" w:color="888888"/>
        </w:tblBorders>
      </w:tblPr>
      <w:tblGrid>
        <w:gridCol w:w="600"/>
        <w:gridCol w:w="600"/>
        <w:gridCol w:w="720"/>
        <w:gridCol w:w="2400"/>
        <w:gridCol w:w="5040"/>
      </w:tblGrid>
      <w:tr>
        <w:tc>
          <w:tcPr>
            <w:tcW w:w="600" w:type="dxa"/>
            <w:shd w:val="clear" w:color="auto" w:fill="1F3864"/>
            <w:tcBorders>
              <w:top w:val="single" w:sz="4" w:color="888888"/>
              <w:left w:val="single" w:sz="4" w:color="888888"/>
              <w:bottom w:val="single" w:sz="4" w:color="888888"/>
              <w:right w:val="single" w:sz="4" w:color="888888"/>
            </w:tcBorders>
          </w:tcPr>
          <w:p>
            <w:r/>
            <w:r>
              <w:rPr>
                <w:b/>
                <w:color w:val="FFFFFF"/>
                <w:sz w:val="20"/>
              </w:rPr>
              <w:t>ID</w:t>
            </w:r>
          </w:p>
        </w:tc>
        <w:tc>
          <w:tcPr>
            <w:tcW w:w="600" w:type="dxa"/>
            <w:shd w:val="clear" w:color="auto" w:fill="1F3864"/>
            <w:tcBorders>
              <w:top w:val="single" w:sz="4" w:color="888888"/>
              <w:left w:val="single" w:sz="4" w:color="888888"/>
              <w:bottom w:val="single" w:sz="4" w:color="888888"/>
              <w:right w:val="single" w:sz="4" w:color="888888"/>
            </w:tcBorders>
          </w:tcPr>
          <w:p>
            <w:r/>
            <w:r>
              <w:rPr>
                <w:b/>
                <w:color w:val="FFFFFF"/>
                <w:sz w:val="20"/>
              </w:rPr>
              <w:t>Sec</w:t>
            </w:r>
          </w:p>
        </w:tc>
        <w:tc>
          <w:tcPr>
            <w:tcW w:w="720" w:type="dxa"/>
            <w:shd w:val="clear" w:color="auto" w:fill="1F3864"/>
            <w:tcBorders>
              <w:top w:val="single" w:sz="4" w:color="888888"/>
              <w:left w:val="single" w:sz="4" w:color="888888"/>
              <w:bottom w:val="single" w:sz="4" w:color="888888"/>
              <w:right w:val="single" w:sz="4" w:color="888888"/>
            </w:tcBorders>
          </w:tcPr>
          <w:p>
            <w:r/>
            <w:r>
              <w:rPr>
                <w:b/>
                <w:color w:val="FFFFFF"/>
                <w:sz w:val="20"/>
              </w:rPr>
              <w:t>Priority</w:t>
            </w:r>
          </w:p>
        </w:tc>
        <w:tc>
          <w:tcPr>
            <w:tcW w:w="2400" w:type="dxa"/>
            <w:shd w:val="clear" w:color="auto" w:fill="1F3864"/>
            <w:tcBorders>
              <w:top w:val="single" w:sz="4" w:color="888888"/>
              <w:left w:val="single" w:sz="4" w:color="888888"/>
              <w:bottom w:val="single" w:sz="4" w:color="888888"/>
              <w:right w:val="single" w:sz="4" w:color="888888"/>
            </w:tcBorders>
          </w:tcPr>
          <w:p>
            <w:r/>
            <w:r>
              <w:rPr>
                <w:b/>
                <w:color w:val="FFFFFF"/>
                <w:sz w:val="20"/>
              </w:rPr>
              <w:t>Topic</w:t>
            </w:r>
          </w:p>
        </w:tc>
        <w:tc>
          <w:tcPr>
            <w:tcW w:w="5040" w:type="dxa"/>
            <w:shd w:val="clear" w:color="auto" w:fill="1F3864"/>
            <w:tcBorders>
              <w:top w:val="single" w:sz="4" w:color="888888"/>
              <w:left w:val="single" w:sz="4" w:color="888888"/>
              <w:bottom w:val="single" w:sz="4" w:color="888888"/>
              <w:right w:val="single" w:sz="4" w:color="888888"/>
            </w:tcBorders>
          </w:tcPr>
          <w:p>
            <w:r/>
            <w:r>
              <w:rPr>
                <w:b/>
                <w:color w:val="FFFFFF"/>
                <w:sz w:val="20"/>
              </w:rPr>
              <w:t>Verbatim text (abbreviated)</w:t>
            </w:r>
          </w:p>
        </w:tc>
      </w:tr>
      <w:tr>
        <w:tc>
          <w:tcPr>
            <w:tcW w:w="600" w:type="dxa"/>
            <w:tcBorders>
              <w:top w:val="single" w:sz="4" w:color="888888"/>
              <w:left w:val="single" w:sz="4" w:color="888888"/>
              <w:bottom w:val="single" w:sz="4" w:color="888888"/>
              <w:right w:val="single" w:sz="4" w:color="888888"/>
            </w:tcBorders>
          </w:tcPr>
          <w:p>
            <w:r/>
            <w:r>
              <w:rPr>
                <w:sz w:val="18"/>
              </w:rPr>
              <w:t>A1</w:t>
            </w:r>
          </w:p>
        </w:tc>
        <w:tc>
          <w:tcPr>
            <w:tcW w:w="600" w:type="dxa"/>
            <w:tcBorders>
              <w:top w:val="single" w:sz="4" w:color="888888"/>
              <w:left w:val="single" w:sz="4" w:color="888888"/>
              <w:bottom w:val="single" w:sz="4" w:color="888888"/>
              <w:right w:val="single" w:sz="4" w:color="888888"/>
            </w:tcBorders>
          </w:tcPr>
          <w:p>
            <w:r/>
            <w:r>
              <w:rPr>
                <w:sz w:val="18"/>
              </w:rPr>
              <w:t>A</w:t>
            </w:r>
          </w:p>
        </w:tc>
        <w:tc>
          <w:tcPr>
            <w:tcW w:w="720" w:type="dxa"/>
            <w:tcBorders>
              <w:top w:val="single" w:sz="4" w:color="888888"/>
              <w:left w:val="single" w:sz="4" w:color="888888"/>
              <w:bottom w:val="single" w:sz="4" w:color="888888"/>
              <w:right w:val="single" w:sz="4" w:color="888888"/>
            </w:tcBorders>
          </w:tcPr>
          <w:p>
            <w:r/>
            <w:r>
              <w:rPr>
                <w:sz w:val="18"/>
              </w:rPr>
              <w:t>Yes</w:t>
            </w:r>
          </w:p>
        </w:tc>
        <w:tc>
          <w:tcPr>
            <w:tcW w:w="2400" w:type="dxa"/>
            <w:tcBorders>
              <w:top w:val="single" w:sz="4" w:color="888888"/>
              <w:left w:val="single" w:sz="4" w:color="888888"/>
              <w:bottom w:val="single" w:sz="4" w:color="888888"/>
              <w:right w:val="single" w:sz="4" w:color="888888"/>
            </w:tcBorders>
          </w:tcPr>
          <w:p>
            <w:r/>
            <w:r>
              <w:rPr>
                <w:sz w:val="18"/>
              </w:rPr>
              <w:t>BICR vs investigator PFS curves</w:t>
            </w:r>
          </w:p>
        </w:tc>
        <w:tc>
          <w:tcPr>
            <w:tcW w:w="5040" w:type="dxa"/>
            <w:tcBorders>
              <w:top w:val="single" w:sz="4" w:color="888888"/>
              <w:left w:val="single" w:sz="4" w:color="888888"/>
              <w:bottom w:val="single" w:sz="4" w:color="888888"/>
              <w:right w:val="single" w:sz="4" w:color="888888"/>
            </w:tcBorders>
          </w:tcPr>
          <w:p>
            <w:r/>
            <w:r>
              <w:rPr>
                <w:sz w:val="18"/>
              </w:rPr>
              <w:t>If possible, please provide versions of CS Figure 7 and CS Figure 9 which also show the PFS assessments by blinded independent central review (BICR). If this is not possible for the favourable and intermediate/poor IMDC prognostic risk groups, please provide a figure showing BICR PFS for the period this was assessed and investigator PFS for the full trial period on the same plot for the total trial population.</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A2</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A</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FKSI-DRS time-to-deterioration outcome</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CS Table 6 and CS Table 7 refer to the outcome for "Time to deterioration in the FKSI-DRS", however the results are not reported in CS section B.2.6 nor have we identified them in the CSR. Please provide the results or signpost to where they are in the submission.</w:t>
            </w:r>
          </w:p>
        </w:tc>
      </w:tr>
      <w:tr>
        <w:tc>
          <w:tcPr>
            <w:tcW w:w="600" w:type="dxa"/>
            <w:tcBorders>
              <w:top w:val="single" w:sz="4" w:color="888888"/>
              <w:left w:val="single" w:sz="4" w:color="888888"/>
              <w:bottom w:val="single" w:sz="4" w:color="888888"/>
              <w:right w:val="single" w:sz="4" w:color="888888"/>
            </w:tcBorders>
          </w:tcPr>
          <w:p>
            <w:r/>
            <w:r>
              <w:rPr>
                <w:sz w:val="18"/>
              </w:rPr>
              <w:t>A3</w:t>
            </w:r>
          </w:p>
        </w:tc>
        <w:tc>
          <w:tcPr>
            <w:tcW w:w="600" w:type="dxa"/>
            <w:tcBorders>
              <w:top w:val="single" w:sz="4" w:color="888888"/>
              <w:left w:val="single" w:sz="4" w:color="888888"/>
              <w:bottom w:val="single" w:sz="4" w:color="888888"/>
              <w:right w:val="single" w:sz="4" w:color="888888"/>
            </w:tcBorders>
          </w:tcPr>
          <w:p>
            <w:r/>
            <w:r>
              <w:rPr>
                <w:sz w:val="18"/>
              </w:rPr>
              <w:t>A</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Avelumab vs axitinib death-discontinuation count discrepancy</w:t>
            </w:r>
          </w:p>
        </w:tc>
        <w:tc>
          <w:tcPr>
            <w:tcW w:w="5040" w:type="dxa"/>
            <w:tcBorders>
              <w:top w:val="single" w:sz="4" w:color="888888"/>
              <w:left w:val="single" w:sz="4" w:color="888888"/>
              <w:bottom w:val="single" w:sz="4" w:color="888888"/>
              <w:right w:val="single" w:sz="4" w:color="888888"/>
            </w:tcBorders>
          </w:tcPr>
          <w:p>
            <w:r/>
            <w:r>
              <w:rPr>
                <w:sz w:val="18"/>
              </w:rPr>
              <w:t>CS Table 11. We note that the number of participants who discontinued due to death differs for avelumab and axitinib (n=25 and n=28 respectively). Is this because some participants were only in receipt of either avelumab or axitinib at the time of death? If not, please explain why these numbers differ.</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A4</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A</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Patient disposition by IMDC risk subgroup</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CS Table 11. If possible, please provide versions of CS Table 11 for the favourable and intermediate/poor IMDC prognostic risk subgroups.</w:t>
            </w:r>
          </w:p>
        </w:tc>
      </w:tr>
      <w:tr>
        <w:tc>
          <w:tcPr>
            <w:tcW w:w="600" w:type="dxa"/>
            <w:tcBorders>
              <w:top w:val="single" w:sz="4" w:color="888888"/>
              <w:left w:val="single" w:sz="4" w:color="888888"/>
              <w:bottom w:val="single" w:sz="4" w:color="888888"/>
              <w:right w:val="single" w:sz="4" w:color="888888"/>
            </w:tcBorders>
          </w:tcPr>
          <w:p>
            <w:r/>
            <w:r>
              <w:rPr>
                <w:sz w:val="18"/>
              </w:rPr>
              <w:t>A5</w:t>
            </w:r>
          </w:p>
        </w:tc>
        <w:tc>
          <w:tcPr>
            <w:tcW w:w="600" w:type="dxa"/>
            <w:tcBorders>
              <w:top w:val="single" w:sz="4" w:color="888888"/>
              <w:left w:val="single" w:sz="4" w:color="888888"/>
              <w:bottom w:val="single" w:sz="4" w:color="888888"/>
              <w:right w:val="single" w:sz="4" w:color="888888"/>
            </w:tcBorders>
          </w:tcPr>
          <w:p>
            <w:r/>
            <w:r>
              <w:rPr>
                <w:sz w:val="18"/>
              </w:rPr>
              <w:t>A</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Adverse-event rates per single-agent monotherapy</w:t>
            </w:r>
          </w:p>
        </w:tc>
        <w:tc>
          <w:tcPr>
            <w:tcW w:w="5040" w:type="dxa"/>
            <w:tcBorders>
              <w:top w:val="single" w:sz="4" w:color="888888"/>
              <w:left w:val="single" w:sz="4" w:color="888888"/>
              <w:bottom w:val="single" w:sz="4" w:color="888888"/>
              <w:right w:val="single" w:sz="4" w:color="888888"/>
            </w:tcBorders>
          </w:tcPr>
          <w:p>
            <w:r/>
            <w:r>
              <w:rPr>
                <w:sz w:val="18"/>
              </w:rPr>
              <w:t>CS section B.2.11.1.2 reports that some AEs were at higher frequencies with the combination than observed with either single agent alone. Please indicate where we can find the adverse event data for each agent as monotherapy (e.g. for diarrhoea, where in the CSR or elsewhere is it reported that XXXX and XXXX of avelumab monotherapy and axitinib monotherapy patients respectively experienced this event?).</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A6</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A</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UK RWE source overlap (SACT-EAMS, SACT-CDF, Nathan, McGrane)</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Please confirm if the EAG's understanding is correct that the only UK sources of real-world evidence without overlap (or potential overlap) are the SACT-EAMS cohort and the SACT-CDF cohort, i.e. there were no patients who contributed data to both the SACT-EAMS cohort and the SACT-CDF cohort after exclusions. Some or all of the patients in Nathan et al. and McGrane et al. may also be included in the SACT database.</w:t>
            </w:r>
          </w:p>
        </w:tc>
      </w:tr>
      <w:tr>
        <w:tc>
          <w:tcPr>
            <w:tcW w:w="600" w:type="dxa"/>
            <w:tcBorders>
              <w:top w:val="single" w:sz="4" w:color="888888"/>
              <w:left w:val="single" w:sz="4" w:color="888888"/>
              <w:bottom w:val="single" w:sz="4" w:color="888888"/>
              <w:right w:val="single" w:sz="4" w:color="888888"/>
            </w:tcBorders>
          </w:tcPr>
          <w:p>
            <w:r/>
            <w:r>
              <w:rPr>
                <w:sz w:val="18"/>
              </w:rPr>
              <w:t>A7</w:t>
            </w:r>
          </w:p>
        </w:tc>
        <w:tc>
          <w:tcPr>
            <w:tcW w:w="600" w:type="dxa"/>
            <w:tcBorders>
              <w:top w:val="single" w:sz="4" w:color="888888"/>
              <w:left w:val="single" w:sz="4" w:color="888888"/>
              <w:bottom w:val="single" w:sz="4" w:color="888888"/>
              <w:right w:val="single" w:sz="4" w:color="888888"/>
            </w:tcBorders>
          </w:tcPr>
          <w:p>
            <w:r/>
            <w:r>
              <w:rPr>
                <w:sz w:val="18"/>
              </w:rPr>
              <w:t>A</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Reasons for SACT cohort exclusions</w:t>
            </w:r>
          </w:p>
        </w:tc>
        <w:tc>
          <w:tcPr>
            <w:tcW w:w="5040" w:type="dxa"/>
            <w:tcBorders>
              <w:top w:val="single" w:sz="4" w:color="888888"/>
              <w:left w:val="single" w:sz="4" w:color="888888"/>
              <w:bottom w:val="single" w:sz="4" w:color="888888"/>
              <w:right w:val="single" w:sz="4" w:color="888888"/>
            </w:tcBorders>
          </w:tcPr>
          <w:p>
            <w:r/>
            <w:r>
              <w:rPr>
                <w:sz w:val="18"/>
              </w:rPr>
              <w:t>CS B.2.8.2.1. What were the reasons for excluding patients from the SACT-CDF and SACT-EAMS cohorts?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A8</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A</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RWE SLR report — document request</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Appendix D.6 directs the reader to the RWE SLR report for further information and full results. Please provide this reference (or indicate which reference in the reference pack it is).</w:t>
            </w:r>
          </w:p>
        </w:tc>
      </w:tr>
      <w:tr>
        <w:tc>
          <w:tcPr>
            <w:tcW w:w="600" w:type="dxa"/>
            <w:tcBorders>
              <w:top w:val="single" w:sz="4" w:color="888888"/>
              <w:left w:val="single" w:sz="4" w:color="888888"/>
              <w:bottom w:val="single" w:sz="4" w:color="888888"/>
              <w:right w:val="single" w:sz="4" w:color="888888"/>
            </w:tcBorders>
          </w:tcPr>
          <w:p>
            <w:r/>
            <w:r>
              <w:rPr>
                <w:sz w:val="18"/>
              </w:rPr>
              <w:t>A9</w:t>
            </w:r>
          </w:p>
        </w:tc>
        <w:tc>
          <w:tcPr>
            <w:tcW w:w="600" w:type="dxa"/>
            <w:tcBorders>
              <w:top w:val="single" w:sz="4" w:color="888888"/>
              <w:left w:val="single" w:sz="4" w:color="888888"/>
              <w:bottom w:val="single" w:sz="4" w:color="888888"/>
              <w:right w:val="single" w:sz="4" w:color="888888"/>
            </w:tcBorders>
          </w:tcPr>
          <w:p>
            <w:r/>
            <w:r>
              <w:rPr>
                <w:sz w:val="18"/>
              </w:rPr>
              <w:t>A</w:t>
            </w:r>
          </w:p>
        </w:tc>
        <w:tc>
          <w:tcPr>
            <w:tcW w:w="720" w:type="dxa"/>
            <w:tcBorders>
              <w:top w:val="single" w:sz="4" w:color="888888"/>
              <w:left w:val="single" w:sz="4" w:color="888888"/>
              <w:bottom w:val="single" w:sz="4" w:color="888888"/>
              <w:right w:val="single" w:sz="4" w:color="888888"/>
            </w:tcBorders>
          </w:tcPr>
          <w:p>
            <w:r/>
            <w:r>
              <w:rPr>
                <w:sz w:val="18"/>
              </w:rPr>
              <w:t>Yes</w:t>
            </w:r>
          </w:p>
        </w:tc>
        <w:tc>
          <w:tcPr>
            <w:tcW w:w="2400" w:type="dxa"/>
            <w:tcBorders>
              <w:top w:val="single" w:sz="4" w:color="888888"/>
              <w:left w:val="single" w:sz="4" w:color="888888"/>
              <w:bottom w:val="single" w:sz="4" w:color="888888"/>
              <w:right w:val="single" w:sz="4" w:color="888888"/>
            </w:tcBorders>
          </w:tcPr>
          <w:p>
            <w:r/>
            <w:r>
              <w:rPr>
                <w:sz w:val="18"/>
              </w:rPr>
              <w:t>NMA report / feasibility assessment / risk-of-bias</w:t>
            </w:r>
          </w:p>
        </w:tc>
        <w:tc>
          <w:tcPr>
            <w:tcW w:w="5040" w:type="dxa"/>
            <w:tcBorders>
              <w:top w:val="single" w:sz="4" w:color="888888"/>
              <w:left w:val="single" w:sz="4" w:color="888888"/>
              <w:bottom w:val="single" w:sz="4" w:color="888888"/>
              <w:right w:val="single" w:sz="4" w:color="888888"/>
            </w:tcBorders>
          </w:tcPr>
          <w:p>
            <w:r/>
            <w:r>
              <w:rPr>
                <w:sz w:val="18"/>
              </w:rPr>
              <w:t>If there is a separate report with full details for the NMAs and any feasibility assessment conducted please provide this (or indicate which reference in the reference pack it is). If there is not a specific report please provide: a table of the PFS and OS data used in the NMAs for the intermediate/poor risk subgroup; a summary of baseline characteristics for participants from the studies included in the NMAs for the intermediate/poor risk subgroup; critical appraisal/risk of bias assessments for the comparator RCTs in the NMA.</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A10</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A</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SLR critical-appraisal methodology</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Please report how many reviewers carried out critical appraisal of studies for the main clinical effectiveness systematic literature review (SLR) and the real-world evidence SLR and, if more than one reviewer, whether the reviewers worked independently.</w:t>
            </w:r>
          </w:p>
        </w:tc>
      </w:tr>
      <w:tr>
        <w:tc>
          <w:tcPr>
            <w:tcW w:w="600" w:type="dxa"/>
            <w:tcBorders>
              <w:top w:val="single" w:sz="4" w:color="888888"/>
              <w:left w:val="single" w:sz="4" w:color="888888"/>
              <w:bottom w:val="single" w:sz="4" w:color="888888"/>
              <w:right w:val="single" w:sz="4" w:color="888888"/>
            </w:tcBorders>
          </w:tcPr>
          <w:p>
            <w:r/>
            <w:r>
              <w:rPr>
                <w:sz w:val="18"/>
              </w:rPr>
              <w:t>B1</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Yes</w:t>
            </w:r>
          </w:p>
        </w:tc>
        <w:tc>
          <w:tcPr>
            <w:tcW w:w="2400" w:type="dxa"/>
            <w:tcBorders>
              <w:top w:val="single" w:sz="4" w:color="888888"/>
              <w:left w:val="single" w:sz="4" w:color="888888"/>
              <w:bottom w:val="single" w:sz="4" w:color="888888"/>
              <w:right w:val="single" w:sz="4" w:color="888888"/>
            </w:tcBorders>
          </w:tcPr>
          <w:p>
            <w:r/>
            <w:r>
              <w:rPr>
                <w:sz w:val="18"/>
              </w:rPr>
              <w:t>40-year time horizon rationale</w:t>
            </w:r>
          </w:p>
        </w:tc>
        <w:tc>
          <w:tcPr>
            <w:tcW w:w="5040" w:type="dxa"/>
            <w:tcBorders>
              <w:top w:val="single" w:sz="4" w:color="888888"/>
              <w:left w:val="single" w:sz="4" w:color="888888"/>
              <w:bottom w:val="single" w:sz="4" w:color="888888"/>
              <w:right w:val="single" w:sz="4" w:color="888888"/>
            </w:tcBorders>
          </w:tcPr>
          <w:p>
            <w:r/>
            <w:r>
              <w:rPr>
                <w:sz w:val="18"/>
              </w:rPr>
              <w:t>What is the rationale for using a much longer time horizon (40 years) than in previous appraisals for aRCC (10 years)?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B2</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Yes</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Hazard plots and PH assumption — favourable-risk</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Hazard function plots for the survival curves in the intermediate/poor-risk subgroup are provided in CS Appendix N Figures 1–4. Please provide equivalent hazard function plots for OS, PFS and TTD for both arms of the JAVELIN 101 trial for the favourable risk population. (a) Is there evidence to support or reject an assumption of proportional hazards for OS and PFS in the favourable risk population? (b) Please justify the choice of parametric survival curve for each outcome and arm.</w:t>
            </w:r>
          </w:p>
        </w:tc>
      </w:tr>
      <w:tr>
        <w:tc>
          <w:tcPr>
            <w:tcW w:w="600" w:type="dxa"/>
            <w:tcBorders>
              <w:top w:val="single" w:sz="4" w:color="888888"/>
              <w:left w:val="single" w:sz="4" w:color="888888"/>
              <w:bottom w:val="single" w:sz="4" w:color="888888"/>
              <w:right w:val="single" w:sz="4" w:color="888888"/>
            </w:tcBorders>
          </w:tcPr>
          <w:p>
            <w:r/>
            <w:r>
              <w:rPr>
                <w:sz w:val="18"/>
              </w:rPr>
              <w:t>B3</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KM data timepoint discrepancy (model vs source)</w:t>
            </w:r>
          </w:p>
        </w:tc>
        <w:tc>
          <w:tcPr>
            <w:tcW w:w="5040" w:type="dxa"/>
            <w:tcBorders>
              <w:top w:val="single" w:sz="4" w:color="888888"/>
              <w:left w:val="single" w:sz="4" w:color="888888"/>
              <w:bottom w:val="single" w:sz="4" w:color="888888"/>
              <w:right w:val="single" w:sz="4" w:color="888888"/>
            </w:tcBorders>
          </w:tcPr>
          <w:p>
            <w:r/>
            <w:r>
              <w:rPr>
                <w:sz w:val="18"/>
              </w:rPr>
              <w:t>The Kaplan-Meier data provided in the KM data sheet of the model (KM data!BK46:CM233) have different time points to those reported in the source (DOF additional analyses). For example, OS in the model has timepoints 0, 3.81, 5.09 months while the source provides 4, 8, 12 months (at 4-month intervals). Please confirm that this discrepancy is due to the model data being derived from individual patient level data, or provide a source with matching KM data.</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B4</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Missing Grade ≥3 TRAEs in CS Table 56</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Please provide a justification as to why some treatment-related adverse events of grade ≥3 experienced by more than 5% of patients that are reported in the JAVELIN Renal 101 trial are missing from CS Table 56. For example, fatigue, nausea, decreased appetite, stomatitis, mucosal inflammation, aspartate aminotransferase increased, and vomiting.</w:t>
            </w:r>
          </w:p>
        </w:tc>
      </w:tr>
      <w:tr>
        <w:tc>
          <w:tcPr>
            <w:tcW w:w="600" w:type="dxa"/>
            <w:tcBorders>
              <w:top w:val="single" w:sz="4" w:color="888888"/>
              <w:left w:val="single" w:sz="4" w:color="888888"/>
              <w:bottom w:val="single" w:sz="4" w:color="888888"/>
              <w:right w:val="single" w:sz="4" w:color="888888"/>
            </w:tcBorders>
          </w:tcPr>
          <w:p>
            <w:r/>
            <w:r>
              <w:rPr>
                <w:sz w:val="18"/>
              </w:rPr>
              <w:t>B5</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EQ-5D-5L index scoring method</w:t>
            </w:r>
          </w:p>
        </w:tc>
        <w:tc>
          <w:tcPr>
            <w:tcW w:w="5040" w:type="dxa"/>
            <w:tcBorders>
              <w:top w:val="single" w:sz="4" w:color="888888"/>
              <w:left w:val="single" w:sz="4" w:color="888888"/>
              <w:bottom w:val="single" w:sz="4" w:color="888888"/>
              <w:right w:val="single" w:sz="4" w:color="888888"/>
            </w:tcBorders>
          </w:tcPr>
          <w:p>
            <w:r/>
            <w:r>
              <w:rPr>
                <w:sz w:val="18"/>
              </w:rPr>
              <w:t>Please state the method used to attribute index scores to the EQ-5D-5L FAS data, as reported in CS section B.2.6.4.1. In particular, please confirm whether the Hernández-Alava et al. (2017) mapping approach was used as in the analysis of EQ-5D-5L data for the economic model.</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B6</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No</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EQ-5D-5L by IMDC risk subgroup</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Descriptive information and results for the EQ-5D-5L index score is reported in CS section B.2.6.4.1 for the FAS population. Please provide this information for the favourable-risk and intermediate/poor risk subgroups. For each subgroup, please provide a graph of EQ-5D-5L index scores change from baseline by visit, with numbers at risk.</w:t>
            </w:r>
          </w:p>
        </w:tc>
      </w:tr>
      <w:tr>
        <w:tc>
          <w:tcPr>
            <w:tcW w:w="600" w:type="dxa"/>
            <w:tcBorders>
              <w:top w:val="single" w:sz="4" w:color="888888"/>
              <w:left w:val="single" w:sz="4" w:color="888888"/>
              <w:bottom w:val="single" w:sz="4" w:color="888888"/>
              <w:right w:val="single" w:sz="4" w:color="888888"/>
            </w:tcBorders>
          </w:tcPr>
          <w:p>
            <w:r/>
            <w:r>
              <w:rPr>
                <w:sz w:val="18"/>
              </w:rPr>
              <w:t>B7</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Yes</w:t>
            </w:r>
          </w:p>
        </w:tc>
        <w:tc>
          <w:tcPr>
            <w:tcW w:w="2400" w:type="dxa"/>
            <w:tcBorders>
              <w:top w:val="single" w:sz="4" w:color="888888"/>
              <w:left w:val="single" w:sz="4" w:color="888888"/>
              <w:bottom w:val="single" w:sz="4" w:color="888888"/>
              <w:right w:val="single" w:sz="4" w:color="888888"/>
            </w:tcBorders>
          </w:tcPr>
          <w:p>
            <w:r/>
            <w:r>
              <w:rPr>
                <w:sz w:val="18"/>
              </w:rPr>
              <w:t>Utility regression methods</w:t>
            </w:r>
          </w:p>
        </w:tc>
        <w:tc>
          <w:tcPr>
            <w:tcW w:w="5040" w:type="dxa"/>
            <w:tcBorders>
              <w:top w:val="single" w:sz="4" w:color="888888"/>
              <w:left w:val="single" w:sz="4" w:color="888888"/>
              <w:bottom w:val="single" w:sz="4" w:color="888888"/>
              <w:right w:val="single" w:sz="4" w:color="888888"/>
            </w:tcBorders>
          </w:tcPr>
          <w:p>
            <w:r/>
            <w:r>
              <w:rPr>
                <w:sz w:val="18"/>
              </w:rPr>
              <w:t>Please provide more explanation on the methods used to derive health state utility values for the economic model. (a) Please describe the volume and pattern of missing EQ-5D-5L data. (b) Was any attempt made to impute the missing data in the utility regressions? (c) Please justify the chosen regression model specifications for Model 1 and Model 2. Would the fit of these models be improved by including other baseline co-variates? Would it have been more efficient to use a single model based on ITT data, with fixed-effect and interaction terms for risk group status?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B8</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Yes</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Nivolumab not used as subsequent therapy assumption</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The base case analysis includes an assumption that nivolumab is not used as subsequent treatment after progression on avelumab + axitinib (CS Table 69), with scenario analysis conducted assuming different proportions of subsequent treatment options. This assumption is justified in CS section B.3.5.4 on the basis of clinical expert feedback. Please provide a clearer justification based on evidence from NICE guidance, NHS England prescribing policy and NHS practice (e.g. SACT data). Please also explain and justify the alternative assumptions used for scenario analysis.</w:t>
            </w:r>
          </w:p>
        </w:tc>
      </w:tr>
      <w:tr>
        <w:tc>
          <w:tcPr>
            <w:tcW w:w="600" w:type="dxa"/>
            <w:tcBorders>
              <w:top w:val="single" w:sz="4" w:color="888888"/>
              <w:left w:val="single" w:sz="4" w:color="888888"/>
              <w:bottom w:val="single" w:sz="4" w:color="888888"/>
              <w:right w:val="single" w:sz="4" w:color="888888"/>
            </w:tcBorders>
          </w:tcPr>
          <w:p>
            <w:r/>
            <w:r>
              <w:rPr>
                <w:sz w:val="18"/>
              </w:rPr>
              <w:t>B9</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Equal AE costs / non-elective short-stay proxy</w:t>
            </w:r>
          </w:p>
        </w:tc>
        <w:tc>
          <w:tcPr>
            <w:tcW w:w="5040" w:type="dxa"/>
            <w:tcBorders>
              <w:top w:val="single" w:sz="4" w:color="888888"/>
              <w:left w:val="single" w:sz="4" w:color="888888"/>
              <w:bottom w:val="single" w:sz="4" w:color="888888"/>
              <w:right w:val="single" w:sz="4" w:color="888888"/>
            </w:tcBorders>
          </w:tcPr>
          <w:p>
            <w:r/>
            <w:r>
              <w:rPr>
                <w:sz w:val="18"/>
              </w:rPr>
              <w:t>Please provide a justification as to why costs are assumed equal for all adverse events, and how this impacts the model results. Please also explain why a non-elective short stay cost is used for all grade ≥3 adverse events.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B10</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Yes</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Follow-up treatment distribution mismatch</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The values in the model table Costs!AK162:AL185, which presents the distribution of follow-up treatments for the poor-/intermediate-risk group, are different from those reported in Table 10.5.a of the relevant source (ASCO presentation analysis). Only the first six drugs of Table 10.5.a were considered for the poor-risk group while 24 were considered for the intermediate-risk group. Please provide a rationale for this assumption.</w:t>
            </w:r>
          </w:p>
        </w:tc>
      </w:tr>
      <w:tr>
        <w:tc>
          <w:tcPr>
            <w:tcW w:w="600" w:type="dxa"/>
            <w:tcBorders>
              <w:top w:val="single" w:sz="4" w:color="888888"/>
              <w:left w:val="single" w:sz="4" w:color="888888"/>
              <w:bottom w:val="single" w:sz="4" w:color="888888"/>
              <w:right w:val="single" w:sz="4" w:color="888888"/>
            </w:tcBorders>
          </w:tcPr>
          <w:p>
            <w:r/>
            <w:r>
              <w:rPr>
                <w:sz w:val="18"/>
              </w:rPr>
              <w:t>B11</w:t>
            </w:r>
          </w:p>
        </w:tc>
        <w:tc>
          <w:tcPr>
            <w:tcW w:w="600" w:type="dxa"/>
            <w:tcBorders>
              <w:top w:val="single" w:sz="4" w:color="888888"/>
              <w:left w:val="single" w:sz="4" w:color="888888"/>
              <w:bottom w:val="single" w:sz="4" w:color="888888"/>
              <w:right w:val="single" w:sz="4" w:color="888888"/>
            </w:tcBorders>
          </w:tcPr>
          <w:p>
            <w:r/>
            <w:r>
              <w:rPr>
                <w:sz w:val="18"/>
              </w:rPr>
              <w:t>B</w:t>
            </w:r>
          </w:p>
        </w:tc>
        <w:tc>
          <w:tcPr>
            <w:tcW w:w="720" w:type="dxa"/>
            <w:tcBorders>
              <w:top w:val="single" w:sz="4" w:color="888888"/>
              <w:left w:val="single" w:sz="4" w:color="888888"/>
              <w:bottom w:val="single" w:sz="4" w:color="888888"/>
              <w:right w:val="single" w:sz="4" w:color="888888"/>
            </w:tcBorders>
          </w:tcPr>
          <w:p>
            <w:r/>
            <w:r>
              <w:rPr>
                <w:sz w:val="18"/>
              </w:rPr>
              <w:t>Yes</w:t>
            </w:r>
          </w:p>
        </w:tc>
        <w:tc>
          <w:tcPr>
            <w:tcW w:w="2400" w:type="dxa"/>
            <w:tcBorders>
              <w:top w:val="single" w:sz="4" w:color="888888"/>
              <w:left w:val="single" w:sz="4" w:color="888888"/>
              <w:bottom w:val="single" w:sz="4" w:color="888888"/>
              <w:right w:val="single" w:sz="4" w:color="888888"/>
            </w:tcBorders>
          </w:tcPr>
          <w:p>
            <w:r/>
            <w:r>
              <w:rPr>
                <w:sz w:val="18"/>
              </w:rPr>
              <w:t>Untraceable model inputs (age, sex, weight by risk subgroup)</w:t>
            </w:r>
          </w:p>
        </w:tc>
        <w:tc>
          <w:tcPr>
            <w:tcW w:w="5040" w:type="dxa"/>
            <w:tcBorders>
              <w:top w:val="single" w:sz="4" w:color="888888"/>
              <w:left w:val="single" w:sz="4" w:color="888888"/>
              <w:bottom w:val="single" w:sz="4" w:color="888888"/>
              <w:right w:val="single" w:sz="4" w:color="888888"/>
            </w:tcBorders>
          </w:tcPr>
          <w:p>
            <w:r/>
            <w:r>
              <w:rPr>
                <w:sz w:val="18"/>
              </w:rPr>
              <w:t>The EAG are unable to identify the sources of several model input parameters which are reported in the CS and used in the company's model. Parameters queried: average age, proportion female, and average weight for favourable-risk (CS Table 40); for intermediate/poor-risk (CS Appendix O Table 50); and average weight for ITT (CS Appendix O Table 51) — all sourced to JAVELIN Renal 101. Please clarify how these values were derived from the corresponding sources.</w:t>
            </w:r>
          </w:p>
        </w:tc>
      </w:tr>
      <w:tr>
        <w:tc>
          <w:tcPr>
            <w:tcW w:w="600" w:type="dxa"/>
            <w:tcBorders>
              <w:top w:val="single" w:sz="4" w:color="888888"/>
              <w:left w:val="single" w:sz="4" w:color="888888"/>
              <w:bottom w:val="single" w:sz="4" w:color="888888"/>
              <w:right w:val="single" w:sz="4" w:color="888888"/>
            </w:tcBorders>
            <w:shd w:val="clear" w:color="auto" w:fill="F2F2F2"/>
          </w:tcPr>
          <w:p>
            <w:r/>
            <w:r>
              <w:rPr>
                <w:sz w:val="18"/>
              </w:rPr>
              <w:t>B12</w:t>
            </w:r>
          </w:p>
        </w:tc>
        <w:tc>
          <w:tcPr>
            <w:tcW w:w="600" w:type="dxa"/>
            <w:tcBorders>
              <w:top w:val="single" w:sz="4" w:color="888888"/>
              <w:left w:val="single" w:sz="4" w:color="888888"/>
              <w:bottom w:val="single" w:sz="4" w:color="888888"/>
              <w:right w:val="single" w:sz="4" w:color="888888"/>
            </w:tcBorders>
            <w:shd w:val="clear" w:color="auto" w:fill="F2F2F2"/>
          </w:tcPr>
          <w:p>
            <w:r/>
            <w:r>
              <w:rPr>
                <w:sz w:val="18"/>
              </w:rPr>
              <w:t>B</w:t>
            </w:r>
          </w:p>
        </w:tc>
        <w:tc>
          <w:tcPr>
            <w:tcW w:w="720" w:type="dxa"/>
            <w:tcBorders>
              <w:top w:val="single" w:sz="4" w:color="888888"/>
              <w:left w:val="single" w:sz="4" w:color="888888"/>
              <w:bottom w:val="single" w:sz="4" w:color="888888"/>
              <w:right w:val="single" w:sz="4" w:color="888888"/>
            </w:tcBorders>
            <w:shd w:val="clear" w:color="auto" w:fill="F2F2F2"/>
          </w:tcPr>
          <w:p>
            <w:r/>
            <w:r>
              <w:rPr>
                <w:sz w:val="18"/>
              </w:rPr>
              <w:t>Yes</w:t>
            </w:r>
          </w:p>
        </w:tc>
        <w:tc>
          <w:tcPr>
            <w:tcW w:w="2400" w:type="dxa"/>
            <w:tcBorders>
              <w:top w:val="single" w:sz="4" w:color="888888"/>
              <w:left w:val="single" w:sz="4" w:color="888888"/>
              <w:bottom w:val="single" w:sz="4" w:color="888888"/>
              <w:right w:val="single" w:sz="4" w:color="888888"/>
            </w:tcBorders>
            <w:shd w:val="clear" w:color="auto" w:fill="F2F2F2"/>
          </w:tcPr>
          <w:p>
            <w:r/>
            <w:r>
              <w:rPr>
                <w:sz w:val="18"/>
              </w:rPr>
              <w:t>CS vs model input value discrepancies</w:t>
            </w:r>
          </w:p>
        </w:tc>
        <w:tc>
          <w:tcPr>
            <w:tcW w:w="5040" w:type="dxa"/>
            <w:tcBorders>
              <w:top w:val="single" w:sz="4" w:color="888888"/>
              <w:left w:val="single" w:sz="4" w:color="888888"/>
              <w:bottom w:val="single" w:sz="4" w:color="888888"/>
              <w:right w:val="single" w:sz="4" w:color="888888"/>
            </w:tcBorders>
            <w:shd w:val="clear" w:color="auto" w:fill="F2F2F2"/>
          </w:tcPr>
          <w:p>
            <w:r/>
            <w:r>
              <w:rPr>
                <w:sz w:val="18"/>
              </w:rPr>
              <w:t>Different input values are reported in the company submission and in the company's model for several input parameters: IV administration costs (CS Table 64 vs Costs!G86/AE86, NHS National Cost Collection 2022/23, SB12Z); CT scan and blood test costs (CS Table 66 vs Costs!G118:G122); nivolumab treatment dosing (CS Table 71 vs Costs!H183; source TA542); total subsequent treatment costs avelumab + axitinib (intermediate/poor risk) (CS Appendix O Table 91 vs Costs!G234). Please clarify which values should be considered in the company's base case.</w:t>
            </w:r>
          </w:p>
        </w:tc>
      </w:tr>
      <w:tr>
        <w:tc>
          <w:tcPr>
            <w:tcW w:w="600" w:type="dxa"/>
            <w:tcBorders>
              <w:top w:val="single" w:sz="4" w:color="888888"/>
              <w:left w:val="single" w:sz="4" w:color="888888"/>
              <w:bottom w:val="single" w:sz="4" w:color="888888"/>
              <w:right w:val="single" w:sz="4" w:color="888888"/>
            </w:tcBorders>
          </w:tcPr>
          <w:p>
            <w:r/>
            <w:r>
              <w:rPr>
                <w:sz w:val="18"/>
              </w:rPr>
              <w:t>C1</w:t>
            </w:r>
          </w:p>
        </w:tc>
        <w:tc>
          <w:tcPr>
            <w:tcW w:w="600" w:type="dxa"/>
            <w:tcBorders>
              <w:top w:val="single" w:sz="4" w:color="888888"/>
              <w:left w:val="single" w:sz="4" w:color="888888"/>
              <w:bottom w:val="single" w:sz="4" w:color="888888"/>
              <w:right w:val="single" w:sz="4" w:color="888888"/>
            </w:tcBorders>
          </w:tcPr>
          <w:p>
            <w:r/>
            <w:r>
              <w:rPr>
                <w:sz w:val="18"/>
              </w:rPr>
              <w:t>C</w:t>
            </w:r>
          </w:p>
        </w:tc>
        <w:tc>
          <w:tcPr>
            <w:tcW w:w="720" w:type="dxa"/>
            <w:tcBorders>
              <w:top w:val="single" w:sz="4" w:color="888888"/>
              <w:left w:val="single" w:sz="4" w:color="888888"/>
              <w:bottom w:val="single" w:sz="4" w:color="888888"/>
              <w:right w:val="single" w:sz="4" w:color="888888"/>
            </w:tcBorders>
          </w:tcPr>
          <w:p>
            <w:r/>
            <w:r>
              <w:rPr>
                <w:sz w:val="18"/>
              </w:rPr>
              <w:t>No</w:t>
            </w:r>
          </w:p>
        </w:tc>
        <w:tc>
          <w:tcPr>
            <w:tcW w:w="2400" w:type="dxa"/>
            <w:tcBorders>
              <w:top w:val="single" w:sz="4" w:color="888888"/>
              <w:left w:val="single" w:sz="4" w:color="888888"/>
              <w:bottom w:val="single" w:sz="4" w:color="888888"/>
              <w:right w:val="single" w:sz="4" w:color="888888"/>
            </w:tcBorders>
          </w:tcPr>
          <w:p>
            <w:r/>
            <w:r>
              <w:rPr>
                <w:sz w:val="18"/>
              </w:rPr>
              <w:t>Confidentiality of DOF references</w:t>
            </w:r>
          </w:p>
        </w:tc>
        <w:tc>
          <w:tcPr>
            <w:tcW w:w="5040" w:type="dxa"/>
            <w:tcBorders>
              <w:top w:val="single" w:sz="4" w:color="888888"/>
              <w:left w:val="single" w:sz="4" w:color="888888"/>
              <w:bottom w:val="single" w:sz="4" w:color="888888"/>
              <w:right w:val="single" w:sz="4" w:color="888888"/>
            </w:tcBorders>
          </w:tcPr>
          <w:p>
            <w:r/>
            <w:r>
              <w:rPr>
                <w:sz w:val="18"/>
              </w:rPr>
              <w:t>Should we treat all the data-on-file (DOF) references as commercial in confidence?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