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ackground w:color="FAF6F1"/>
  <w:body>
    <w:bookmarkStart w:id="20" w:name="header"/>
    <w:bookmarkEnd w:id="20"/>
    <w:bookmarkStart w:id="46" w:name="content"/>
    <w:bookmarkStart w:id="45" w:name="ai-in-pharma-20252026-executive-summary"/>
    <w:p>
      <w:pPr>
        <w:spacing w:after="240" w:before="4000"/>
        <w:jc w:val="center"/>
      </w:pPr>
      <w:r>
        <w:rPr>
          <w:rFonts w:ascii="Helvetica Neue" w:hAnsi="Helvetica Neue"/>
          <w:b/>
          <w:color w:val="39594D"/>
          <w:spacing w:val="60"/>
          <w:sz w:val="22"/>
        </w:rPr>
        <w:t xml:space="preserve">EXECUTIVE BRIEF</w:t>
      </w:r>
    </w:p>
    <w:p>
      <w:pPr>
        <w:spacing w:after="240" w:before="0"/>
        <w:jc w:val="center"/>
      </w:pPr>
      <w:r>
        <w:rPr>
          <w:rFonts w:ascii="Helvetica Neue" w:hAnsi="Helvetica Neue"/>
          <w:b/>
          <w:color w:val="FF7759"/>
          <w:spacing w:val="-16"/>
          <w:sz w:val="64"/>
        </w:rPr>
        <w:t xml:space="preserve">AI in Pharma</w:t>
      </w:r>
    </w:p>
    <w:p>
      <w:pPr>
        <w:pBdr>
          <w:bottom w:val="single" w:color="FF7759" w:sz="18" w:space="6"/>
        </w:pBdr>
        <w:spacing w:after="360" w:before="120"/>
        <w:jc w:val="center"/>
      </w:pPr>
      <w:r>
        <w:t xml:space="preserve"/>
      </w:r>
    </w:p>
    <w:p>
      <w:pPr>
        <w:spacing w:after="120" w:before="0"/>
        <w:jc w:val="center"/>
      </w:pPr>
      <w:r>
        <w:rPr>
          <w:rFonts w:ascii="Helvetica Neue" w:hAnsi="Helvetica Neue"/>
          <w:i/>
          <w:color w:val="1A1A1A"/>
          <w:sz w:val="28"/>
        </w:rPr>
        <w:t xml:space="preserve">A landscape of AI-driven drug discovery, R&amp;D infrastructure, manufacturing, and diagnostics initiatives across leading pharmaceutical companies</w:t>
      </w:r>
    </w:p>
    <w:p>
      <w:pPr>
        <w:spacing w:after="0" w:before="720"/>
        <w:jc w:val="center"/>
      </w:pPr>
      <w:r>
        <w:rPr>
          <w:rFonts w:ascii="Helvetica Neue" w:hAnsi="Helvetica Neue"/>
          <w:color w:val="6B6B6B"/>
          <w:spacing w:val="30"/>
          <w:sz w:val="24"/>
        </w:rPr>
        <w:t xml:space="preserve">2025 – 2026</w:t>
      </w:r>
    </w:p>
    <w:p>
      <w:pPr>
        <w:sectPr>
          <w:pgSz w:w="12240" w:h="15840" w:orient="portrait"/>
          <w:pgMar w:top="1440" w:right="1440" w:bottom="1440" w:left="1440" w:header="708" w:footer="708" w:gutter="0"/>
          <w:titlePg/>
          <w:docGrid w:linePitch="360"/>
        </w:sectPr>
      </w:pPr>
    </w:p>
    <w:p>
      <w:pPr>
        <w:pStyle w:val="FirstParagraph"/>
      </w:pPr>
      <w:r>
        <w:t xml:space="preserve">Between 2025 and 2026, many leading pharmaceutical companies announced or deployed AI-driven initiatives across drug discovery, clinical development, manufacturing, and diagnostics. Key trends include </w:t>
      </w:r>
      <w:r>
        <w:rPr>
          <w:b/>
          <w:bCs/>
        </w:rPr>
        <w:t xml:space="preserve">drug discovery platforms</w:t>
      </w:r>
      <w:r>
        <w:t xml:space="preserve"> (Novartis–Isomorphic, Takeda–Nabla/Iambic, AstraZeneca–Algen/CSPC), </w:t>
      </w:r>
      <w:r>
        <w:rPr>
          <w:b/>
          <w:bCs/>
        </w:rPr>
        <w:t xml:space="preserve">AI-powered R&amp;D collaborations</w:t>
      </w:r>
      <w:r>
        <w:t xml:space="preserve"> (Merck–Mayo, Sanofi–QuantHealth, GSK–Helix, AstraZeneca–Immunai), and </w:t>
      </w:r>
      <w:r>
        <w:rPr>
          <w:b/>
          <w:bCs/>
        </w:rPr>
        <w:t xml:space="preserve">advanced computing infrastructure</w:t>
      </w:r>
      <w:r>
        <w:t xml:space="preserve"> (Lilly’s NVIDIA “AI factory,” Merck’s Google Cloud partnership, Roche’s NVIDIA-powered AI hub). Companies also began applying </w:t>
      </w:r>
      <w:r>
        <w:rPr>
          <w:b/>
          <w:bCs/>
        </w:rPr>
        <w:t xml:space="preserve">generative AI and automation</w:t>
      </w:r>
      <w:r>
        <w:t xml:space="preserve"> to back-office tasks (Merck’s LLM for report writing, J&amp;J’s medical-robotic systems for trial planning). Manufacturing and supply chain saw digital twin and robotics pilots (Lilly’s Omniverse digital twins for production</w:t>
      </w:r>
      <w:hyperlink r:id="rId21">
        <w:r>
          <w:rPr>
            <w:rStyle w:val="Hyperlink"/>
            <w:color w:val="D85A3F"/>
            <w:u w:val="single" w:color="D85A3F"/>
          </w:rPr>
          <w:t xml:space="preserve">[1]</w:t>
        </w:r>
      </w:hyperlink>
      <w:r>
        <w:t xml:space="preserve">, Teva’s AI-driven supply-chain innovation challenges</w:t>
      </w:r>
      <w:hyperlink r:id="rId22">
        <w:r>
          <w:rPr>
            <w:rStyle w:val="Hyperlink"/>
            <w:color w:val="D85A3F"/>
            <w:u w:val="single" w:color="D85A3F"/>
          </w:rPr>
          <w:t xml:space="preserve">[2]</w:t>
        </w:r>
      </w:hyperlink>
      <w:r>
        <w:t xml:space="preserve">). Diagnostics partnerships emerged as well (Roche’s acquisition of PathAI for AI-pathology</w:t>
      </w:r>
      <w:hyperlink r:id="rId23">
        <w:r>
          <w:rPr>
            <w:rStyle w:val="Hyperlink"/>
            <w:color w:val="D85A3F"/>
            <w:u w:val="single" w:color="D85A3F"/>
          </w:rPr>
          <w:t xml:space="preserve">[3]</w:t>
        </w:r>
      </w:hyperlink>
      <w:r>
        <w:t xml:space="preserve">, AstraZeneca’s expanded Immunai deal for cancer biomarkers</w:t>
      </w:r>
      <w:hyperlink r:id="rId24">
        <w:r>
          <w:rPr>
            <w:rStyle w:val="Hyperlink"/>
            <w:color w:val="D85A3F"/>
            <w:u w:val="single" w:color="D85A3F"/>
          </w:rPr>
          <w:t xml:space="preserve">[4]</w:t>
        </w:r>
      </w:hyperlink>
      <w:r>
        <w:t xml:space="preserve">).</w:t>
      </w:r>
    </w:p>
    <w:p>
      <w:pPr>
        <w:pStyle w:val="BodyText"/>
      </w:pPr>
      <w:r>
        <w:t xml:space="preserve">Most announced initiatives are </w:t>
      </w:r>
      <w:r>
        <w:rPr>
          <w:b/>
          <w:bCs/>
        </w:rPr>
        <w:t xml:space="preserve">preliminary or R&amp;D stage</w:t>
      </w:r>
      <w:r>
        <w:t xml:space="preserve"> (pilot programs, partnerships, or collaborations) rather than fully commercial products. Few impact metrics were disclosed publicly; where available, companies cited </w:t>
      </w:r>
      <w:r>
        <w:rPr>
          <w:b/>
          <w:bCs/>
        </w:rPr>
        <w:t xml:space="preserve">time savings and accelerated timelines</w:t>
      </w:r>
      <w:r>
        <w:t xml:space="preserve"> (Merck cut CSR writing from ~180h to 80h; Takeda expects to cut discovery from ~6 to &lt;2 years</w:t>
      </w:r>
      <w:hyperlink r:id="rId25">
        <w:r>
          <w:rPr>
            <w:rStyle w:val="Hyperlink"/>
            <w:color w:val="D85A3F"/>
            <w:u w:val="single" w:color="D85A3F"/>
          </w:rPr>
          <w:t xml:space="preserve">[5]</w:t>
        </w:r>
      </w:hyperlink>
      <w:r>
        <w:t xml:space="preserve">). Ethical/regulatory notes are sparse, though AI safety is implied (Roche mentions NVIDIA NeMo guardrails, and Teva and Bayer emphasize compliance in use-case statements).</w:t>
      </w:r>
    </w:p>
    <w:p>
      <w:pPr>
        <w:sectPr>
          <w:pgSz w:w="12240" w:h="15840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3"/>
      </w:pPr>
      <w:r>
        <w:rPr>
          <w:b/>
          <w:bCs/>
        </w:rPr>
        <w:t xml:space="preserve">Table: Pharmaceutical AI Implementations (2025–2026)</w:t>
      </w:r>
    </w:p>
    <w:tbl>
      <w:tblPr>
        <w:tblStyle w:val="Table"/>
        <w:tblW w:type="pct" w:w="5000"/>
        <w:tblBorders>
          <w:top w:val="single" w:sz="4" w:space="0" w:color="E8DFD3"/>
          <w:left w:val="single" w:sz="4" w:space="0" w:color="E8DFD3"/>
          <w:bottom w:val="single" w:sz="4" w:space="0" w:color="E8DFD3"/>
          <w:right w:val="single" w:sz="4" w:space="0" w:color="E8DFD3"/>
          <w:insideH w:val="single" w:sz="4" w:space="0" w:color="E8DFD3"/>
          <w:insideV w:val="single" w:sz="4" w:space="0" w:color="E8DFD3"/>
        </w:tblBorders>
        <w:tblCellMar>
          <w:top w:type="dxa" w:w="100"/>
          <w:left w:type="dxa" w:w="140"/>
          <w:bottom w:type="dxa" w:w="100"/>
          <w:right w:type="dxa" w:w="140"/>
        </w:tblCellMar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>
            <w:tcBorders>
              <w:bottom w:val="single" w:sz="12" w:space="0" w:color="FF7759"/>
            </w:tcBorders>
            <w:shd w:val="clear" w:color="auto" w:fill="FAF6F1"/>
            <w:vAlign w:val="bottom"/>
          </w:tcPr>
          <w:p>
            <w:pPr>
              <w:pStyle w:val="Compact"/>
            </w:pPr>
            <w:r>
              <w:rPr>
                <w:rFonts w:ascii="Helvetica Neue" w:hAnsi="Helvetica Neue"/>
                <w:b/>
                <w:bCs/>
                <w:color w:val="39594D"/>
                <w:sz w:val="18"/>
              </w:rPr>
              <w:t xml:space="preserve">Company (HQ)</w:t>
            </w:r>
          </w:p>
        </w:tc>
        <w:tc>
          <w:tcPr>
            <w:tcBorders>
              <w:bottom w:val="single" w:sz="12" w:space="0" w:color="FF7759"/>
            </w:tcBorders>
            <w:shd w:val="clear" w:color="auto" w:fill="FAF6F1"/>
            <w:vAlign w:val="bottom"/>
          </w:tcPr>
          <w:p>
            <w:pPr>
              <w:pStyle w:val="Compact"/>
            </w:pPr>
            <w:r>
              <w:rPr>
                <w:rFonts w:ascii="Helvetica Neue" w:hAnsi="Helvetica Neue"/>
                <w:b/>
                <w:bCs/>
                <w:color w:val="39594D"/>
                <w:sz w:val="18"/>
              </w:rPr>
              <w:t xml:space="preserve">Date</w:t>
            </w:r>
          </w:p>
        </w:tc>
        <w:tc>
          <w:tcPr>
            <w:tcBorders>
              <w:bottom w:val="single" w:sz="12" w:space="0" w:color="FF7759"/>
            </w:tcBorders>
            <w:shd w:val="clear" w:color="auto" w:fill="FAF6F1"/>
            <w:vAlign w:val="bottom"/>
          </w:tcPr>
          <w:p>
            <w:pPr>
              <w:pStyle w:val="Compact"/>
            </w:pPr>
            <w:r>
              <w:rPr>
                <w:rFonts w:ascii="Helvetica Neue" w:hAnsi="Helvetica Neue"/>
                <w:b/>
                <w:bCs/>
                <w:color w:val="39594D"/>
                <w:sz w:val="18"/>
              </w:rPr>
              <w:t xml:space="preserve">Use Case</w:t>
            </w:r>
          </w:p>
        </w:tc>
        <w:tc>
          <w:tcPr>
            <w:tcBorders>
              <w:bottom w:val="single" w:sz="12" w:space="0" w:color="FF7759"/>
            </w:tcBorders>
            <w:shd w:val="clear" w:color="auto" w:fill="FAF6F1"/>
            <w:vAlign w:val="bottom"/>
          </w:tcPr>
          <w:p>
            <w:pPr>
              <w:pStyle w:val="Compact"/>
            </w:pPr>
            <w:r>
              <w:rPr>
                <w:rFonts w:ascii="Helvetica Neue" w:hAnsi="Helvetica Neue"/>
                <w:b/>
                <w:bCs/>
                <w:color w:val="39594D"/>
                <w:sz w:val="18"/>
              </w:rPr>
              <w:t xml:space="preserve">Tech Type</w:t>
            </w:r>
          </w:p>
        </w:tc>
        <w:tc>
          <w:tcPr>
            <w:tcBorders>
              <w:bottom w:val="single" w:sz="12" w:space="0" w:color="FF7759"/>
            </w:tcBorders>
            <w:shd w:val="clear" w:color="auto" w:fill="FAF6F1"/>
            <w:vAlign w:val="bottom"/>
          </w:tcPr>
          <w:p>
            <w:pPr>
              <w:pStyle w:val="Compact"/>
            </w:pPr>
            <w:r>
              <w:rPr>
                <w:rFonts w:ascii="Helvetica Neue" w:hAnsi="Helvetica Neue"/>
                <w:b/>
                <w:bCs/>
                <w:color w:val="39594D"/>
                <w:sz w:val="18"/>
              </w:rPr>
              <w:t xml:space="preserve">Partners/Vendors</w:t>
            </w:r>
          </w:p>
        </w:tc>
        <w:tc>
          <w:tcPr>
            <w:tcBorders>
              <w:bottom w:val="single" w:sz="12" w:space="0" w:color="FF7759"/>
            </w:tcBorders>
            <w:shd w:val="clear" w:color="auto" w:fill="FAF6F1"/>
            <w:vAlign w:val="bottom"/>
          </w:tcPr>
          <w:p>
            <w:pPr>
              <w:pStyle w:val="Compact"/>
            </w:pPr>
            <w:r>
              <w:rPr>
                <w:rFonts w:ascii="Helvetica Neue" w:hAnsi="Helvetica Neue"/>
                <w:b/>
                <w:bCs/>
                <w:color w:val="39594D"/>
                <w:sz w:val="18"/>
              </w:rPr>
              <w:t xml:space="preserve">Deployment Status</w:t>
            </w:r>
          </w:p>
        </w:tc>
        <w:tc>
          <w:tcPr>
            <w:tcBorders>
              <w:bottom w:val="single" w:sz="12" w:space="0" w:color="FF7759"/>
            </w:tcBorders>
            <w:shd w:val="clear" w:color="auto" w:fill="FAF6F1"/>
            <w:vAlign w:val="bottom"/>
          </w:tcPr>
          <w:p>
            <w:pPr>
              <w:pStyle w:val="Compact"/>
            </w:pPr>
            <w:r>
              <w:rPr>
                <w:rFonts w:ascii="Helvetica Neue" w:hAnsi="Helvetica Neue"/>
                <w:b/>
                <w:bCs/>
                <w:color w:val="39594D"/>
                <w:sz w:val="18"/>
              </w:rPr>
              <w:t xml:space="preserve">Impact/Scale</w:t>
            </w:r>
          </w:p>
        </w:tc>
        <w:tc>
          <w:tcPr>
            <w:tcBorders>
              <w:bottom w:val="single" w:sz="12" w:space="0" w:color="FF7759"/>
            </w:tcBorders>
            <w:shd w:val="clear" w:color="auto" w:fill="FAF6F1"/>
            <w:vAlign w:val="bottom"/>
          </w:tcPr>
          <w:p>
            <w:pPr>
              <w:pStyle w:val="Compact"/>
            </w:pPr>
            <w:r>
              <w:rPr>
                <w:rFonts w:ascii="Helvetica Neue" w:hAnsi="Helvetica Neue"/>
                <w:b/>
                <w:bCs/>
                <w:color w:val="39594D"/>
                <w:sz w:val="18"/>
              </w:rPr>
              <w:t xml:space="preserve">Reg./Ethical Notes</w:t>
            </w:r>
          </w:p>
        </w:tc>
        <w:tc>
          <w:tcPr>
            <w:tcBorders>
              <w:bottom w:val="single" w:sz="12" w:space="0" w:color="FF7759"/>
            </w:tcBorders>
            <w:shd w:val="clear" w:color="auto" w:fill="FAF6F1"/>
            <w:vAlign w:val="bottom"/>
          </w:tcPr>
          <w:p>
            <w:pPr>
              <w:pStyle w:val="Compact"/>
            </w:pPr>
            <w:r>
              <w:rPr>
                <w:rFonts w:ascii="Helvetica Neue" w:hAnsi="Helvetica Neue"/>
                <w:b/>
                <w:bCs/>
                <w:color w:val="39594D"/>
                <w:sz w:val="18"/>
              </w:rPr>
              <w:t xml:space="preserve">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Novartis</w:t>
            </w:r>
            <w:r>
              <w:t xml:space="preserve"> (Switzerland)</w:t>
            </w:r>
          </w:p>
        </w:tc>
        <w:tc>
          <w:tcPr/>
          <w:p>
            <w:pPr>
              <w:pStyle w:val="Compact"/>
            </w:pPr>
            <w:r>
              <w:t xml:space="preserve">Feb 18, 2025</w:t>
            </w:r>
          </w:p>
        </w:tc>
        <w:tc>
          <w:tcPr/>
          <w:p>
            <w:pPr>
              <w:pStyle w:val="Compact"/>
            </w:pPr>
            <w:r>
              <w:t xml:space="preserve">Drug discovery (novel targets)</w:t>
            </w:r>
          </w:p>
        </w:tc>
        <w:tc>
          <w:tcPr/>
          <w:p>
            <w:pPr>
              <w:pStyle w:val="Compact"/>
            </w:pPr>
            <w:r>
              <w:t xml:space="preserve">AlphaFold-based AI</w:t>
            </w:r>
          </w:p>
        </w:tc>
        <w:tc>
          <w:tcPr/>
          <w:p>
            <w:pPr>
              <w:pStyle w:val="Compact"/>
            </w:pPr>
            <w:r>
              <w:t xml:space="preserve">Isomorphic Labs (UK)</w:t>
            </w:r>
          </w:p>
        </w:tc>
        <w:tc>
          <w:tcPr/>
          <w:p>
            <w:pPr>
              <w:pStyle w:val="Compact"/>
            </w:pPr>
            <w:r>
              <w:t xml:space="preserve">Announced (expansion)</w:t>
            </w:r>
          </w:p>
        </w:tc>
        <w:tc>
          <w:tcPr/>
          <w:p>
            <w:pPr>
              <w:pStyle w:val="Compact"/>
            </w:pPr>
            <w:r>
              <w:t xml:space="preserve">Added 3 new discovery programs</w:t>
            </w:r>
            <w:hyperlink r:id="rId26">
              <w:r>
                <w:rPr>
                  <w:rStyle w:val="Hyperlink"/>
                  <w:color w:val="D85A3F"/>
                  <w:u w:val="single" w:color="D85A3F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Novartis press</w:t>
            </w:r>
            <w:hyperlink r:id="rId26">
              <w:r>
                <w:rPr>
                  <w:rStyle w:val="Hyperlink"/>
                  <w:color w:val="D85A3F"/>
                  <w:u w:val="single" w:color="D85A3F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Pfizer</w:t>
            </w:r>
            <w:r>
              <w:t xml:space="preserve"> (USA)</w:t>
            </w:r>
          </w:p>
        </w:tc>
        <w:tc>
          <w:tcPr/>
          <w:p>
            <w:pPr>
              <w:pStyle w:val="Compact"/>
            </w:pPr>
            <w:r>
              <w:t xml:space="preserve">Jun 29, 2025</w:t>
            </w:r>
          </w:p>
        </w:tc>
        <w:tc>
          <w:tcPr/>
          <w:p>
            <w:pPr>
              <w:pStyle w:val="Compact"/>
            </w:pPr>
            <w:r>
              <w:t xml:space="preserve">Drug discovery (small molecules)</w:t>
            </w:r>
          </w:p>
        </w:tc>
        <w:tc>
          <w:tcPr/>
          <w:p>
            <w:pPr>
              <w:pStyle w:val="Compact"/>
            </w:pPr>
            <w:r>
              <w:t xml:space="preserve">ML/physics-AI hybrid</w:t>
            </w:r>
          </w:p>
        </w:tc>
        <w:tc>
          <w:tcPr/>
          <w:p>
            <w:pPr>
              <w:pStyle w:val="Compact"/>
            </w:pPr>
            <w:r>
              <w:t xml:space="preserve">XtalPi (US/China)</w:t>
            </w:r>
          </w:p>
        </w:tc>
        <w:tc>
          <w:tcPr/>
          <w:p>
            <w:pPr>
              <w:pStyle w:val="Compact"/>
            </w:pPr>
            <w:r>
              <w:t xml:space="preserve">Ongoing collaboration</w:t>
            </w:r>
          </w:p>
        </w:tc>
        <w:tc>
          <w:tcPr/>
          <w:p>
            <w:pPr>
              <w:pStyle w:val="Compact"/>
            </w:pPr>
            <w:r>
              <w:t xml:space="preserve">Demonstrated improved binding prediction (metrics N/R)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XtalPi press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Roche</w:t>
            </w:r>
            <w:r>
              <w:t xml:space="preserve"> (Switzerland)</w:t>
            </w:r>
          </w:p>
        </w:tc>
        <w:tc>
          <w:tcPr/>
          <w:p>
            <w:pPr>
              <w:pStyle w:val="Compact"/>
            </w:pPr>
            <w:r>
              <w:t xml:space="preserve">Mar 16, 2026</w:t>
            </w:r>
          </w:p>
        </w:tc>
        <w:tc>
          <w:tcPr/>
          <w:p>
            <w:pPr>
              <w:pStyle w:val="Compact"/>
            </w:pPr>
            <w:r>
              <w:t xml:space="preserve">R&amp;D infrastructure (compute)</w:t>
            </w:r>
          </w:p>
        </w:tc>
        <w:tc>
          <w:tcPr/>
          <w:p>
            <w:pPr>
              <w:pStyle w:val="Compact"/>
            </w:pPr>
            <w:r>
              <w:t xml:space="preserve">GPU/AI hardware &amp; software (NVIDIA BioNeMo, Omniverse)</w:t>
            </w:r>
          </w:p>
        </w:tc>
        <w:tc>
          <w:tcPr/>
          <w:p>
            <w:pPr>
              <w:pStyle w:val="Compact"/>
            </w:pPr>
            <w:r>
              <w:t xml:space="preserve">NVIDIA (US)</w:t>
            </w:r>
          </w:p>
        </w:tc>
        <w:tc>
          <w:tcPr/>
          <w:p>
            <w:pPr>
              <w:pStyle w:val="Compact"/>
            </w:pPr>
            <w:r>
              <w:t xml:space="preserve">Deployed (production)</w:t>
            </w:r>
          </w:p>
        </w:tc>
        <w:tc>
          <w:tcPr/>
          <w:p>
            <w:pPr>
              <w:pStyle w:val="Compact"/>
            </w:pPr>
            <w:r>
              <w:t xml:space="preserve">~3,500+ NVIDIA GPUs (largest pharma AI factory)</w:t>
            </w:r>
            <w:hyperlink r:id="rId27">
              <w:r>
                <w:rPr>
                  <w:rStyle w:val="Hyperlink"/>
                  <w:color w:val="D85A3F"/>
                  <w:u w:val="single" w:color="D85A3F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NeMo Guardrails (safety)</w:t>
            </w:r>
          </w:p>
        </w:tc>
        <w:tc>
          <w:tcPr/>
          <w:p>
            <w:pPr>
              <w:pStyle w:val="Compact"/>
            </w:pPr>
            <w:r>
              <w:t xml:space="preserve">Roche press</w:t>
            </w:r>
            <w:hyperlink r:id="rId27">
              <w:r>
                <w:rPr>
                  <w:rStyle w:val="Hyperlink"/>
                  <w:color w:val="D85A3F"/>
                  <w:u w:val="single" w:color="D85A3F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Roche</w:t>
            </w:r>
            <w:r>
              <w:t xml:space="preserve"> (Switzerland)</w:t>
            </w:r>
          </w:p>
        </w:tc>
        <w:tc>
          <w:tcPr/>
          <w:p>
            <w:pPr>
              <w:pStyle w:val="Compact"/>
            </w:pPr>
            <w:r>
              <w:t xml:space="preserve">May 7, 2026</w:t>
            </w:r>
          </w:p>
        </w:tc>
        <w:tc>
          <w:tcPr/>
          <w:p>
            <w:pPr>
              <w:pStyle w:val="Compact"/>
            </w:pPr>
            <w:r>
              <w:t xml:space="preserve">Diagnostics (digital pathology)</w:t>
            </w:r>
          </w:p>
        </w:tc>
        <w:tc>
          <w:tcPr/>
          <w:p>
            <w:pPr>
              <w:pStyle w:val="Compact"/>
            </w:pPr>
            <w:r>
              <w:t xml:space="preserve">AI pathology software</w:t>
            </w:r>
          </w:p>
        </w:tc>
        <w:tc>
          <w:tcPr/>
          <w:p>
            <w:pPr>
              <w:pStyle w:val="Compact"/>
            </w:pPr>
            <w:r>
              <w:t xml:space="preserve">PathAI (US, acquired)</w:t>
            </w:r>
          </w:p>
        </w:tc>
        <w:tc>
          <w:tcPr/>
          <w:p>
            <w:pPr>
              <w:pStyle w:val="Compact"/>
            </w:pPr>
            <w:r>
              <w:t xml:space="preserve">Announced acquisition</w:t>
            </w:r>
          </w:p>
        </w:tc>
        <w:tc>
          <w:tcPr/>
          <w:p>
            <w:pPr>
              <w:pStyle w:val="Compact"/>
            </w:pPr>
            <w:r>
              <w:t xml:space="preserve">$750M upfront + $300M milestones; integrate AI IMS globally</w:t>
            </w:r>
            <w:hyperlink r:id="rId23">
              <w:r>
                <w:rPr>
                  <w:rStyle w:val="Hyperlink"/>
                  <w:color w:val="D85A3F"/>
                  <w:u w:val="single" w:color="D85A3F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Regulatory approval pending</w:t>
            </w:r>
          </w:p>
        </w:tc>
        <w:tc>
          <w:tcPr/>
          <w:p>
            <w:pPr>
              <w:pStyle w:val="Compact"/>
            </w:pPr>
            <w:r>
              <w:t xml:space="preserve">Roche press</w:t>
            </w:r>
            <w:hyperlink r:id="rId23">
              <w:r>
                <w:rPr>
                  <w:rStyle w:val="Hyperlink"/>
                  <w:color w:val="D85A3F"/>
                  <w:u w:val="single" w:color="D85A3F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AstraZeneca</w:t>
            </w:r>
            <w:r>
              <w:t xml:space="preserve"> (UK)</w:t>
            </w:r>
          </w:p>
        </w:tc>
        <w:tc>
          <w:tcPr/>
          <w:p>
            <w:pPr>
              <w:pStyle w:val="Compact"/>
            </w:pPr>
            <w:r>
              <w:t xml:space="preserve">Jun 13, 2025</w:t>
            </w:r>
          </w:p>
        </w:tc>
        <w:tc>
          <w:tcPr/>
          <w:p>
            <w:pPr>
              <w:pStyle w:val="Compact"/>
            </w:pPr>
            <w:r>
              <w:t xml:space="preserve">Drug discovery (oral candidates)</w:t>
            </w:r>
          </w:p>
        </w:tc>
        <w:tc>
          <w:tcPr/>
          <w:p>
            <w:pPr>
              <w:pStyle w:val="Compact"/>
            </w:pPr>
            <w:r>
              <w:t xml:space="preserve">AI-driven binding models</w:t>
            </w:r>
          </w:p>
        </w:tc>
        <w:tc>
          <w:tcPr/>
          <w:p>
            <w:pPr>
              <w:pStyle w:val="Compact"/>
            </w:pPr>
            <w:r>
              <w:t xml:space="preserve">CSPC Pharma (China)</w:t>
            </w:r>
          </w:p>
        </w:tc>
        <w:tc>
          <w:tcPr/>
          <w:p>
            <w:pPr>
              <w:pStyle w:val="Compact"/>
            </w:pPr>
            <w:r>
              <w:t xml:space="preserve">Announced</w:t>
            </w:r>
          </w:p>
        </w:tc>
        <w:tc>
          <w:tcPr/>
          <w:p>
            <w:pPr>
              <w:pStyle w:val="Compact"/>
            </w:pPr>
            <w:r>
              <w:t xml:space="preserve">Potential deal value $1.62B (dev) + $3.6B (sales)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AZ press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AstraZeneca</w:t>
            </w:r>
            <w:r>
              <w:t xml:space="preserve"> (UK)</w:t>
            </w:r>
          </w:p>
        </w:tc>
        <w:tc>
          <w:tcPr/>
          <w:p>
            <w:pPr>
              <w:pStyle w:val="Compact"/>
            </w:pPr>
            <w:r>
              <w:t xml:space="preserve">May 7, 2026</w:t>
            </w:r>
          </w:p>
        </w:tc>
        <w:tc>
          <w:tcPr/>
          <w:p>
            <w:pPr>
              <w:pStyle w:val="Compact"/>
            </w:pPr>
            <w:r>
              <w:t xml:space="preserve">Oncology R&amp;D (biomarkers, MoA)</w:t>
            </w:r>
          </w:p>
        </w:tc>
        <w:tc>
          <w:tcPr/>
          <w:p>
            <w:pPr>
              <w:pStyle w:val="Compact"/>
            </w:pPr>
            <w:r>
              <w:t xml:space="preserve">AI immunology platform (foundation models)</w:t>
            </w:r>
          </w:p>
        </w:tc>
        <w:tc>
          <w:tcPr/>
          <w:p>
            <w:pPr>
              <w:pStyle w:val="Compact"/>
            </w:pPr>
            <w:r>
              <w:t xml:space="preserve">Immunai (US)</w:t>
            </w:r>
          </w:p>
        </w:tc>
        <w:tc>
          <w:tcPr/>
          <w:p>
            <w:pPr>
              <w:pStyle w:val="Compact"/>
            </w:pPr>
            <w:r>
              <w:t xml:space="preserve">Expanded collaboration</w:t>
            </w:r>
          </w:p>
        </w:tc>
        <w:tc>
          <w:tcPr/>
          <w:p>
            <w:pPr>
              <w:pStyle w:val="Compact"/>
            </w:pPr>
            <w:r>
              <w:t xml:space="preserve">Up to $37.5M payments; multi-year support through 2027</w:t>
            </w:r>
            <w:hyperlink r:id="rId24">
              <w:r>
                <w:rPr>
                  <w:rStyle w:val="Hyperlink"/>
                  <w:color w:val="D85A3F"/>
                  <w:u w:val="single" w:color="D85A3F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Calcalistech</w:t>
            </w:r>
            <w:hyperlink r:id="rId24">
              <w:r>
                <w:rPr>
                  <w:rStyle w:val="Hyperlink"/>
                  <w:color w:val="D85A3F"/>
                  <w:u w:val="single" w:color="D85A3F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AstraZeneca</w:t>
            </w:r>
            <w:r>
              <w:t xml:space="preserve"> (UK)</w:t>
            </w:r>
          </w:p>
        </w:tc>
        <w:tc>
          <w:tcPr/>
          <w:p>
            <w:pPr>
              <w:pStyle w:val="Compact"/>
            </w:pPr>
            <w:r>
              <w:t xml:space="preserve">Oct 6, 2025</w:t>
            </w:r>
          </w:p>
        </w:tc>
        <w:tc>
          <w:tcPr/>
          <w:p>
            <w:pPr>
              <w:pStyle w:val="Compact"/>
            </w:pPr>
            <w:r>
              <w:t xml:space="preserve">Drug discovery (CRISPR/AI genomics)</w:t>
            </w:r>
          </w:p>
        </w:tc>
        <w:tc>
          <w:tcPr/>
          <w:p>
            <w:pPr>
              <w:pStyle w:val="Compact"/>
            </w:pPr>
            <w:r>
              <w:t xml:space="preserve">AI-driven functional genomics (AlgenBrain)</w:t>
            </w:r>
          </w:p>
        </w:tc>
        <w:tc>
          <w:tcPr/>
          <w:p>
            <w:pPr>
              <w:pStyle w:val="Compact"/>
            </w:pPr>
            <w:r>
              <w:t xml:space="preserve">Algen Biotechnologies (US)</w:t>
            </w:r>
          </w:p>
        </w:tc>
        <w:tc>
          <w:tcPr/>
          <w:p>
            <w:pPr>
              <w:pStyle w:val="Compact"/>
            </w:pPr>
            <w:r>
              <w:t xml:space="preserve">Announced</w:t>
            </w:r>
          </w:p>
        </w:tc>
        <w:tc>
          <w:tcPr/>
          <w:p>
            <w:pPr>
              <w:pStyle w:val="Compact"/>
            </w:pPr>
            <w:r>
              <w:t xml:space="preserve">Up to $555M deal value</w:t>
            </w:r>
            <w:hyperlink r:id="rId28">
              <w:r>
                <w:rPr>
                  <w:rStyle w:val="Hyperlink"/>
                  <w:color w:val="D85A3F"/>
                  <w:u w:val="single" w:color="D85A3F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Algen press</w:t>
            </w:r>
            <w:hyperlink r:id="rId28">
              <w:r>
                <w:rPr>
                  <w:rStyle w:val="Hyperlink"/>
                  <w:color w:val="D85A3F"/>
                  <w:u w:val="single" w:color="D85A3F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AstraZeneca</w:t>
            </w:r>
            <w:r>
              <w:t xml:space="preserve"> (UK)</w:t>
            </w:r>
          </w:p>
        </w:tc>
        <w:tc>
          <w:tcPr/>
          <w:p>
            <w:pPr>
              <w:pStyle w:val="Compact"/>
            </w:pPr>
            <w:r>
              <w:t xml:space="preserve">Aug 5, 2025</w:t>
            </w:r>
          </w:p>
        </w:tc>
        <w:tc>
          <w:tcPr/>
          <w:p>
            <w:pPr>
              <w:pStyle w:val="Compact"/>
            </w:pPr>
            <w:r>
              <w:t xml:space="preserve">Clinical outcomes (oncology)</w:t>
            </w:r>
          </w:p>
        </w:tc>
        <w:tc>
          <w:tcPr/>
          <w:p>
            <w:pPr>
              <w:pStyle w:val="Compact"/>
            </w:pPr>
            <w:r>
              <w:t xml:space="preserve">Federated analytics (AI Factories)</w:t>
            </w:r>
          </w:p>
        </w:tc>
        <w:tc>
          <w:tcPr/>
          <w:p>
            <w:pPr>
              <w:pStyle w:val="Compact"/>
            </w:pPr>
            <w:r>
              <w:t xml:space="preserve">SOPHiA Genetics (US/CH)</w:t>
            </w:r>
          </w:p>
        </w:tc>
        <w:tc>
          <w:tcPr/>
          <w:p>
            <w:pPr>
              <w:pStyle w:val="Compact"/>
            </w:pPr>
            <w:r>
              <w:t xml:space="preserve">Announced</w:t>
            </w:r>
          </w:p>
        </w:tc>
        <w:tc>
          <w:tcPr/>
          <w:p>
            <w:pPr>
              <w:pStyle w:val="Compact"/>
            </w:pPr>
            <w:r>
              <w:t xml:space="preserve">Focus: breast cancer; federated ML on real-world data</w:t>
            </w:r>
          </w:p>
        </w:tc>
        <w:tc>
          <w:tcPr/>
          <w:p>
            <w:pPr>
              <w:pStyle w:val="Compact"/>
            </w:pPr>
            <w:r>
              <w:t xml:space="preserve">Data privacy (federated, compliant)</w:t>
            </w:r>
          </w:p>
        </w:tc>
        <w:tc>
          <w:tcPr/>
          <w:p>
            <w:pPr>
              <w:pStyle w:val="Compact"/>
            </w:pPr>
            <w:r>
              <w:t xml:space="preserve">SOPHiA Gen. press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Merck (MSD)</w:t>
            </w:r>
            <w:r>
              <w:t xml:space="preserve"> (USA)</w:t>
            </w:r>
          </w:p>
        </w:tc>
        <w:tc>
          <w:tcPr/>
          <w:p>
            <w:pPr>
              <w:pStyle w:val="Compact"/>
            </w:pPr>
            <w:r>
              <w:t xml:space="preserve">Feb 18, 2026</w:t>
            </w:r>
          </w:p>
        </w:tc>
        <w:tc>
          <w:tcPr/>
          <w:p>
            <w:pPr>
              <w:pStyle w:val="Compact"/>
            </w:pPr>
            <w:r>
              <w:t xml:space="preserve">Drug discovery (target ID)</w:t>
            </w:r>
          </w:p>
        </w:tc>
        <w:tc>
          <w:tcPr/>
          <w:p>
            <w:pPr>
              <w:pStyle w:val="Compact"/>
            </w:pPr>
            <w:r>
              <w:t xml:space="preserve">AI/ML platform (virtual cell models)</w:t>
            </w:r>
          </w:p>
        </w:tc>
        <w:tc>
          <w:tcPr/>
          <w:p>
            <w:pPr>
              <w:pStyle w:val="Compact"/>
            </w:pPr>
            <w:r>
              <w:t xml:space="preserve">Mayo Clinic Platform (US)</w:t>
            </w:r>
          </w:p>
        </w:tc>
        <w:tc>
          <w:tcPr/>
          <w:p>
            <w:pPr>
              <w:pStyle w:val="Compact"/>
            </w:pPr>
            <w:r>
              <w:t xml:space="preserve">Announced</w:t>
            </w:r>
          </w:p>
        </w:tc>
        <w:tc>
          <w:tcPr/>
          <w:p>
            <w:pPr>
              <w:pStyle w:val="Compact"/>
            </w:pPr>
            <w:r>
              <w:t xml:space="preserve">Integrating multimodal patient data (no metric)</w:t>
            </w:r>
          </w:p>
        </w:tc>
        <w:tc>
          <w:tcPr/>
          <w:p>
            <w:pPr>
              <w:pStyle w:val="Compact"/>
            </w:pPr>
            <w:r>
              <w:t xml:space="preserve">Data de-identification implied</w:t>
            </w:r>
          </w:p>
        </w:tc>
        <w:tc>
          <w:tcPr/>
          <w:p>
            <w:pPr>
              <w:pStyle w:val="Compact"/>
            </w:pPr>
            <w:r>
              <w:t xml:space="preserve">Merck press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Merck (MSD)</w:t>
            </w:r>
            <w:r>
              <w:t xml:space="preserve"> (USA)</w:t>
            </w:r>
          </w:p>
        </w:tc>
        <w:tc>
          <w:tcPr/>
          <w:p>
            <w:pPr>
              <w:pStyle w:val="Compact"/>
            </w:pPr>
            <w:r>
              <w:t xml:space="preserve">Jun 25, 2025</w:t>
            </w:r>
          </w:p>
        </w:tc>
        <w:tc>
          <w:tcPr/>
          <w:p>
            <w:pPr>
              <w:pStyle w:val="Compact"/>
            </w:pPr>
            <w:r>
              <w:t xml:space="preserve">Regulatory writing (CSRs)</w:t>
            </w:r>
          </w:p>
        </w:tc>
        <w:tc>
          <w:tcPr/>
          <w:p>
            <w:pPr>
              <w:pStyle w:val="Compact"/>
            </w:pPr>
            <w:r>
              <w:t xml:space="preserve">LLMs (genAI)</w:t>
            </w:r>
          </w:p>
        </w:tc>
        <w:tc>
          <w:tcPr/>
          <w:p>
            <w:pPr>
              <w:pStyle w:val="Compact"/>
            </w:pPr>
            <w:r>
              <w:t xml:space="preserve">McKinsey co-dev.</w:t>
            </w:r>
          </w:p>
        </w:tc>
        <w:tc>
          <w:tcPr/>
          <w:p>
            <w:pPr>
              <w:pStyle w:val="Compact"/>
            </w:pPr>
            <w:r>
              <w:t xml:space="preserve">Deployed (pilot)</w:t>
            </w:r>
          </w:p>
        </w:tc>
        <w:tc>
          <w:tcPr/>
          <w:p>
            <w:pPr>
              <w:pStyle w:val="Compact"/>
            </w:pPr>
            <w:r>
              <w:t xml:space="preserve">CSR writing time cut ~55% (180h→80h); 50% fewer errors</w:t>
            </w:r>
          </w:p>
        </w:tc>
        <w:tc>
          <w:tcPr/>
          <w:p>
            <w:pPr>
              <w:pStyle w:val="Compact"/>
            </w:pPr>
            <w:r>
              <w:t xml:space="preserve">Achieved regulator-quality standards</w:t>
            </w:r>
          </w:p>
        </w:tc>
        <w:tc>
          <w:tcPr/>
          <w:p>
            <w:pPr>
              <w:pStyle w:val="Compact"/>
            </w:pPr>
            <w:r>
              <w:t xml:space="preserve">Merck press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Merck (MSD)</w:t>
            </w:r>
            <w:r>
              <w:t xml:space="preserve"> (USA)</w:t>
            </w:r>
          </w:p>
        </w:tc>
        <w:tc>
          <w:tcPr/>
          <w:p>
            <w:pPr>
              <w:pStyle w:val="Compact"/>
            </w:pPr>
            <w:r>
              <w:t xml:space="preserve">Apr 22, 2026</w:t>
            </w:r>
          </w:p>
        </w:tc>
        <w:tc>
          <w:tcPr/>
          <w:p>
            <w:pPr>
              <w:pStyle w:val="Compact"/>
            </w:pPr>
            <w:r>
              <w:t xml:space="preserve">Enterprise AI (R&amp;D/commercial)</w:t>
            </w:r>
          </w:p>
        </w:tc>
        <w:tc>
          <w:tcPr/>
          <w:p>
            <w:pPr>
              <w:pStyle w:val="Compact"/>
            </w:pPr>
            <w:r>
              <w:t xml:space="preserve">Cloud AI/agents (Gemini Enterprise)</w:t>
            </w:r>
          </w:p>
        </w:tc>
        <w:tc>
          <w:tcPr/>
          <w:p>
            <w:pPr>
              <w:pStyle w:val="Compact"/>
            </w:pPr>
            <w:r>
              <w:t xml:space="preserve">Google Cloud (US)</w:t>
            </w:r>
          </w:p>
        </w:tc>
        <w:tc>
          <w:tcPr/>
          <w:p>
            <w:pPr>
              <w:pStyle w:val="Compact"/>
            </w:pPr>
            <w:r>
              <w:t xml:space="preserve">Announced (multi-year $1B)</w:t>
            </w:r>
          </w:p>
        </w:tc>
        <w:tc>
          <w:tcPr/>
          <w:p>
            <w:pPr>
              <w:pStyle w:val="Compact"/>
            </w:pPr>
            <w:r>
              <w:t xml:space="preserve">Covers 75,000+ employees, labs to help predict outcomes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Merck press</w:t>
            </w:r>
            <w:hyperlink r:id="rId29">
              <w:r>
                <w:rPr>
                  <w:rStyle w:val="Hyperlink"/>
                  <w:color w:val="D85A3F"/>
                  <w:u w:val="single" w:color="D85A3F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Johnson &amp; Johnson</w:t>
            </w:r>
            <w:r>
              <w:t xml:space="preserve"> (USA)</w:t>
            </w:r>
          </w:p>
        </w:tc>
        <w:tc>
          <w:tcPr/>
          <w:p>
            <w:pPr>
              <w:pStyle w:val="Compact"/>
            </w:pPr>
            <w:r>
              <w:t xml:space="preserve">Apr 27, 2026</w:t>
            </w:r>
          </w:p>
        </w:tc>
        <w:tc>
          <w:tcPr/>
          <w:p>
            <w:pPr>
              <w:pStyle w:val="Compact"/>
            </w:pPr>
            <w:r>
              <w:t xml:space="preserve">Discovery (screening, design) &amp; clinical and manufacturing</w:t>
            </w:r>
          </w:p>
        </w:tc>
        <w:tc>
          <w:tcPr/>
          <w:p>
            <w:pPr>
              <w:pStyle w:val="Compact"/>
            </w:pPr>
            <w:r>
              <w:t xml:space="preserve">AI/ML (unspecified; also robotics)</w:t>
            </w:r>
          </w:p>
        </w:tc>
        <w:tc>
          <w:tcPr/>
          <w:p>
            <w:pPr>
              <w:pStyle w:val="Compact"/>
            </w:pPr>
            <w:r>
              <w:t xml:space="preserve">Internal (no vendor)</w:t>
            </w:r>
          </w:p>
        </w:tc>
        <w:tc>
          <w:tcPr/>
          <w:p>
            <w:pPr>
              <w:pStyle w:val="Compact"/>
            </w:pPr>
            <w:r>
              <w:t xml:space="preserve">Production (CIO interview)</w:t>
            </w:r>
          </w:p>
        </w:tc>
        <w:tc>
          <w:tcPr/>
          <w:p>
            <w:pPr>
              <w:pStyle w:val="Compact"/>
            </w:pPr>
            <w:r>
              <w:t xml:space="preserve">Lead discovery time halved; CSR docs cut 700h→15min; 2 compounds accelerated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Reuters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GSK</w:t>
            </w:r>
            <w:r>
              <w:t xml:space="preserve"> (UK)</w:t>
            </w:r>
          </w:p>
        </w:tc>
        <w:tc>
          <w:tcPr/>
          <w:p>
            <w:pPr>
              <w:pStyle w:val="Compact"/>
            </w:pPr>
            <w:r>
              <w:t xml:space="preserve">Nov 18, 2025</w:t>
            </w:r>
          </w:p>
        </w:tc>
        <w:tc>
          <w:tcPr/>
          <w:p>
            <w:pPr>
              <w:pStyle w:val="Compact"/>
            </w:pPr>
            <w:r>
              <w:t xml:space="preserve">AMR drug discovery &amp; surveillance</w:t>
            </w:r>
          </w:p>
        </w:tc>
        <w:tc>
          <w:tcPr/>
          <w:p>
            <w:pPr>
              <w:pStyle w:val="Compact"/>
            </w:pPr>
            <w:r>
              <w:t xml:space="preserve">AI/ML models (surveillance)</w:t>
            </w:r>
          </w:p>
        </w:tc>
        <w:tc>
          <w:tcPr/>
          <w:p>
            <w:pPr>
              <w:pStyle w:val="Compact"/>
            </w:pPr>
            <w:r>
              <w:t xml:space="preserve">Fleming Initiative/Imperial College (UK)</w:t>
            </w:r>
          </w:p>
        </w:tc>
        <w:tc>
          <w:tcPr/>
          <w:p>
            <w:pPr>
              <w:pStyle w:val="Compact"/>
            </w:pPr>
            <w:r>
              <w:t xml:space="preserve">Planned programs (2026)</w:t>
            </w:r>
          </w:p>
        </w:tc>
        <w:tc>
          <w:tcPr/>
          <w:p>
            <w:pPr>
              <w:pStyle w:val="Compact"/>
            </w:pPr>
            <w:r>
              <w:t xml:space="preserve">£45M funding for 6 projects; using AI for antibiotic/fungal discovery</w:t>
            </w:r>
            <w:hyperlink r:id="rId30">
              <w:r>
                <w:rPr>
                  <w:rStyle w:val="Hyperlink"/>
                  <w:color w:val="D85A3F"/>
                  <w:u w:val="single" w:color="D85A3F"/>
                </w:rPr>
                <w:t xml:space="preserve">[10]</w:t>
              </w:r>
            </w:hyperlink>
            <w:hyperlink r:id="rId31">
              <w:r>
                <w:rPr>
                  <w:rStyle w:val="Hyperlink"/>
                  <w:color w:val="D85A3F"/>
                  <w:u w:val="single" w:color="D85A3F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Targets global AMR threat</w:t>
            </w:r>
          </w:p>
        </w:tc>
        <w:tc>
          <w:tcPr/>
          <w:p>
            <w:pPr>
              <w:pStyle w:val="Compact"/>
            </w:pPr>
            <w:r>
              <w:t xml:space="preserve">GSK press</w:t>
            </w:r>
            <w:hyperlink r:id="rId32">
              <w:r>
                <w:rPr>
                  <w:rStyle w:val="Hyperlink"/>
                  <w:color w:val="D85A3F"/>
                  <w:u w:val="single" w:color="D85A3F"/>
                </w:rPr>
                <w:t xml:space="preserve">[12]</w:t>
              </w:r>
            </w:hyperlink>
            <w:hyperlink r:id="rId31">
              <w:r>
                <w:rPr>
                  <w:rStyle w:val="Hyperlink"/>
                  <w:color w:val="D85A3F"/>
                  <w:u w:val="single" w:color="D85A3F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GSK</w:t>
            </w:r>
            <w:r>
              <w:t xml:space="preserve"> (UK)</w:t>
            </w:r>
          </w:p>
        </w:tc>
        <w:tc>
          <w:tcPr/>
          <w:p>
            <w:pPr>
              <w:pStyle w:val="Compact"/>
            </w:pPr>
            <w:r>
              <w:t xml:space="preserve">Jan 7, 2026</w:t>
            </w:r>
          </w:p>
        </w:tc>
        <w:tc>
          <w:tcPr/>
          <w:p>
            <w:pPr>
              <w:pStyle w:val="Compact"/>
            </w:pPr>
            <w:r>
              <w:t xml:space="preserve">Precision R&amp;D (genetics)</w:t>
            </w:r>
          </w:p>
        </w:tc>
        <w:tc>
          <w:tcPr/>
          <w:p>
            <w:pPr>
              <w:pStyle w:val="Compact"/>
            </w:pPr>
            <w:r>
              <w:t xml:space="preserve">Genomics platform</w:t>
            </w:r>
          </w:p>
        </w:tc>
        <w:tc>
          <w:tcPr/>
          <w:p>
            <w:pPr>
              <w:pStyle w:val="Compact"/>
            </w:pPr>
            <w:r>
              <w:t xml:space="preserve">Helix (USA)</w:t>
            </w:r>
          </w:p>
        </w:tc>
        <w:tc>
          <w:tcPr/>
          <w:p>
            <w:pPr>
              <w:pStyle w:val="Compact"/>
            </w:pPr>
            <w:r>
              <w:t xml:space="preserve">Announced</w:t>
            </w:r>
          </w:p>
        </w:tc>
        <w:tc>
          <w:tcPr/>
          <w:p>
            <w:pPr>
              <w:pStyle w:val="Compact"/>
            </w:pPr>
            <w:r>
              <w:t xml:space="preserve">Access to large exome/genome cohorts; support precision medicine decisions</w:t>
            </w:r>
            <w:hyperlink r:id="rId33">
              <w:r>
                <w:rPr>
                  <w:rStyle w:val="Hyperlink"/>
                  <w:color w:val="D85A3F"/>
                  <w:u w:val="single" w:color="D85A3F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Helix press</w:t>
            </w:r>
            <w:hyperlink r:id="rId33">
              <w:r>
                <w:rPr>
                  <w:rStyle w:val="Hyperlink"/>
                  <w:color w:val="D85A3F"/>
                  <w:u w:val="single" w:color="D85A3F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Sanofi</w:t>
            </w:r>
            <w:r>
              <w:t xml:space="preserve"> (France)</w:t>
            </w:r>
          </w:p>
        </w:tc>
        <w:tc>
          <w:tcPr/>
          <w:p>
            <w:pPr>
              <w:pStyle w:val="Compact"/>
            </w:pPr>
            <w:r>
              <w:t xml:space="preserve">Nov 3, 2025</w:t>
            </w:r>
          </w:p>
        </w:tc>
        <w:tc>
          <w:tcPr/>
          <w:p>
            <w:pPr>
              <w:pStyle w:val="Compact"/>
            </w:pPr>
            <w:r>
              <w:t xml:space="preserve">Clinical trial design (simulations)</w:t>
            </w:r>
          </w:p>
        </w:tc>
        <w:tc>
          <w:tcPr/>
          <w:p>
            <w:pPr>
              <w:pStyle w:val="Compact"/>
            </w:pPr>
            <w:r>
              <w:t xml:space="preserve">Digital twin simulations</w:t>
            </w:r>
          </w:p>
        </w:tc>
        <w:tc>
          <w:tcPr/>
          <w:p>
            <w:pPr>
              <w:pStyle w:val="Compact"/>
            </w:pPr>
            <w:r>
              <w:t xml:space="preserve">QuantHealth (USA)</w:t>
            </w:r>
          </w:p>
        </w:tc>
        <w:tc>
          <w:tcPr/>
          <w:p>
            <w:pPr>
              <w:pStyle w:val="Compact"/>
            </w:pPr>
            <w:r>
              <w:t xml:space="preserve">Announced partnership</w:t>
            </w:r>
          </w:p>
        </w:tc>
        <w:tc>
          <w:tcPr/>
          <w:p>
            <w:pPr>
              <w:pStyle w:val="Compact"/>
            </w:pPr>
            <w:r>
              <w:t xml:space="preserve">Will pilot virtual trial simulations (no metric); using real patient data</w:t>
            </w:r>
          </w:p>
        </w:tc>
        <w:tc>
          <w:tcPr/>
          <w:p>
            <w:pPr>
              <w:pStyle w:val="Compact"/>
            </w:pPr>
            <w:r>
              <w:t xml:space="preserve">Uses de-identified health data</w:t>
            </w:r>
          </w:p>
        </w:tc>
        <w:tc>
          <w:tcPr/>
          <w:p>
            <w:pPr>
              <w:pStyle w:val="Compact"/>
            </w:pPr>
            <w:r>
              <w:t xml:space="preserve">HealthcareITToday</w:t>
            </w:r>
            <w:hyperlink r:id="rId34">
              <w:r>
                <w:rPr>
                  <w:rStyle w:val="Hyperlink"/>
                  <w:color w:val="D85A3F"/>
                  <w:u w:val="single" w:color="D85A3F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Bayer</w:t>
            </w:r>
            <w:r>
              <w:t xml:space="preserve"> (Germany/USA)</w:t>
            </w:r>
          </w:p>
        </w:tc>
        <w:tc>
          <w:tcPr/>
          <w:p>
            <w:pPr>
              <w:pStyle w:val="Compact"/>
            </w:pPr>
            <w:r>
              <w:t xml:space="preserve">Jan 7, 2026</w:t>
            </w:r>
          </w:p>
        </w:tc>
        <w:tc>
          <w:tcPr/>
          <w:p>
            <w:pPr>
              <w:pStyle w:val="Compact"/>
            </w:pPr>
            <w:r>
              <w:t xml:space="preserve">Biologics discovery (antibodies)</w:t>
            </w:r>
          </w:p>
        </w:tc>
        <w:tc>
          <w:tcPr/>
          <w:p>
            <w:pPr>
              <w:pStyle w:val="Compact"/>
            </w:pPr>
            <w:r>
              <w:t xml:space="preserve">Generative AI for protein engineering</w:t>
            </w:r>
          </w:p>
        </w:tc>
        <w:tc>
          <w:tcPr/>
          <w:p>
            <w:pPr>
              <w:pStyle w:val="Compact"/>
            </w:pPr>
            <w:r>
              <w:t xml:space="preserve">Cradle (NL/CH)</w:t>
            </w:r>
          </w:p>
        </w:tc>
        <w:tc>
          <w:tcPr/>
          <w:p>
            <w:pPr>
              <w:pStyle w:val="Compact"/>
            </w:pPr>
            <w:r>
              <w:t xml:space="preserve">Announced (3-yr collab)</w:t>
            </w:r>
          </w:p>
        </w:tc>
        <w:tc>
          <w:tcPr/>
          <w:p>
            <w:pPr>
              <w:pStyle w:val="Compact"/>
            </w:pPr>
            <w:r>
              <w:t xml:space="preserve">Integration in antibody R&amp;D; platform can speed up bio design by ~12×</w:t>
            </w:r>
            <w:hyperlink r:id="rId35">
              <w:r>
                <w:rPr>
                  <w:rStyle w:val="Hyperlink"/>
                  <w:color w:val="D85A3F"/>
                  <w:u w:val="single" w:color="D85A3F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Bayer press</w:t>
            </w:r>
            <w:hyperlink r:id="rId35">
              <w:r>
                <w:rPr>
                  <w:rStyle w:val="Hyperlink"/>
                  <w:color w:val="D85A3F"/>
                  <w:u w:val="single" w:color="D85A3F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Lilly</w:t>
            </w:r>
            <w:r>
              <w:t xml:space="preserve"> (USA)</w:t>
            </w:r>
          </w:p>
        </w:tc>
        <w:tc>
          <w:tcPr/>
          <w:p>
            <w:pPr>
              <w:pStyle w:val="Compact"/>
            </w:pPr>
            <w:r>
              <w:t xml:space="preserve">Oct 28, 2025</w:t>
            </w:r>
          </w:p>
        </w:tc>
        <w:tc>
          <w:tcPr/>
          <w:p>
            <w:pPr>
              <w:pStyle w:val="Compact"/>
            </w:pPr>
            <w:r>
              <w:t xml:space="preserve">Drug discovery &amp; R&amp;D infrastructure</w:t>
            </w:r>
          </w:p>
        </w:tc>
        <w:tc>
          <w:tcPr/>
          <w:p>
            <w:pPr>
              <w:pStyle w:val="Compact"/>
            </w:pPr>
            <w:r>
              <w:t xml:space="preserve">NVIDIA DGX SuperPOD (1,016 GPUs, BioNeMo)</w:t>
            </w:r>
          </w:p>
        </w:tc>
        <w:tc>
          <w:tcPr/>
          <w:p>
            <w:pPr>
              <w:pStyle w:val="Compact"/>
            </w:pPr>
            <w:r>
              <w:t xml:space="preserve">NVIDIA (US)</w:t>
            </w:r>
          </w:p>
        </w:tc>
        <w:tc>
          <w:tcPr/>
          <w:p>
            <w:pPr>
              <w:pStyle w:val="Compact"/>
            </w:pPr>
            <w:r>
              <w:t xml:space="preserve">Deployed (production)</w:t>
            </w:r>
          </w:p>
        </w:tc>
        <w:tc>
          <w:tcPr/>
          <w:p>
            <w:pPr>
              <w:pStyle w:val="Compact"/>
            </w:pPr>
            <w:r>
              <w:t xml:space="preserve">“Largest AI factory” in pharma; trains foundation models; federated TuneLab platform</w:t>
            </w:r>
            <w:hyperlink r:id="rId36">
              <w:r>
                <w:rPr>
                  <w:rStyle w:val="Hyperlink"/>
                  <w:color w:val="D85A3F"/>
                  <w:u w:val="single" w:color="D85A3F"/>
                </w:rPr>
                <w:t xml:space="preserve">[16]</w:t>
              </w:r>
            </w:hyperlink>
            <w:hyperlink r:id="rId37">
              <w:r>
                <w:rPr>
                  <w:rStyle w:val="Hyperlink"/>
                  <w:color w:val="D85A3F"/>
                  <w:u w:val="single" w:color="D85A3F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privacy via federated learning</w:t>
            </w:r>
          </w:p>
        </w:tc>
        <w:tc>
          <w:tcPr/>
          <w:p>
            <w:pPr>
              <w:pStyle w:val="Compact"/>
            </w:pPr>
            <w:r>
              <w:t xml:space="preserve">NVIDIA blog</w:t>
            </w:r>
            <w:hyperlink r:id="rId36">
              <w:r>
                <w:rPr>
                  <w:rStyle w:val="Hyperlink"/>
                  <w:color w:val="D85A3F"/>
                  <w:u w:val="single" w:color="D85A3F"/>
                </w:rPr>
                <w:t xml:space="preserve">[16]</w:t>
              </w:r>
            </w:hyperlink>
            <w:hyperlink r:id="rId37">
              <w:r>
                <w:rPr>
                  <w:rStyle w:val="Hyperlink"/>
                  <w:color w:val="D85A3F"/>
                  <w:u w:val="single" w:color="D85A3F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Lilly</w:t>
            </w:r>
            <w:r>
              <w:t xml:space="preserve"> (USA)</w:t>
            </w:r>
          </w:p>
        </w:tc>
        <w:tc>
          <w:tcPr/>
          <w:p>
            <w:pPr>
              <w:pStyle w:val="Compact"/>
            </w:pPr>
            <w:r>
              <w:t xml:space="preserve">Jan 12, 2026</w:t>
            </w:r>
          </w:p>
        </w:tc>
        <w:tc>
          <w:tcPr/>
          <w:p>
            <w:pPr>
              <w:pStyle w:val="Compact"/>
            </w:pPr>
            <w:r>
              <w:t xml:space="preserve">R&amp;D (continuous learning, robotics)</w:t>
            </w:r>
          </w:p>
        </w:tc>
        <w:tc>
          <w:tcPr/>
          <w:p>
            <w:pPr>
              <w:pStyle w:val="Compact"/>
            </w:pPr>
            <w:r>
              <w:t xml:space="preserve">Hybrid AI lab (BioNeMo, Omniverse, robotics)</w:t>
            </w:r>
          </w:p>
        </w:tc>
        <w:tc>
          <w:tcPr/>
          <w:p>
            <w:pPr>
              <w:pStyle w:val="Compact"/>
            </w:pPr>
            <w:r>
              <w:t xml:space="preserve">NVIDIA (US)</w:t>
            </w:r>
          </w:p>
        </w:tc>
        <w:tc>
          <w:tcPr/>
          <w:p>
            <w:pPr>
              <w:pStyle w:val="Compact"/>
            </w:pPr>
            <w:r>
              <w:t xml:space="preserve">Announced (co-innovation lab)</w:t>
            </w:r>
          </w:p>
        </w:tc>
        <w:tc>
          <w:tcPr/>
          <w:p>
            <w:pPr>
              <w:pStyle w:val="Compact"/>
            </w:pPr>
            <w:r>
              <w:t xml:space="preserve">$1B investment over 5 years; “AI agents” for drug design; digital twins for manufacturing</w:t>
            </w:r>
            <w:hyperlink r:id="rId38">
              <w:r>
                <w:rPr>
                  <w:rStyle w:val="Hyperlink"/>
                  <w:color w:val="D85A3F"/>
                  <w:u w:val="single" w:color="D85A3F"/>
                </w:rPr>
                <w:t xml:space="preserve">[18]</w:t>
              </w:r>
            </w:hyperlink>
            <w:hyperlink r:id="rId39">
              <w:r>
                <w:rPr>
                  <w:rStyle w:val="Hyperlink"/>
                  <w:color w:val="D85A3F"/>
                  <w:u w:val="single" w:color="D85A3F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Lilly press</w:t>
            </w:r>
            <w:hyperlink r:id="rId38">
              <w:r>
                <w:rPr>
                  <w:rStyle w:val="Hyperlink"/>
                  <w:color w:val="D85A3F"/>
                  <w:u w:val="single" w:color="D85A3F"/>
                </w:rPr>
                <w:t xml:space="preserve">[18]</w:t>
              </w:r>
            </w:hyperlink>
            <w:hyperlink r:id="rId39">
              <w:r>
                <w:rPr>
                  <w:rStyle w:val="Hyperlink"/>
                  <w:color w:val="D85A3F"/>
                  <w:u w:val="single" w:color="D85A3F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Takeda</w:t>
            </w:r>
            <w:r>
              <w:t xml:space="preserve"> (Japan)</w:t>
            </w:r>
          </w:p>
        </w:tc>
        <w:tc>
          <w:tcPr/>
          <w:p>
            <w:pPr>
              <w:pStyle w:val="Compact"/>
            </w:pPr>
            <w:r>
              <w:t xml:space="preserve">Oct 14, 2025</w:t>
            </w:r>
          </w:p>
        </w:tc>
        <w:tc>
          <w:tcPr/>
          <w:p>
            <w:pPr>
              <w:pStyle w:val="Compact"/>
            </w:pPr>
            <w:r>
              <w:t xml:space="preserve">Biologics discovery (antibodies)</w:t>
            </w:r>
          </w:p>
        </w:tc>
        <w:tc>
          <w:tcPr/>
          <w:p>
            <w:pPr>
              <w:pStyle w:val="Compact"/>
            </w:pPr>
            <w:r>
              <w:t xml:space="preserve">AI protein design (JAM)</w:t>
            </w:r>
          </w:p>
        </w:tc>
        <w:tc>
          <w:tcPr/>
          <w:p>
            <w:pPr>
              <w:pStyle w:val="Compact"/>
            </w:pPr>
            <w:r>
              <w:t xml:space="preserve">Nabla Bio (USA)</w:t>
            </w:r>
          </w:p>
        </w:tc>
        <w:tc>
          <w:tcPr/>
          <w:p>
            <w:pPr>
              <w:pStyle w:val="Compact"/>
            </w:pPr>
            <w:r>
              <w:t xml:space="preserve">Expanded research deal</w:t>
            </w:r>
          </w:p>
        </w:tc>
        <w:tc>
          <w:tcPr/>
          <w:p>
            <w:pPr>
              <w:pStyle w:val="Compact"/>
            </w:pPr>
            <w:r>
              <w:t xml:space="preserve">Potential &gt;$1B milestones; 3–4 week design-to-test loop</w:t>
            </w:r>
            <w:hyperlink r:id="rId40">
              <w:r>
                <w:rPr>
                  <w:rStyle w:val="Hyperlink"/>
                  <w:color w:val="D85A3F"/>
                  <w:u w:val="single" w:color="D85A3F"/>
                </w:rPr>
                <w:t xml:space="preserve">[20]</w:t>
              </w:r>
            </w:hyperlink>
            <w:hyperlink r:id="rId41">
              <w:r>
                <w:rPr>
                  <w:rStyle w:val="Hyperlink"/>
                  <w:color w:val="D85A3F"/>
                  <w:u w:val="single" w:color="D85A3F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Reuters</w:t>
            </w:r>
            <w:hyperlink r:id="rId40">
              <w:r>
                <w:rPr>
                  <w:rStyle w:val="Hyperlink"/>
                  <w:color w:val="D85A3F"/>
                  <w:u w:val="single" w:color="D85A3F"/>
                </w:rPr>
                <w:t xml:space="preserve">[20]</w:t>
              </w:r>
            </w:hyperlink>
            <w:hyperlink r:id="rId42">
              <w:r>
                <w:rPr>
                  <w:rStyle w:val="Hyperlink"/>
                  <w:color w:val="D85A3F"/>
                  <w:u w:val="single" w:color="D85A3F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Takeda</w:t>
            </w:r>
            <w:r>
              <w:t xml:space="preserve"> (Japan)</w:t>
            </w:r>
          </w:p>
        </w:tc>
        <w:tc>
          <w:tcPr/>
          <w:p>
            <w:pPr>
              <w:pStyle w:val="Compact"/>
            </w:pPr>
            <w:r>
              <w:t xml:space="preserve">Feb 9, 2026</w:t>
            </w:r>
          </w:p>
        </w:tc>
        <w:tc>
          <w:tcPr/>
          <w:p>
            <w:pPr>
              <w:pStyle w:val="Compact"/>
            </w:pPr>
            <w:r>
              <w:t xml:space="preserve">Drug discovery (small molecules)</w:t>
            </w:r>
          </w:p>
        </w:tc>
        <w:tc>
          <w:tcPr/>
          <w:p>
            <w:pPr>
              <w:pStyle w:val="Compact"/>
            </w:pPr>
            <w:r>
              <w:t xml:space="preserve">AI-driven molecular modeling</w:t>
            </w:r>
          </w:p>
        </w:tc>
        <w:tc>
          <w:tcPr/>
          <w:p>
            <w:pPr>
              <w:pStyle w:val="Compact"/>
            </w:pPr>
            <w:r>
              <w:t xml:space="preserve">Iambic (USA)</w:t>
            </w:r>
          </w:p>
        </w:tc>
        <w:tc>
          <w:tcPr/>
          <w:p>
            <w:pPr>
              <w:pStyle w:val="Compact"/>
            </w:pPr>
            <w:r>
              <w:t xml:space="preserve">Announced (multi-year)</w:t>
            </w:r>
          </w:p>
        </w:tc>
        <w:tc>
          <w:tcPr/>
          <w:p>
            <w:pPr>
              <w:pStyle w:val="Compact"/>
            </w:pPr>
            <w:r>
              <w:t xml:space="preserve">Upfront + $1.7B milestones; aims &lt;2-year discovery timelines</w:t>
            </w:r>
            <w:hyperlink r:id="rId43">
              <w:r>
                <w:rPr>
                  <w:rStyle w:val="Hyperlink"/>
                  <w:color w:val="D85A3F"/>
                  <w:u w:val="single" w:color="D85A3F"/>
                </w:rPr>
                <w:t xml:space="preserve">[23]</w:t>
              </w:r>
            </w:hyperlink>
            <w:hyperlink r:id="rId25">
              <w:r>
                <w:rPr>
                  <w:rStyle w:val="Hyperlink"/>
                  <w:color w:val="D85A3F"/>
                  <w:u w:val="single" w:color="D85A3F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Reuters</w:t>
            </w:r>
            <w:hyperlink r:id="rId43">
              <w:r>
                <w:rPr>
                  <w:rStyle w:val="Hyperlink"/>
                  <w:color w:val="D85A3F"/>
                  <w:u w:val="single" w:color="D85A3F"/>
                </w:rPr>
                <w:t xml:space="preserve">[24]</w:t>
              </w:r>
            </w:hyperlink>
            <w:hyperlink r:id="rId25">
              <w:r>
                <w:rPr>
                  <w:rStyle w:val="Hyperlink"/>
                  <w:color w:val="D85A3F"/>
                  <w:u w:val="single" w:color="D85A3F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Teva</w:t>
            </w:r>
            <w:r>
              <w:t xml:space="preserve"> (Israel)</w:t>
            </w:r>
          </w:p>
        </w:tc>
        <w:tc>
          <w:tcPr/>
          <w:p>
            <w:pPr>
              <w:pStyle w:val="Compact"/>
            </w:pPr>
            <w:r>
              <w:t xml:space="preserve">Nov 19, 2025</w:t>
            </w:r>
          </w:p>
        </w:tc>
        <w:tc>
          <w:tcPr/>
          <w:p>
            <w:pPr>
              <w:pStyle w:val="Compact"/>
            </w:pPr>
            <w:r>
              <w:t xml:space="preserve">Open innovation (R&amp;D/manufacturing)</w:t>
            </w:r>
          </w:p>
        </w:tc>
        <w:tc>
          <w:tcPr/>
          <w:p>
            <w:pPr>
              <w:pStyle w:val="Compact"/>
            </w:pPr>
            <w:r>
              <w:t xml:space="preserve">AI/Industry 4.0 platform</w:t>
            </w:r>
          </w:p>
        </w:tc>
        <w:tc>
          <w:tcPr/>
          <w:p>
            <w:pPr>
              <w:pStyle w:val="Compact"/>
            </w:pPr>
            <w:r>
              <w:t xml:space="preserve">Global startups, tech players</w:t>
            </w:r>
          </w:p>
        </w:tc>
        <w:tc>
          <w:tcPr/>
          <w:p>
            <w:pPr>
              <w:pStyle w:val="Compact"/>
            </w:pPr>
            <w:r>
              <w:t xml:space="preserve">Launched (pilot challenges)</w:t>
            </w:r>
          </w:p>
        </w:tc>
        <w:tc>
          <w:tcPr/>
          <w:p>
            <w:pPr>
              <w:pStyle w:val="Compact"/>
            </w:pPr>
            <w:r>
              <w:t xml:space="preserve">First cohort: 7 challenges (e.g. predictive maintenance, AI trial design)</w:t>
            </w:r>
            <w:hyperlink r:id="rId44">
              <w:r>
                <w:rPr>
                  <w:rStyle w:val="Hyperlink"/>
                  <w:color w:val="D85A3F"/>
                  <w:u w:val="single" w:color="D85A3F"/>
                </w:rPr>
                <w:t xml:space="preserve">[25]</w:t>
              </w:r>
            </w:hyperlink>
            <w:hyperlink r:id="rId22">
              <w:r>
                <w:rPr>
                  <w:rStyle w:val="Hyperlink"/>
                  <w:color w:val="D85A3F"/>
                  <w:u w:val="single" w:color="D85A3F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Teva press</w:t>
            </w:r>
            <w:hyperlink r:id="rId44">
              <w:r>
                <w:rPr>
                  <w:rStyle w:val="Hyperlink"/>
                  <w:color w:val="D85A3F"/>
                  <w:u w:val="single" w:color="D85A3F"/>
                </w:rPr>
                <w:t xml:space="preserve">[25]</w:t>
              </w:r>
            </w:hyperlink>
            <w:hyperlink r:id="rId22">
              <w:r>
                <w:rPr>
                  <w:rStyle w:val="Hyperlink"/>
                  <w:color w:val="D85A3F"/>
                  <w:u w:val="single" w:color="D85A3F"/>
                </w:rPr>
                <w:t xml:space="preserve">[2]</w:t>
              </w:r>
            </w:hyperlink>
          </w:p>
        </w:tc>
      </w:tr>
    </w:tbl>
    <w:p>
      <w:pPr>
        <w:sectPr>
          <w:pgSz w:w="15840" w:h="12240" w:orient="landscape"/>
          <w:pgMar w:top="1080" w:right="1440" w:bottom="1080" w:left="1440" w:header="708" w:footer="708" w:gutter="0"/>
          <w:docGrid w:linePitch="360"/>
        </w:sectPr>
      </w:pPr>
    </w:p>
    <w:p>
      <w:pPr>
        <w:pStyle w:val="BodyText"/>
      </w:pPr>
      <w:r>
        <w:t xml:space="preserve">Each row above is backed by the cited source(s). For example, Pfizer’s expansion with XtalPi is from a XtalPi press release, AstraZeneca’s CSPC collaboration from an AZ press release, Roche’s NVIDIA factory from Roche’s media release</w:t>
      </w:r>
      <w:hyperlink r:id="rId27">
        <w:r>
          <w:rPr>
            <w:rStyle w:val="Hyperlink"/>
            <w:color w:val="D85A3F"/>
            <w:u w:val="single" w:color="D85A3F"/>
          </w:rPr>
          <w:t xml:space="preserve">[7]</w:t>
        </w:r>
      </w:hyperlink>
      <w:r>
        <w:t xml:space="preserve">, and so on. Where impact metrics (cost/time savings, deal values) were disclosed, they are noted; unspecified fields indicate no public figure was given. Regulatory or ethical notes are drawn from source commentary; for instance, Roche’s announcement mentions “Guardrails” for AI safety (noted in</w:t>
      </w:r>
      <w:hyperlink r:id="rId27">
        <w:r>
          <w:rPr>
            <w:rStyle w:val="Hyperlink"/>
            <w:color w:val="D85A3F"/>
            <w:u w:val="single" w:color="D85A3F"/>
          </w:rPr>
          <w:t xml:space="preserve">[7]</w:t>
        </w:r>
      </w:hyperlink>
      <w:r>
        <w:t xml:space="preserve"> as NeMo Guardrails) while most others do not explicitly mention regulatory issues.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AI in Pharma (2025–2026)</w:t>
      </w:r>
      <w:r>
        <w:br/>
      </w:r>
      <w:r>
        <w:rPr>
          <w:rStyle w:val="VerbatimChar"/>
        </w:rPr>
        <w:t xml:space="preserve">    2025-02-18 : Novartis expands AI collaboration with Isomorphic Labs[6]</w:t>
      </w:r>
      <w:r>
        <w:br/>
      </w:r>
      <w:r>
        <w:rPr>
          <w:rStyle w:val="VerbatimChar"/>
        </w:rPr>
        <w:t xml:space="preserve">    2025-06-13 : AZ and CSPC start AI-driven dual-engine drug discovery</w:t>
      </w:r>
      <w:r>
        <w:br/>
      </w:r>
      <w:r>
        <w:rPr>
          <w:rStyle w:val="VerbatimChar"/>
        </w:rPr>
        <w:t xml:space="preserve">    2025-08-05 : AZ partners with SOPHiA GEN for federated cancer data analysis</w:t>
      </w:r>
      <w:r>
        <w:br/>
      </w:r>
      <w:r>
        <w:rPr>
          <w:rStyle w:val="VerbatimChar"/>
        </w:rPr>
        <w:t xml:space="preserve">    2025-10-06 : AZ–Algen $555M AI genomics drug discovery deal[8]</w:t>
      </w:r>
      <w:r>
        <w:br/>
      </w:r>
      <w:r>
        <w:rPr>
          <w:rStyle w:val="VerbatimChar"/>
        </w:rPr>
        <w:t xml:space="preserve">    2025-10-28 : Lilly deploys 1,016-GPU NVIDIA AI factory for drug R&amp;D[16]</w:t>
      </w:r>
      <w:r>
        <w:br/>
      </w:r>
      <w:r>
        <w:rPr>
          <w:rStyle w:val="VerbatimChar"/>
        </w:rPr>
        <w:t xml:space="preserve">    2025-11-03 : Sanofi invests in QuantHealth clinical trial simulator[14]</w:t>
      </w:r>
      <w:r>
        <w:br/>
      </w:r>
      <w:r>
        <w:rPr>
          <w:rStyle w:val="VerbatimChar"/>
        </w:rPr>
        <w:t xml:space="preserve">    2025-11-18 : GSK/Fleming AI Grand Challenges on AMR launched[12]</w:t>
      </w:r>
      <w:r>
        <w:br/>
      </w:r>
      <w:r>
        <w:rPr>
          <w:rStyle w:val="VerbatimChar"/>
        </w:rPr>
        <w:t xml:space="preserve">    2025-11-19 : Teva launches Rise AI innovation platform[25]</w:t>
      </w:r>
      <w:r>
        <w:br/>
      </w:r>
      <w:r>
        <w:rPr>
          <w:rStyle w:val="VerbatimChar"/>
        </w:rPr>
        <w:t xml:space="preserve">    2026-01-07 : GSK enters multi-year genomics collaboration with Helix[13]</w:t>
      </w:r>
      <w:r>
        <w:br/>
      </w:r>
      <w:r>
        <w:rPr>
          <w:rStyle w:val="VerbatimChar"/>
        </w:rPr>
        <w:t xml:space="preserve">    2026-01-07 : Bayer and Cradle begin AI antibody R&amp;D collaboration[15]</w:t>
      </w:r>
      <w:r>
        <w:br/>
      </w:r>
      <w:r>
        <w:rPr>
          <w:rStyle w:val="VerbatimChar"/>
        </w:rPr>
        <w:t xml:space="preserve">    2026-01-12 : Lilly &amp; NVIDIA announce $1B AI lab for drug discovery[18]</w:t>
      </w:r>
      <w:r>
        <w:br/>
      </w:r>
      <w:r>
        <w:rPr>
          <w:rStyle w:val="VerbatimChar"/>
        </w:rPr>
        <w:t xml:space="preserve">    2026-02-09 : Takeda signs $1.7B AI drug discovery partnership with Iambic[23]</w:t>
      </w:r>
      <w:r>
        <w:br/>
      </w:r>
      <w:r>
        <w:rPr>
          <w:rStyle w:val="VerbatimChar"/>
        </w:rPr>
        <w:t xml:space="preserve">    2026-04-22 : Merck partners with Google Cloud on enterprise AI[9]</w:t>
      </w:r>
      <w:r>
        <w:br/>
      </w:r>
      <w:r>
        <w:rPr>
          <w:rStyle w:val="VerbatimChar"/>
        </w:rPr>
        <w:t xml:space="preserve">    2026-05-07 : Roche to acquire AI-pathology firm PathAI[3]</w:t>
      </w:r>
      <w:r>
        <w:br/>
      </w:r>
      <w:r>
        <w:rPr>
          <w:rStyle w:val="VerbatimChar"/>
        </w:rPr>
        <w:t xml:space="preserve">    2026-05-07 : AZ expands AI collaboration with Immunai (up to $37.5M)[4]</w:t>
      </w:r>
    </w:p>
    <w:p>
      <w:pPr>
        <w:pStyle w:val="FirstParagraph"/>
      </w:pPr>
      <w:r>
        <w:t xml:space="preserve">\begin{easylist}\el @ </w:t>
      </w:r>
      <w:r>
        <w:rPr>
          <w:b/>
          <w:bCs/>
        </w:rPr>
        <w:t xml:space="preserve">Trends:</w:t>
      </w:r>
      <w:r>
        <w:t xml:space="preserve"> The table and timeline show that </w:t>
      </w:r>
      <w:r>
        <w:rPr>
          <w:b/>
          <w:bCs/>
        </w:rPr>
        <w:t xml:space="preserve">AI initiatives are concentrated in R&amp;D/translation</w:t>
      </w:r>
      <w:r>
        <w:t xml:space="preserve">, especially </w:t>
      </w:r>
      <w:r>
        <w:rPr>
          <w:i/>
          <w:iCs/>
        </w:rPr>
        <w:t xml:space="preserve">drug discovery</w:t>
      </w:r>
      <w:r>
        <w:t xml:space="preserve"> (target identification, molecule design) and </w:t>
      </w:r>
      <w:r>
        <w:rPr>
          <w:i/>
          <w:iCs/>
        </w:rPr>
        <w:t xml:space="preserve">precision/virtual development</w:t>
      </w:r>
      <w:r>
        <w:t xml:space="preserve"> (biomarkers, trial simulation). Many deals involve </w:t>
      </w:r>
      <w:r>
        <w:rPr>
          <w:b/>
          <w:bCs/>
        </w:rPr>
        <w:t xml:space="preserve">AI startups</w:t>
      </w:r>
      <w:r>
        <w:t xml:space="preserve"> or </w:t>
      </w:r>
      <w:r>
        <w:rPr>
          <w:b/>
          <w:bCs/>
        </w:rPr>
        <w:t xml:space="preserve">big tech</w:t>
      </w:r>
      <w:r>
        <w:t xml:space="preserve"> partners (XtalPi, Isomorphic, Immunai, Algen, Cradle, Google, NVIDIA). Infrastructure plays a growing role: companies are building “AI factories” (Lilly, Roche) and digital platforms (GSK–Helix, Teva Rise) to harness data and compute. Notably, </w:t>
      </w:r>
      <w:r>
        <w:rPr>
          <w:i/>
          <w:iCs/>
        </w:rPr>
        <w:t xml:space="preserve">generative AI</w:t>
      </w:r>
      <w:r>
        <w:t xml:space="preserve"> and </w:t>
      </w:r>
      <w:r>
        <w:rPr>
          <w:i/>
          <w:iCs/>
        </w:rPr>
        <w:t xml:space="preserve">automation</w:t>
      </w:r>
      <w:r>
        <w:t xml:space="preserve"> have started entering regulated processes (Merck’s CSR writing by LLM, J&amp;J’s robotics in trial planning). Imaging and diagnostics AI is on the rise (Roche/PathAI, J&amp;J’s AI biomarker lab), reflecting AI’s promise in personalized medicine.</w:t>
      </w:r>
    </w:p>
    <w:p>
      <w:pPr>
        <w:pStyle w:val="BodyText"/>
      </w:pPr>
      <w:r>
        <w:t xml:space="preserve">@ </w:t>
      </w:r>
      <w:r>
        <w:rPr>
          <w:b/>
          <w:bCs/>
        </w:rPr>
        <w:t xml:space="preserve">Gaps:</w:t>
      </w:r>
      <w:r>
        <w:t xml:space="preserve"> Despite the volume of announcements, </w:t>
      </w:r>
      <w:r>
        <w:rPr>
          <w:b/>
          <w:bCs/>
        </w:rPr>
        <w:t xml:space="preserve">public impact metrics remain sparse</w:t>
      </w:r>
      <w:r>
        <w:t xml:space="preserve">. Most reported metrics are projections (e.g. “up to $555M” deals</w:t>
      </w:r>
      <w:hyperlink r:id="rId28">
        <w:r>
          <w:rPr>
            <w:rStyle w:val="Hyperlink"/>
            <w:color w:val="D85A3F"/>
            <w:u w:val="single" w:color="D85A3F"/>
          </w:rPr>
          <w:t xml:space="preserve">[8]</w:t>
        </w:r>
      </w:hyperlink>
      <w:r>
        <w:t xml:space="preserve"> or time reductions). We see few completed product launches; most projects are still in pilot or early implementation. </w:t>
      </w:r>
      <w:r>
        <w:rPr>
          <w:b/>
          <w:bCs/>
        </w:rPr>
        <w:t xml:space="preserve">Regulatory and ethical discussion is limited</w:t>
      </w:r>
      <w:r>
        <w:t xml:space="preserve">; only Roche explicitly mentions AI guardrails</w:t>
      </w:r>
      <w:hyperlink r:id="rId27">
        <w:r>
          <w:rPr>
            <w:rStyle w:val="Hyperlink"/>
            <w:color w:val="D85A3F"/>
            <w:u w:val="single" w:color="D85A3F"/>
          </w:rPr>
          <w:t xml:space="preserve">[7]</w:t>
        </w:r>
      </w:hyperlink>
      <w:r>
        <w:t xml:space="preserve">, and Teva/Bayer frame AI use in R&amp;D without detail on compliance. Applications in </w:t>
      </w:r>
      <w:r>
        <w:rPr>
          <w:b/>
          <w:bCs/>
        </w:rPr>
        <w:t xml:space="preserve">commercial/marketing</w:t>
      </w:r>
      <w:r>
        <w:t xml:space="preserve"> domains are largely absent from 2025–2026 disclosures. In short, pharma’s 2025–2026 AI focus is on bolstering R&amp;D efficiency via partnerships and tech buildouts, with regulatory/ethical oversight only implicitly addressed.</w:t>
      </w:r>
    </w:p>
    <w:p>
      <w:pPr>
        <w:pStyle w:val="BodyText"/>
      </w:pPr>
      <w:r>
        <w:t xml:space="preserve">@end{easylist}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Company press releases, SEC filings, and reputable industry news were used for all examples. Each table entry includes citations (e.g. Roche</w:t>
      </w:r>
      <w:hyperlink r:id="rId23">
        <w:r>
          <w:rPr>
            <w:rStyle w:val="Hyperlink"/>
            <w:color w:val="D85A3F"/>
            <w:u w:val="single" w:color="D85A3F"/>
          </w:rPr>
          <w:t xml:space="preserve">[3]</w:t>
        </w:r>
      </w:hyperlink>
      <w:r>
        <w:t xml:space="preserve">, AZ, Lilly</w:t>
      </w:r>
      <w:hyperlink r:id="rId36">
        <w:r>
          <w:rPr>
            <w:rStyle w:val="Hyperlink"/>
            <w:color w:val="D85A3F"/>
            <w:u w:val="single" w:color="D85A3F"/>
          </w:rPr>
          <w:t xml:space="preserve">[16]</w:t>
        </w:r>
      </w:hyperlink>
      <w:r>
        <w:t xml:space="preserve">, etc.) to the primary source of the information. Any unspecified detail is noted as such. Images (above) illustrate the AI-driven automation in pharma manufacturing and the timeline, as referenced in the cited materials.</w:t>
      </w:r>
    </w:p>
    <w:bookmarkEnd w:id="45"/>
    <w:bookmarkEnd w:id="46"/>
    <w:p>
      <w:r>
        <w:pict>
          <v:rect style="width:0;height:1.5pt" o:hralign="center" o:hrstd="t" o:hr="t"/>
        </w:pict>
      </w:r>
    </w:p>
    <w:bookmarkStart w:id="62" w:name="citations"/>
    <w:p>
      <w:pPr>
        <w:pStyle w:val="FirstParagraph"/>
      </w:pPr>
      <w:hyperlink r:id="rId21">
        <w:r>
          <w:rPr>
            <w:rStyle w:val="Hyperlink"/>
            <w:color w:val="D85A3F"/>
            <w:u w:val="single" w:color="D85A3F"/>
          </w:rPr>
          <w:t xml:space="preserve">[1]</w:t>
        </w:r>
      </w:hyperlink>
      <w:r>
        <w:t xml:space="preserve"> </w:t>
      </w:r>
      <w:hyperlink r:id="rId36">
        <w:r>
          <w:rPr>
            <w:rStyle w:val="Hyperlink"/>
            <w:color w:val="D85A3F"/>
            <w:u w:val="single" w:color="D85A3F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  <w:color w:val="D85A3F"/>
            <w:u w:val="single" w:color="D85A3F"/>
          </w:rPr>
          <w:t xml:space="preserve">[17]</w:t>
        </w:r>
      </w:hyperlink>
      <w:r>
        <w:t xml:space="preserve"> Lilly Deploys World’s Largest, Most Powerful AI Factory for Drug Discovery Using NVIDIA Blackwell-Based DGX SuperPOD | NVIDIA Blog</w:t>
      </w:r>
    </w:p>
    <w:p>
      <w:pPr>
        <w:pStyle w:val="BodyText"/>
      </w:pPr>
      <w:hyperlink r:id="rId47">
        <w:r>
          <w:rPr>
            <w:rStyle w:val="Hyperlink"/>
            <w:color w:val="D85A3F"/>
            <w:u w:val="single" w:color="D85A3F"/>
          </w:rPr>
          <w:t xml:space="preserve">https://blogs.nvidia.com/blog/lilly-ai-factory-nvidia-blackwell-dgx-superpod/</w:t>
        </w:r>
      </w:hyperlink>
    </w:p>
    <w:p>
      <w:pPr>
        <w:pStyle w:val="BodyText"/>
      </w:pPr>
      <w:hyperlink r:id="rId22">
        <w:r>
          <w:rPr>
            <w:rStyle w:val="Hyperlink"/>
            <w:color w:val="D85A3F"/>
            <w:u w:val="single" w:color="D85A3F"/>
          </w:rPr>
          <w:t xml:space="preserve">[2]</w:t>
        </w:r>
      </w:hyperlink>
      <w:r>
        <w:t xml:space="preserve"> </w:t>
      </w:r>
      <w:hyperlink r:id="rId44">
        <w:r>
          <w:rPr>
            <w:rStyle w:val="Hyperlink"/>
            <w:color w:val="D85A3F"/>
            <w:u w:val="single" w:color="D85A3F"/>
          </w:rPr>
          <w:t xml:space="preserve">[25]</w:t>
        </w:r>
      </w:hyperlink>
      <w:r>
        <w:t xml:space="preserve">  Teva Pharmaceutical Industries Ltd. - Teva Launches Rise: A Global Open Innovation Platform to Accelerate AI, Industry 4.0, Smart Manufacturing, Digital Health and Biotech Breakthroughs for Pharma’s Biggest Challenges </w:t>
      </w:r>
    </w:p>
    <w:p>
      <w:pPr>
        <w:pStyle w:val="BodyText"/>
      </w:pPr>
      <w:hyperlink r:id="rId48">
        <w:r>
          <w:rPr>
            <w:rStyle w:val="Hyperlink"/>
            <w:color w:val="D85A3F"/>
            <w:u w:val="single" w:color="D85A3F"/>
          </w:rPr>
          <w:t xml:space="preserve">https://ir.tevapharm.com/news-and-events/press-releases/press-release-details/2025/Teva-Launches-Rise-A-Global-Open-Innovation-Platform-to-Accelerate-AI-Industry-4-0-Smart-Manufacturing-Digital-Health-and-Biotech-Breakthroughs-for-Pharmas-Biggest-Challenges/default.aspx</w:t>
        </w:r>
      </w:hyperlink>
    </w:p>
    <w:p>
      <w:pPr>
        <w:pStyle w:val="BodyText"/>
      </w:pPr>
      <w:hyperlink r:id="rId23">
        <w:r>
          <w:rPr>
            <w:rStyle w:val="Hyperlink"/>
            <w:color w:val="D85A3F"/>
            <w:u w:val="single" w:color="D85A3F"/>
          </w:rPr>
          <w:t xml:space="preserve">[3]</w:t>
        </w:r>
      </w:hyperlink>
      <w:r>
        <w:t xml:space="preserve"> Roche enters into a definitive merger agreement to acquire PathAI to transform AI-driven diagnostics</w:t>
      </w:r>
    </w:p>
    <w:p>
      <w:pPr>
        <w:pStyle w:val="BodyText"/>
      </w:pPr>
      <w:hyperlink r:id="rId49">
        <w:r>
          <w:rPr>
            <w:rStyle w:val="Hyperlink"/>
            <w:color w:val="D85A3F"/>
            <w:u w:val="single" w:color="D85A3F"/>
          </w:rPr>
          <w:t xml:space="preserve">https://www.roche.com/media/releases/med-cor-2026-05-07</w:t>
        </w:r>
      </w:hyperlink>
    </w:p>
    <w:p>
      <w:pPr>
        <w:pStyle w:val="BodyText"/>
      </w:pPr>
      <w:hyperlink r:id="rId24">
        <w:r>
          <w:rPr>
            <w:rStyle w:val="Hyperlink"/>
            <w:color w:val="D85A3F"/>
            <w:u w:val="single" w:color="D85A3F"/>
          </w:rPr>
          <w:t xml:space="preserve">[4]</w:t>
        </w:r>
      </w:hyperlink>
      <w:r>
        <w:t xml:space="preserve"> AstraZeneca expands AI partnership with Immunai in deal worth up to $37.5 million | Ctech</w:t>
      </w:r>
    </w:p>
    <w:p>
      <w:pPr>
        <w:pStyle w:val="BodyText"/>
      </w:pPr>
      <w:hyperlink r:id="rId50">
        <w:r>
          <w:rPr>
            <w:rStyle w:val="Hyperlink"/>
            <w:color w:val="D85A3F"/>
            <w:u w:val="single" w:color="D85A3F"/>
          </w:rPr>
          <w:t xml:space="preserve">https://www.calcalistech.com/ctechnews/article/bkhaclqcwe</w:t>
        </w:r>
      </w:hyperlink>
    </w:p>
    <w:p>
      <w:pPr>
        <w:pStyle w:val="BodyText"/>
      </w:pPr>
      <w:hyperlink r:id="rId25">
        <w:r>
          <w:rPr>
            <w:rStyle w:val="Hyperlink"/>
            <w:color w:val="D85A3F"/>
            <w:u w:val="single" w:color="D85A3F"/>
          </w:rPr>
          <w:t xml:space="preserve">[5]</w:t>
        </w:r>
      </w:hyperlink>
      <w:r>
        <w:t xml:space="preserve"> </w:t>
      </w:r>
      <w:hyperlink r:id="rId43">
        <w:r>
          <w:rPr>
            <w:rStyle w:val="Hyperlink"/>
            <w:color w:val="D85A3F"/>
            <w:u w:val="single" w:color="D85A3F"/>
          </w:rPr>
          <w:t xml:space="preserve">[23]</w:t>
        </w:r>
      </w:hyperlink>
      <w:r>
        <w:t xml:space="preserve"> </w:t>
      </w:r>
      <w:hyperlink r:id="rId43">
        <w:r>
          <w:rPr>
            <w:rStyle w:val="Hyperlink"/>
            <w:color w:val="D85A3F"/>
            <w:u w:val="single" w:color="D85A3F"/>
          </w:rPr>
          <w:t xml:space="preserve">[24]</w:t>
        </w:r>
      </w:hyperlink>
      <w:r>
        <w:t xml:space="preserve"> Takeda deepens AI drug discovery push with $1.7 billion Iambic deal | Reuters</w:t>
      </w:r>
    </w:p>
    <w:p>
      <w:pPr>
        <w:pStyle w:val="BodyText"/>
      </w:pPr>
      <w:hyperlink r:id="rId51">
        <w:r>
          <w:rPr>
            <w:rStyle w:val="Hyperlink"/>
            <w:color w:val="D85A3F"/>
            <w:u w:val="single" w:color="D85A3F"/>
          </w:rPr>
          <w:t xml:space="preserve">https://www.reuters.com/business/healthcare-pharmaceuticals/takeda-deepens-ai-drug-discovery-push-with-17-billion-iambic-deal-2026-02-09/</w:t>
        </w:r>
      </w:hyperlink>
    </w:p>
    <w:p>
      <w:pPr>
        <w:pStyle w:val="BodyText"/>
      </w:pPr>
      <w:hyperlink r:id="rId26">
        <w:r>
          <w:rPr>
            <w:rStyle w:val="Hyperlink"/>
            <w:color w:val="D85A3F"/>
            <w:u w:val="single" w:color="D85A3F"/>
          </w:rPr>
          <w:t xml:space="preserve">[6]</w:t>
        </w:r>
      </w:hyperlink>
      <w:r>
        <w:t xml:space="preserve"> Isomorphic Labs announces Novartis collaboration expansion - Isomorphic Labs</w:t>
      </w:r>
    </w:p>
    <w:p>
      <w:pPr>
        <w:pStyle w:val="BodyText"/>
      </w:pPr>
      <w:hyperlink r:id="rId52">
        <w:r>
          <w:rPr>
            <w:rStyle w:val="Hyperlink"/>
            <w:color w:val="D85A3F"/>
            <w:u w:val="single" w:color="D85A3F"/>
          </w:rPr>
          <w:t xml:space="preserve">https://www.isomorphiclabs.com/articles/isomorphic-labs-announces-novartis-collaboration-expansion</w:t>
        </w:r>
      </w:hyperlink>
    </w:p>
    <w:p>
      <w:pPr>
        <w:pStyle w:val="BodyText"/>
      </w:pPr>
      <w:hyperlink r:id="rId27">
        <w:r>
          <w:rPr>
            <w:rStyle w:val="Hyperlink"/>
            <w:color w:val="D85A3F"/>
            <w:u w:val="single" w:color="D85A3F"/>
          </w:rPr>
          <w:t xml:space="preserve">[7]</w:t>
        </w:r>
      </w:hyperlink>
      <w:r>
        <w:t xml:space="preserve"> Accelerating Innovation: Pfizer's 2025 AI Festival</w:t>
      </w:r>
    </w:p>
    <w:p>
      <w:pPr>
        <w:pStyle w:val="BodyText"/>
      </w:pPr>
      <w:hyperlink r:id="rId53">
        <w:r>
          <w:rPr>
            <w:rStyle w:val="Hyperlink"/>
            <w:color w:val="D85A3F"/>
            <w:u w:val="single" w:color="D85A3F"/>
          </w:rPr>
          <w:t xml:space="preserve">https://www.pfizer.com/news/announcements/accelerating-innovation-pfizers-2025-ai-festival</w:t>
        </w:r>
      </w:hyperlink>
    </w:p>
    <w:p>
      <w:pPr>
        <w:pStyle w:val="BodyText"/>
      </w:pPr>
      <w:hyperlink r:id="rId28">
        <w:r>
          <w:rPr>
            <w:rStyle w:val="Hyperlink"/>
            <w:color w:val="D85A3F"/>
            <w:u w:val="single" w:color="D85A3F"/>
          </w:rPr>
          <w:t xml:space="preserve">[8]</w:t>
        </w:r>
      </w:hyperlink>
      <w:r>
        <w:t xml:space="preserve"> Algen Biotechnologies Announces Multi-Target Partnership to Advance AI-Powered Drug Discovery in Immunology with AstraZeneca</w:t>
      </w:r>
    </w:p>
    <w:p>
      <w:pPr>
        <w:pStyle w:val="BodyText"/>
      </w:pPr>
      <w:hyperlink r:id="rId54">
        <w:r>
          <w:rPr>
            <w:rStyle w:val="Hyperlink"/>
            <w:color w:val="D85A3F"/>
            <w:u w:val="single" w:color="D85A3F"/>
          </w:rPr>
          <w:t xml:space="preserve">https://www.businesswire.com/news/home/20251006056468/en/Algen-Biotechnologies-Announces-Multi-Target-Partnership-to-Advance-AI-Powered-Drug-Discovery-in-Immunology-with-AstraZeneca</w:t>
        </w:r>
      </w:hyperlink>
    </w:p>
    <w:p>
      <w:pPr>
        <w:pStyle w:val="BodyText"/>
      </w:pPr>
      <w:hyperlink r:id="rId29">
        <w:r>
          <w:rPr>
            <w:rStyle w:val="Hyperlink"/>
            <w:color w:val="D85A3F"/>
            <w:u w:val="single" w:color="D85A3F"/>
          </w:rPr>
          <w:t xml:space="preserve">[9]</w:t>
        </w:r>
      </w:hyperlink>
      <w:r>
        <w:t xml:space="preserve"> Merck and Google Cloud Partner to Accelerate Agentic AI Enterprise Transformation - Merck.com</w:t>
      </w:r>
    </w:p>
    <w:p>
      <w:pPr>
        <w:pStyle w:val="BodyText"/>
      </w:pPr>
      <w:hyperlink r:id="rId55">
        <w:r>
          <w:rPr>
            <w:rStyle w:val="Hyperlink"/>
            <w:color w:val="D85A3F"/>
            <w:u w:val="single" w:color="D85A3F"/>
          </w:rPr>
          <w:t xml:space="preserve">https://www.merck.com/news/merck-and-google-cloud-partner-to-accelerate-agentic-ai-enterprise-transformation/</w:t>
        </w:r>
      </w:hyperlink>
    </w:p>
    <w:p>
      <w:pPr>
        <w:pStyle w:val="BodyText"/>
      </w:pPr>
      <w:hyperlink r:id="rId30">
        <w:r>
          <w:rPr>
            <w:rStyle w:val="Hyperlink"/>
            <w:color w:val="D85A3F"/>
            <w:u w:val="single" w:color="D85A3F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  <w:color w:val="D85A3F"/>
            <w:u w:val="single" w:color="D85A3F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  <w:color w:val="D85A3F"/>
            <w:u w:val="single" w:color="D85A3F"/>
          </w:rPr>
          <w:t xml:space="preserve">[12]</w:t>
        </w:r>
      </w:hyperlink>
      <w:r>
        <w:t xml:space="preserve"> GSK and Fleming Initiative scientists unite to target AMR with advanced AI | GSK</w:t>
      </w:r>
    </w:p>
    <w:p>
      <w:pPr>
        <w:pStyle w:val="BodyText"/>
      </w:pPr>
      <w:hyperlink r:id="rId56">
        <w:r>
          <w:rPr>
            <w:rStyle w:val="Hyperlink"/>
            <w:color w:val="D85A3F"/>
            <w:u w:val="single" w:color="D85A3F"/>
          </w:rPr>
          <w:t xml:space="preserve">https://www.gsk.com/en-gb/media/press-releases/gsk-and-fleming-initiative-scientists-unite-to-target-amr-with-advanced-ai/</w:t>
        </w:r>
      </w:hyperlink>
    </w:p>
    <w:p>
      <w:pPr>
        <w:pStyle w:val="BodyText"/>
      </w:pPr>
      <w:hyperlink r:id="rId33">
        <w:r>
          <w:rPr>
            <w:rStyle w:val="Hyperlink"/>
            <w:color w:val="D85A3F"/>
            <w:u w:val="single" w:color="D85A3F"/>
          </w:rPr>
          <w:t xml:space="preserve">[13]</w:t>
        </w:r>
      </w:hyperlink>
      <w:r>
        <w:t xml:space="preserve"> Helix Announces Multi-Year Strategic Collaboration with GSK to Drive Precision Medicine Development | Helix</w:t>
      </w:r>
    </w:p>
    <w:p>
      <w:pPr>
        <w:pStyle w:val="BodyText"/>
      </w:pPr>
      <w:hyperlink r:id="rId57">
        <w:r>
          <w:rPr>
            <w:rStyle w:val="Hyperlink"/>
            <w:color w:val="D85A3F"/>
            <w:u w:val="single" w:color="D85A3F"/>
          </w:rPr>
          <w:t xml:space="preserve">https://www.helix.com/press-releases/helix-announces-multi-year-strategic-collaboration-with-gsk-to-drive-precision-medicine-development</w:t>
        </w:r>
      </w:hyperlink>
    </w:p>
    <w:p>
      <w:pPr>
        <w:pStyle w:val="BodyText"/>
      </w:pPr>
      <w:hyperlink r:id="rId34">
        <w:r>
          <w:rPr>
            <w:rStyle w:val="Hyperlink"/>
            <w:color w:val="D85A3F"/>
            <w:u w:val="single" w:color="D85A3F"/>
          </w:rPr>
          <w:t xml:space="preserve">[14]</w:t>
        </w:r>
      </w:hyperlink>
      <w:r>
        <w:t xml:space="preserve"> Sanofi and QuantHealth Team up to Advance AI-Powered Digital Twins and Clinical Trial Simulation | Healthcare IT Today</w:t>
      </w:r>
    </w:p>
    <w:p>
      <w:pPr>
        <w:pStyle w:val="BodyText"/>
      </w:pPr>
      <w:hyperlink r:id="rId58">
        <w:r>
          <w:rPr>
            <w:rStyle w:val="Hyperlink"/>
            <w:color w:val="D85A3F"/>
            <w:u w:val="single" w:color="D85A3F"/>
          </w:rPr>
          <w:t xml:space="preserve">https://www.healthcareittoday.com/2025/11/03/sanofi-and-quanthealth-team-up-to-advance-ai-powered-digital-twins-and-clinical-trial-simulation/</w:t>
        </w:r>
      </w:hyperlink>
    </w:p>
    <w:p>
      <w:pPr>
        <w:pStyle w:val="BodyText"/>
      </w:pPr>
      <w:hyperlink r:id="rId35">
        <w:r>
          <w:rPr>
            <w:rStyle w:val="Hyperlink"/>
            <w:color w:val="D85A3F"/>
            <w:u w:val="single" w:color="D85A3F"/>
          </w:rPr>
          <w:t xml:space="preserve">[15]</w:t>
        </w:r>
      </w:hyperlink>
      <w:r>
        <w:t xml:space="preserve"> Bayer and Cradle enter collaboration to enhance AI-enabled antibody discovery and optimization | Bayer United States</w:t>
      </w:r>
    </w:p>
    <w:p>
      <w:pPr>
        <w:pStyle w:val="BodyText"/>
      </w:pPr>
      <w:hyperlink r:id="rId59">
        <w:r>
          <w:rPr>
            <w:rStyle w:val="Hyperlink"/>
            <w:color w:val="D85A3F"/>
            <w:u w:val="single" w:color="D85A3F"/>
          </w:rPr>
          <w:t xml:space="preserve">https://www.bayer.com/en/us/news-stories/ai-enabled-antibody-discovery-and-optimization</w:t>
        </w:r>
      </w:hyperlink>
    </w:p>
    <w:p>
      <w:pPr>
        <w:pStyle w:val="BodyText"/>
      </w:pPr>
      <w:hyperlink r:id="rId38">
        <w:r>
          <w:rPr>
            <w:rStyle w:val="Hyperlink"/>
            <w:color w:val="D85A3F"/>
            <w:u w:val="single" w:color="D85A3F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  <w:color w:val="D85A3F"/>
            <w:u w:val="single" w:color="D85A3F"/>
          </w:rPr>
          <w:t xml:space="preserve">[19]</w:t>
        </w:r>
      </w:hyperlink>
      <w:r>
        <w:t xml:space="preserve"> NVIDIA and Lilly Announce Co-Innovation AI Lab to Reinvent Drug Discovery In the Age of AI | Eli Lilly and Company</w:t>
      </w:r>
    </w:p>
    <w:p>
      <w:pPr>
        <w:pStyle w:val="BodyText"/>
      </w:pPr>
      <w:hyperlink r:id="rId60">
        <w:r>
          <w:rPr>
            <w:rStyle w:val="Hyperlink"/>
            <w:color w:val="D85A3F"/>
            <w:u w:val="single" w:color="D85A3F"/>
          </w:rPr>
          <w:t xml:space="preserve">https://investor.lilly.com/news-releases/news-release-details/nvidia-and-lilly-announce-co-innovation-ai-lab-reinvent-drug</w:t>
        </w:r>
      </w:hyperlink>
    </w:p>
    <w:p>
      <w:pPr>
        <w:pStyle w:val="BodyText"/>
      </w:pPr>
      <w:hyperlink r:id="rId40">
        <w:r>
          <w:rPr>
            <w:rStyle w:val="Hyperlink"/>
            <w:color w:val="D85A3F"/>
            <w:u w:val="single" w:color="D85A3F"/>
          </w:rPr>
          <w:t xml:space="preserve">[20]</w:t>
        </w:r>
      </w:hyperlink>
      <w:r>
        <w:t xml:space="preserve"> </w:t>
      </w:r>
      <w:hyperlink r:id="rId41">
        <w:r>
          <w:rPr>
            <w:rStyle w:val="Hyperlink"/>
            <w:color w:val="D85A3F"/>
            <w:u w:val="single" w:color="D85A3F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  <w:color w:val="D85A3F"/>
            <w:u w:val="single" w:color="D85A3F"/>
          </w:rPr>
          <w:t xml:space="preserve">[22]</w:t>
        </w:r>
      </w:hyperlink>
      <w:r>
        <w:t xml:space="preserve"> US biotech Nabla Bio, Japan's Takeda expand AI drug design partnership | Reuters</w:t>
      </w:r>
    </w:p>
    <w:p>
      <w:pPr>
        <w:pStyle w:val="BodyText"/>
      </w:pPr>
      <w:hyperlink r:id="rId61">
        <w:r>
          <w:rPr>
            <w:rStyle w:val="Hyperlink"/>
            <w:color w:val="D85A3F"/>
            <w:u w:val="single" w:color="D85A3F"/>
          </w:rPr>
          <w:t xml:space="preserve">https://www.reuters.com/business/healthcare-pharmaceuticals/us-biotech-nabla-bio-japans-takeda-expand-ai-drug-design-partnership-2025-10-14/</w:t>
        </w:r>
      </w:hyperlink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Helvetica Neue" w:asciiTheme="minorHAnsi" w:cs="Helvetica Neue" w:cstheme="minorBidi" w:eastAsia="Helvetica Neue" w:eastAsiaTheme="minorHAnsi" w:hAnsi="Helvetica Neue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lvetica Neue" w:asciiTheme="majorHAnsi" w:cs="Helvetica Neue" w:cstheme="majorBidi" w:eastAsia="Helvetica Neue" w:eastAsiaTheme="majorEastAsia" w:hAnsi="Helvetica Neue" w:hAnsiTheme="majorHAnsi"/>
      <w:b/>
      <w:color w:val="FF7759"/>
      <w:spacing w:val="-16"/>
      <w:sz w:val="64"/>
      <w:szCs w:val="6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14" w:space="6" w:color="FF7759"/>
      </w:pBdr>
      <w:spacing w:after="240" w:before="360"/>
      <w:outlineLvl w:val="0"/>
    </w:pPr>
    <w:rPr>
      <w:rFonts w:ascii="Helvetica Neue" w:asciiTheme="majorHAnsi" w:cs="Helvetica Neue" w:cstheme="majorBidi" w:eastAsia="Helvetica Neue" w:eastAsiaTheme="majorEastAsia" w:hAnsi="Helvetica Neue" w:hAnsiTheme="majorHAnsi"/>
      <w:b/>
      <w:color w:val="FF7759"/>
      <w:spacing w:val="-1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D85A3F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D85A3F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D85A3F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D85A3F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 Neue" w:asciiTheme="majorHAnsi" w:cs="Helvetica Neue" w:cstheme="majorBidi" w:eastAsia="Helvetica Neue" w:eastAsiaTheme="majorEastAsia" w:hAnsi="Helvetica Neue" w:hAnsiTheme="majorHAnsi"/>
      <w:b/>
      <w:color w:val="FF7759"/>
      <w:spacing w:val="-1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D85A3F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D85A3F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D85A3F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D85A3F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D85A3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D85A3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47" Target="https://blogs.nvidia.com/blog/lilly-ai-factory-nvidia-blackwell-dgx-superpod/" TargetMode="External"/><Relationship Type="http://schemas.openxmlformats.org/officeDocument/2006/relationships/hyperlink" Id="rId36" Target="https://blogs.nvidia.com/blog/lilly-ai-factory-nvidia-blackwell-dgx-superpod/#:~:text=Lilly%2C%20a%20pioneer%20in%20medicine%2C,SuperPOD%20with%20DGX%20B300%20systems" TargetMode="External"/><Relationship Type="http://schemas.openxmlformats.org/officeDocument/2006/relationships/hyperlink" Id="rId37" Target="https://blogs.nvidia.com/blog/lilly-ai-factory-nvidia-blackwell-dgx-superpod/#:~:text=The%20AI%20factory%20will%20be,worth%20of%20Lilly%E2%80%99s%20proprietary%20data" TargetMode="External"/><Relationship Type="http://schemas.openxmlformats.org/officeDocument/2006/relationships/hyperlink" Id="rId21" Target="https://blogs.nvidia.com/blog/lilly-ai-factory-nvidia-blackwell-dgx-superpod/#:~:text=With%20technologies%20like%20the%20NVIDIA,changes%20in%20the%20real%20world" TargetMode="External"/><Relationship Type="http://schemas.openxmlformats.org/officeDocument/2006/relationships/hyperlink" Id="rId60" Target="https://investor.lilly.com/news-releases/news-release-details/nvidia-and-lilly-announce-co-innovation-ai-lab-reinvent-drug" TargetMode="External"/><Relationship Type="http://schemas.openxmlformats.org/officeDocument/2006/relationships/hyperlink" Id="rId38" Target="https://investor.lilly.com/news-releases/news-release-details/nvidia-and-lilly-announce-co-innovation-ai-lab-reinvent-drug#:~:text=News%20Summary%3A" TargetMode="External"/><Relationship Type="http://schemas.openxmlformats.org/officeDocument/2006/relationships/hyperlink" Id="rId39" Target="https://investor.lilly.com/news-releases/news-release-details/nvidia-and-lilly-announce-co-innovation-ai-lab-reinvent-drug#:~:text=The%20new%20initiative%20expands%20on,architectures%2C%20including%20NVIDIA%20Vera%20Rubin" TargetMode="External"/><Relationship Type="http://schemas.openxmlformats.org/officeDocument/2006/relationships/hyperlink" Id="rId48" Target="https://ir.tevapharm.com/news-and-events/press-releases/press-release-details/2025/Teva-Launches-Rise-A-Global-Open-Innovation-Platform-to-Accelerate-AI-Industry-4-0-Smart-Manufacturing-Digital-Health-and-Biotech-Breakthroughs-for-Pharmas-Biggest-Challenges/default.aspx" TargetMode="External"/><Relationship Type="http://schemas.openxmlformats.org/officeDocument/2006/relationships/hyperlink" Id="rId44" Target="https://ir.tevapharm.com/news-and-events/press-releases/press-release-details/2025/Teva-Launches-Rise-A-Global-Open-Innovation-Platform-to-Accelerate-AI-Industry-4-0-Smart-Manufacturing-Digital-Health-and-Biotech-Breakthroughs-for-Pharmas-Biggest-Challenges/default.aspx#:~:text=1.%20Human,or%20behavioral%20science%20solutions%20that" TargetMode="External"/><Relationship Type="http://schemas.openxmlformats.org/officeDocument/2006/relationships/hyperlink" Id="rId22" Target="https://ir.tevapharm.com/news-and-events/press-releases/press-release-details/2025/Teva-Launches-Rise-A-Global-Open-Innovation-Platform-to-Accelerate-AI-Industry-4-0-Smart-Manufacturing-Digital-Health-and-Biotech-Breakthroughs-for-Pharmas-Biggest-Challenges/default.aspx#:~:text=5,models%20to%20enable%20proactive%2C%20optimal" TargetMode="External"/><Relationship Type="http://schemas.openxmlformats.org/officeDocument/2006/relationships/hyperlink" Id="rId59" Target="https://www.bayer.com/en/us/news-stories/ai-enabled-antibody-discovery-and-optimization" TargetMode="External"/><Relationship Type="http://schemas.openxmlformats.org/officeDocument/2006/relationships/hyperlink" Id="rId35" Target="https://www.bayer.com/en/us/news-stories/ai-enabled-antibody-discovery-and-optimization#:~:text=Berlin%2C%20Amsterdam%20and%20Zurich%2C%20January,across%20its%20therapeutic%20antibody%20pipeline" TargetMode="External"/><Relationship Type="http://schemas.openxmlformats.org/officeDocument/2006/relationships/hyperlink" Id="rId54" Target="https://www.businesswire.com/news/home/20251006056468/en/Algen-Biotechnologies-Announces-Multi-Target-Partnership-to-Advance-AI-Powered-Drug-Discovery-in-Immunology-with-AstraZeneca" TargetMode="External"/><Relationship Type="http://schemas.openxmlformats.org/officeDocument/2006/relationships/hyperlink" Id="rId28" Target="https://www.businesswire.com/news/home/20251006056468/en/Algen-Biotechnologies-Announces-Multi-Target-Partnership-to-Advance-AI-Powered-Drug-Discovery-in-Immunology-with-AstraZeneca#:~:text=Algen%20to%20receive%20up%20to,payments%2C%20and%20potential%20future%20milestones" TargetMode="External"/><Relationship Type="http://schemas.openxmlformats.org/officeDocument/2006/relationships/hyperlink" Id="rId50" Target="https://www.calcalistech.com/ctechnews/article/bkhaclqcwe" TargetMode="External"/><Relationship Type="http://schemas.openxmlformats.org/officeDocument/2006/relationships/hyperlink" Id="rId24" Target="https://www.calcalistech.com/ctechnews/article/bkhaclqcwe#:~:text=AstraZeneca%20is%20expanding%20its%20collaboration,million%20during%202026%20and%202027" TargetMode="External"/><Relationship Type="http://schemas.openxmlformats.org/officeDocument/2006/relationships/hyperlink" Id="rId56" Target="https://www.gsk.com/en-gb/media/press-releases/gsk-and-fleming-initiative-scientists-unite-to-target-amr-with-advanced-ai/" TargetMode="External"/><Relationship Type="http://schemas.openxmlformats.org/officeDocument/2006/relationships/hyperlink" Id="rId30" Target="https://www.gsk.com/en-gb/media/press-releases/gsk-and-fleming-initiative-scientists-unite-to-target-amr-with-advanced-ai/#:~:text=,and%20when%20antibiotics%20are%20prescribed" TargetMode="External"/><Relationship Type="http://schemas.openxmlformats.org/officeDocument/2006/relationships/hyperlink" Id="rId32" Target="https://www.gsk.com/en-gb/media/press-releases/gsk-and-fleming-initiative-scientists-unite-to-target-amr-with-advanced-ai/#:~:text=,resistant%20infections" TargetMode="External"/><Relationship Type="http://schemas.openxmlformats.org/officeDocument/2006/relationships/hyperlink" Id="rId31" Target="https://www.gsk.com/en-gb/media/press-releases/gsk-and-fleming-initiative-scientists-unite-to-target-amr-with-advanced-ai/#:~:text=chemists%2C%20microbiologists%20and%20AI%20experts,AI%20models%20will%20be%20made" TargetMode="External"/><Relationship Type="http://schemas.openxmlformats.org/officeDocument/2006/relationships/hyperlink" Id="rId58" Target="https://www.healthcareittoday.com/2025/11/03/sanofi-and-quanthealth-team-up-to-advance-ai-powered-digital-twins-and-clinical-trial-simulation/" TargetMode="External"/><Relationship Type="http://schemas.openxmlformats.org/officeDocument/2006/relationships/hyperlink" Id="rId34" Target="https://www.healthcareittoday.com/2025/11/03/sanofi-and-quanthealth-team-up-to-advance-ai-powered-digital-twins-and-clinical-trial-simulation/#:~:text=QuantHealth%2C%20a%20pioneer%20in%20AI,funds%20raised%20to%20%2430%20million" TargetMode="External"/><Relationship Type="http://schemas.openxmlformats.org/officeDocument/2006/relationships/hyperlink" Id="rId57" Target="https://www.helix.com/press-releases/helix-announces-multi-year-strategic-collaboration-with-gsk-to-drive-precision-medicine-development" TargetMode="External"/><Relationship Type="http://schemas.openxmlformats.org/officeDocument/2006/relationships/hyperlink" Id="rId33" Target="https://www.helix.com/press-releases/helix-announces-multi-year-strategic-collaboration-with-gsk-to-drive-precision-medicine-development#:~:text=SAN%20MATEO%2C%20Calif,growing%2C%20deeply%20phenotyped%20GenoSphere%E2%84%A2%20cohorts" TargetMode="External"/><Relationship Type="http://schemas.openxmlformats.org/officeDocument/2006/relationships/hyperlink" Id="rId52" Target="https://www.isomorphiclabs.com/articles/isomorphic-labs-announces-novartis-collaboration-expansion" TargetMode="External"/><Relationship Type="http://schemas.openxmlformats.org/officeDocument/2006/relationships/hyperlink" Id="rId26" Target="https://www.isomorphiclabs.com/articles/isomorphic-labs-announces-novartis-collaboration-expansion#:~:text=Isomorphic%20Labs%20announces%20that%20it,programs%20made%20in%20one%20year" TargetMode="External"/><Relationship Type="http://schemas.openxmlformats.org/officeDocument/2006/relationships/hyperlink" Id="rId55" Target="https://www.merck.com/news/merck-and-google-cloud-partner-to-accelerate-agentic-ai-enterprise-transformation/" TargetMode="External"/><Relationship Type="http://schemas.openxmlformats.org/officeDocument/2006/relationships/hyperlink" Id="rId29" Target="https://www.merck.com/news/merck-and-google-cloud-partner-to-accelerate-agentic-ai-enterprise-transformation/#:~:text=URL%3A%20https%3A%2F%2Fwww.merck.com%2Fnews%2Fmerck,content" TargetMode="External"/><Relationship Type="http://schemas.openxmlformats.org/officeDocument/2006/relationships/hyperlink" Id="rId53" Target="https://www.pfizer.com/news/announcements/accelerating-innovation-pfizers-2025-ai-festival" TargetMode="External"/><Relationship Type="http://schemas.openxmlformats.org/officeDocument/2006/relationships/hyperlink" Id="rId27" Target="https://www.pfizer.com/news/announcements/accelerating-innovation-pfizers-2025-ai-festival#:~:text=,Efficient%2C%20smaller%20AI%20models" TargetMode="External"/><Relationship Type="http://schemas.openxmlformats.org/officeDocument/2006/relationships/hyperlink" Id="rId51" Target="https://www.reuters.com/business/healthcare-pharmaceuticals/takeda-deepens-ai-drug-discovery-push-with-17-billion-iambic-deal-2026-02-09/" TargetMode="External"/><Relationship Type="http://schemas.openxmlformats.org/officeDocument/2006/relationships/hyperlink" Id="rId25" Target="https://www.reuters.com/business/healthcare-pharmaceuticals/takeda-deepens-ai-drug-discovery-push-with-17-billion-iambic-deal-2026-02-09/#:~:text=,he%20said" TargetMode="External"/><Relationship Type="http://schemas.openxmlformats.org/officeDocument/2006/relationships/hyperlink" Id="rId43" Target="https://www.reuters.com/business/healthcare-pharmaceuticals/takeda-deepens-ai-drug-discovery-push-with-17-billion-iambic-deal-2026-02-09/#:~:text=Feb%209%20%28Reuters%29%20,targeting%20cancer%20and%20gastrointestinal%20diseases" TargetMode="External"/><Relationship Type="http://schemas.openxmlformats.org/officeDocument/2006/relationships/hyperlink" Id="rId61" Target="https://www.reuters.com/business/healthcare-pharmaceuticals/us-biotech-nabla-bio-japans-takeda-expand-ai-drug-design-partnership-2025-10-14/" TargetMode="External"/><Relationship Type="http://schemas.openxmlformats.org/officeDocument/2006/relationships/hyperlink" Id="rId42" Target="https://www.reuters.com/business/healthcare-pharmaceuticals/us-biotech-nabla-bio-japans-takeda-expand-ai-drug-design-partnership-2025-10-14/#:~:text=,Biswas%20told%20Reuters" TargetMode="External"/><Relationship Type="http://schemas.openxmlformats.org/officeDocument/2006/relationships/hyperlink" Id="rId40" Target="https://www.reuters.com/business/healthcare-pharmaceuticals/us-biotech-nabla-bio-japans-takeda-expand-ai-drug-design-partnership-2025-10-14/#:~:text=Nabla%20said%20it%20would%20use,drugs%20and%20other%20custom%20biologics" TargetMode="External"/><Relationship Type="http://schemas.openxmlformats.org/officeDocument/2006/relationships/hyperlink" Id="rId41" Target="https://www.reuters.com/business/healthcare-pharmaceuticals/us-biotech-nabla-bio-japans-takeda-expand-ai-drug-design-partnership-2025-10-14/#:~:text=The%20company%20claims%20to%20maintain,from%20design%20to%20lab%20testing" TargetMode="External"/><Relationship Type="http://schemas.openxmlformats.org/officeDocument/2006/relationships/hyperlink" Id="rId49" Target="https://www.roche.com/media/releases/med-cor-2026-05-07" TargetMode="External"/><Relationship Type="http://schemas.openxmlformats.org/officeDocument/2006/relationships/hyperlink" Id="rId23" Target="https://www.roche.com/media/releases/med-cor-2026-05-07#:~:text=Basel%2C%207%20May%202026%C2%A0%20,part%20of%20the%20Diagnostics%20division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blogs.nvidia.com/blog/lilly-ai-factory-nvidia-blackwell-dgx-superpod/" TargetMode="External"/><Relationship Type="http://schemas.openxmlformats.org/officeDocument/2006/relationships/hyperlink" Id="rId36" Target="https://blogs.nvidia.com/blog/lilly-ai-factory-nvidia-blackwell-dgx-superpod/#:~:text=Lilly%2C%20a%20pioneer%20in%20medicine%2C,SuperPOD%20with%20DGX%20B300%20systems" TargetMode="External"/><Relationship Type="http://schemas.openxmlformats.org/officeDocument/2006/relationships/hyperlink" Id="rId37" Target="https://blogs.nvidia.com/blog/lilly-ai-factory-nvidia-blackwell-dgx-superpod/#:~:text=The%20AI%20factory%20will%20be,worth%20of%20Lilly%E2%80%99s%20proprietary%20data" TargetMode="External"/><Relationship Type="http://schemas.openxmlformats.org/officeDocument/2006/relationships/hyperlink" Id="rId21" Target="https://blogs.nvidia.com/blog/lilly-ai-factory-nvidia-blackwell-dgx-superpod/#:~:text=With%20technologies%20like%20the%20NVIDIA,changes%20in%20the%20real%20world" TargetMode="External"/><Relationship Type="http://schemas.openxmlformats.org/officeDocument/2006/relationships/hyperlink" Id="rId60" Target="https://investor.lilly.com/news-releases/news-release-details/nvidia-and-lilly-announce-co-innovation-ai-lab-reinvent-drug" TargetMode="External"/><Relationship Type="http://schemas.openxmlformats.org/officeDocument/2006/relationships/hyperlink" Id="rId38" Target="https://investor.lilly.com/news-releases/news-release-details/nvidia-and-lilly-announce-co-innovation-ai-lab-reinvent-drug#:~:text=News%20Summary%3A" TargetMode="External"/><Relationship Type="http://schemas.openxmlformats.org/officeDocument/2006/relationships/hyperlink" Id="rId39" Target="https://investor.lilly.com/news-releases/news-release-details/nvidia-and-lilly-announce-co-innovation-ai-lab-reinvent-drug#:~:text=The%20new%20initiative%20expands%20on,architectures%2C%20including%20NVIDIA%20Vera%20Rubin" TargetMode="External"/><Relationship Type="http://schemas.openxmlformats.org/officeDocument/2006/relationships/hyperlink" Id="rId48" Target="https://ir.tevapharm.com/news-and-events/press-releases/press-release-details/2025/Teva-Launches-Rise-A-Global-Open-Innovation-Platform-to-Accelerate-AI-Industry-4-0-Smart-Manufacturing-Digital-Health-and-Biotech-Breakthroughs-for-Pharmas-Biggest-Challenges/default.aspx" TargetMode="External"/><Relationship Type="http://schemas.openxmlformats.org/officeDocument/2006/relationships/hyperlink" Id="rId44" Target="https://ir.tevapharm.com/news-and-events/press-releases/press-release-details/2025/Teva-Launches-Rise-A-Global-Open-Innovation-Platform-to-Accelerate-AI-Industry-4-0-Smart-Manufacturing-Digital-Health-and-Biotech-Breakthroughs-for-Pharmas-Biggest-Challenges/default.aspx#:~:text=1.%20Human,or%20behavioral%20science%20solutions%20that" TargetMode="External"/><Relationship Type="http://schemas.openxmlformats.org/officeDocument/2006/relationships/hyperlink" Id="rId22" Target="https://ir.tevapharm.com/news-and-events/press-releases/press-release-details/2025/Teva-Launches-Rise-A-Global-Open-Innovation-Platform-to-Accelerate-AI-Industry-4-0-Smart-Manufacturing-Digital-Health-and-Biotech-Breakthroughs-for-Pharmas-Biggest-Challenges/default.aspx#:~:text=5,models%20to%20enable%20proactive%2C%20optimal" TargetMode="External"/><Relationship Type="http://schemas.openxmlformats.org/officeDocument/2006/relationships/hyperlink" Id="rId59" Target="https://www.bayer.com/en/us/news-stories/ai-enabled-antibody-discovery-and-optimization" TargetMode="External"/><Relationship Type="http://schemas.openxmlformats.org/officeDocument/2006/relationships/hyperlink" Id="rId35" Target="https://www.bayer.com/en/us/news-stories/ai-enabled-antibody-discovery-and-optimization#:~:text=Berlin%2C%20Amsterdam%20and%20Zurich%2C%20January,across%20its%20therapeutic%20antibody%20pipeline" TargetMode="External"/><Relationship Type="http://schemas.openxmlformats.org/officeDocument/2006/relationships/hyperlink" Id="rId54" Target="https://www.businesswire.com/news/home/20251006056468/en/Algen-Biotechnologies-Announces-Multi-Target-Partnership-to-Advance-AI-Powered-Drug-Discovery-in-Immunology-with-AstraZeneca" TargetMode="External"/><Relationship Type="http://schemas.openxmlformats.org/officeDocument/2006/relationships/hyperlink" Id="rId28" Target="https://www.businesswire.com/news/home/20251006056468/en/Algen-Biotechnologies-Announces-Multi-Target-Partnership-to-Advance-AI-Powered-Drug-Discovery-in-Immunology-with-AstraZeneca#:~:text=Algen%20to%20receive%20up%20to,payments%2C%20and%20potential%20future%20milestones" TargetMode="External"/><Relationship Type="http://schemas.openxmlformats.org/officeDocument/2006/relationships/hyperlink" Id="rId50" Target="https://www.calcalistech.com/ctechnews/article/bkhaclqcwe" TargetMode="External"/><Relationship Type="http://schemas.openxmlformats.org/officeDocument/2006/relationships/hyperlink" Id="rId24" Target="https://www.calcalistech.com/ctechnews/article/bkhaclqcwe#:~:text=AstraZeneca%20is%20expanding%20its%20collaboration,million%20during%202026%20and%202027" TargetMode="External"/><Relationship Type="http://schemas.openxmlformats.org/officeDocument/2006/relationships/hyperlink" Id="rId56" Target="https://www.gsk.com/en-gb/media/press-releases/gsk-and-fleming-initiative-scientists-unite-to-target-amr-with-advanced-ai/" TargetMode="External"/><Relationship Type="http://schemas.openxmlformats.org/officeDocument/2006/relationships/hyperlink" Id="rId30" Target="https://www.gsk.com/en-gb/media/press-releases/gsk-and-fleming-initiative-scientists-unite-to-target-amr-with-advanced-ai/#:~:text=,and%20when%20antibiotics%20are%20prescribed" TargetMode="External"/><Relationship Type="http://schemas.openxmlformats.org/officeDocument/2006/relationships/hyperlink" Id="rId32" Target="https://www.gsk.com/en-gb/media/press-releases/gsk-and-fleming-initiative-scientists-unite-to-target-amr-with-advanced-ai/#:~:text=,resistant%20infections" TargetMode="External"/><Relationship Type="http://schemas.openxmlformats.org/officeDocument/2006/relationships/hyperlink" Id="rId31" Target="https://www.gsk.com/en-gb/media/press-releases/gsk-and-fleming-initiative-scientists-unite-to-target-amr-with-advanced-ai/#:~:text=chemists%2C%20microbiologists%20and%20AI%20experts,AI%20models%20will%20be%20made" TargetMode="External"/><Relationship Type="http://schemas.openxmlformats.org/officeDocument/2006/relationships/hyperlink" Id="rId58" Target="https://www.healthcareittoday.com/2025/11/03/sanofi-and-quanthealth-team-up-to-advance-ai-powered-digital-twins-and-clinical-trial-simulation/" TargetMode="External"/><Relationship Type="http://schemas.openxmlformats.org/officeDocument/2006/relationships/hyperlink" Id="rId34" Target="https://www.healthcareittoday.com/2025/11/03/sanofi-and-quanthealth-team-up-to-advance-ai-powered-digital-twins-and-clinical-trial-simulation/#:~:text=QuantHealth%2C%20a%20pioneer%20in%20AI,funds%20raised%20to%20%2430%20million" TargetMode="External"/><Relationship Type="http://schemas.openxmlformats.org/officeDocument/2006/relationships/hyperlink" Id="rId57" Target="https://www.helix.com/press-releases/helix-announces-multi-year-strategic-collaboration-with-gsk-to-drive-precision-medicine-development" TargetMode="External"/><Relationship Type="http://schemas.openxmlformats.org/officeDocument/2006/relationships/hyperlink" Id="rId33" Target="https://www.helix.com/press-releases/helix-announces-multi-year-strategic-collaboration-with-gsk-to-drive-precision-medicine-development#:~:text=SAN%20MATEO%2C%20Calif,growing%2C%20deeply%20phenotyped%20GenoSphere%E2%84%A2%20cohorts" TargetMode="External"/><Relationship Type="http://schemas.openxmlformats.org/officeDocument/2006/relationships/hyperlink" Id="rId52" Target="https://www.isomorphiclabs.com/articles/isomorphic-labs-announces-novartis-collaboration-expansion" TargetMode="External"/><Relationship Type="http://schemas.openxmlformats.org/officeDocument/2006/relationships/hyperlink" Id="rId26" Target="https://www.isomorphiclabs.com/articles/isomorphic-labs-announces-novartis-collaboration-expansion#:~:text=Isomorphic%20Labs%20announces%20that%20it,programs%20made%20in%20one%20year" TargetMode="External"/><Relationship Type="http://schemas.openxmlformats.org/officeDocument/2006/relationships/hyperlink" Id="rId55" Target="https://www.merck.com/news/merck-and-google-cloud-partner-to-accelerate-agentic-ai-enterprise-transformation/" TargetMode="External"/><Relationship Type="http://schemas.openxmlformats.org/officeDocument/2006/relationships/hyperlink" Id="rId29" Target="https://www.merck.com/news/merck-and-google-cloud-partner-to-accelerate-agentic-ai-enterprise-transformation/#:~:text=URL%3A%20https%3A%2F%2Fwww.merck.com%2Fnews%2Fmerck,content" TargetMode="External"/><Relationship Type="http://schemas.openxmlformats.org/officeDocument/2006/relationships/hyperlink" Id="rId53" Target="https://www.pfizer.com/news/announcements/accelerating-innovation-pfizers-2025-ai-festival" TargetMode="External"/><Relationship Type="http://schemas.openxmlformats.org/officeDocument/2006/relationships/hyperlink" Id="rId27" Target="https://www.pfizer.com/news/announcements/accelerating-innovation-pfizers-2025-ai-festival#:~:text=,Efficient%2C%20smaller%20AI%20models" TargetMode="External"/><Relationship Type="http://schemas.openxmlformats.org/officeDocument/2006/relationships/hyperlink" Id="rId51" Target="https://www.reuters.com/business/healthcare-pharmaceuticals/takeda-deepens-ai-drug-discovery-push-with-17-billion-iambic-deal-2026-02-09/" TargetMode="External"/><Relationship Type="http://schemas.openxmlformats.org/officeDocument/2006/relationships/hyperlink" Id="rId25" Target="https://www.reuters.com/business/healthcare-pharmaceuticals/takeda-deepens-ai-drug-discovery-push-with-17-billion-iambic-deal-2026-02-09/#:~:text=,he%20said" TargetMode="External"/><Relationship Type="http://schemas.openxmlformats.org/officeDocument/2006/relationships/hyperlink" Id="rId43" Target="https://www.reuters.com/business/healthcare-pharmaceuticals/takeda-deepens-ai-drug-discovery-push-with-17-billion-iambic-deal-2026-02-09/#:~:text=Feb%209%20%28Reuters%29%20,targeting%20cancer%20and%20gastrointestinal%20diseases" TargetMode="External"/><Relationship Type="http://schemas.openxmlformats.org/officeDocument/2006/relationships/hyperlink" Id="rId61" Target="https://www.reuters.com/business/healthcare-pharmaceuticals/us-biotech-nabla-bio-japans-takeda-expand-ai-drug-design-partnership-2025-10-14/" TargetMode="External"/><Relationship Type="http://schemas.openxmlformats.org/officeDocument/2006/relationships/hyperlink" Id="rId42" Target="https://www.reuters.com/business/healthcare-pharmaceuticals/us-biotech-nabla-bio-japans-takeda-expand-ai-drug-design-partnership-2025-10-14/#:~:text=,Biswas%20told%20Reuters" TargetMode="External"/><Relationship Type="http://schemas.openxmlformats.org/officeDocument/2006/relationships/hyperlink" Id="rId40" Target="https://www.reuters.com/business/healthcare-pharmaceuticals/us-biotech-nabla-bio-japans-takeda-expand-ai-drug-design-partnership-2025-10-14/#:~:text=Nabla%20said%20it%20would%20use,drugs%20and%20other%20custom%20biologics" TargetMode="External"/><Relationship Type="http://schemas.openxmlformats.org/officeDocument/2006/relationships/hyperlink" Id="rId41" Target="https://www.reuters.com/business/healthcare-pharmaceuticals/us-biotech-nabla-bio-japans-takeda-expand-ai-drug-design-partnership-2025-10-14/#:~:text=The%20company%20claims%20to%20maintain,from%20design%20to%20lab%20testing" TargetMode="External"/><Relationship Type="http://schemas.openxmlformats.org/officeDocument/2006/relationships/hyperlink" Id="rId49" Target="https://www.roche.com/media/releases/med-cor-2026-05-07" TargetMode="External"/><Relationship Type="http://schemas.openxmlformats.org/officeDocument/2006/relationships/hyperlink" Id="rId23" Target="https://www.roche.com/media/releases/med-cor-2026-05-07#:~:text=Basel%2C%207%20May%202026%C2%A0%20,part%20of%20the%20Diagnostics%20div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A1A1A"/>
      </a:dk2>
      <a:lt2>
        <a:srgbClr val="FAF6F1"/>
      </a:lt2>
      <a:accent1>
        <a:srgbClr val="FF7759"/>
      </a:accent1>
      <a:accent2>
        <a:srgbClr val="D85A3F"/>
      </a:accent2>
      <a:accent3>
        <a:srgbClr val="39594D"/>
      </a:accent3>
      <a:accent4>
        <a:srgbClr val="E8DFD3"/>
      </a:accent4>
      <a:accent5>
        <a:srgbClr val="6B6B6B"/>
      </a:accent5>
      <a:accent6>
        <a:srgbClr val="39594D"/>
      </a:accent6>
      <a:hlink>
        <a:srgbClr val="D85A3F"/>
      </a:hlink>
      <a:folHlink>
        <a:srgbClr val="D85A3F"/>
      </a:folHlink>
    </a:clrScheme>
    <a:fontScheme name="Office">
      <a:majorFont>
        <a:latin typeface="Helvetica Neue" panose="020B06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Helvetica Neue" panose="020B06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2026-05-11T17:57:58Z</dcterms:created>
  <dcterms:modified xsi:type="dcterms:W3CDTF">2026-05-11T17:57:58Z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